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right="-26"/>
        <w:jc w:val="right"/>
        <w:textAlignment w:val="bottom"/>
        <w:rPr>
          <w:rFonts w:hAnsi="宋体" w:cs="宋体"/>
          <w:color w:val="auto"/>
          <w:sz w:val="28"/>
          <w:szCs w:val="28"/>
          <w:highlight w:val="none"/>
        </w:rPr>
      </w:pPr>
    </w:p>
    <w:p>
      <w:pPr>
        <w:widowControl/>
        <w:spacing w:line="360" w:lineRule="auto"/>
        <w:ind w:right="-26"/>
        <w:jc w:val="center"/>
        <w:textAlignment w:val="bottom"/>
        <w:rPr>
          <w:rFonts w:hAnsi="宋体" w:cs="宋体"/>
          <w:b/>
          <w:color w:val="auto"/>
          <w:sz w:val="72"/>
          <w:highlight w:val="none"/>
        </w:rPr>
      </w:pPr>
      <w:r>
        <w:rPr>
          <w:rFonts w:hint="eastAsia" w:hAnsi="宋体" w:cs="宋体"/>
          <w:b/>
          <w:color w:val="auto"/>
          <w:sz w:val="72"/>
          <w:highlight w:val="none"/>
        </w:rPr>
        <w:t xml:space="preserve"> </w:t>
      </w:r>
    </w:p>
    <w:p>
      <w:pPr>
        <w:snapToGrid w:val="0"/>
        <w:jc w:val="center"/>
        <w:rPr>
          <w:rFonts w:ascii="黑体" w:hAnsi="黑体" w:eastAsia="黑体" w:cs="黑体"/>
          <w:b/>
          <w:bCs/>
          <w:color w:val="auto"/>
          <w:sz w:val="72"/>
          <w:szCs w:val="72"/>
          <w:highlight w:val="none"/>
        </w:rPr>
      </w:pPr>
    </w:p>
    <w:p>
      <w:pPr>
        <w:snapToGrid w:val="0"/>
        <w:jc w:val="center"/>
        <w:rPr>
          <w:rFonts w:ascii="黑体" w:hAnsi="华文中宋" w:eastAsia="黑体" w:cs="华文中宋"/>
          <w:b/>
          <w:bCs/>
          <w:color w:val="auto"/>
          <w:sz w:val="72"/>
          <w:szCs w:val="72"/>
          <w:highlight w:val="none"/>
        </w:rPr>
      </w:pPr>
      <w:r>
        <w:rPr>
          <w:rFonts w:hint="eastAsia" w:ascii="黑体" w:hAnsi="华文中宋" w:eastAsia="黑体" w:cs="华文中宋"/>
          <w:b/>
          <w:bCs/>
          <w:color w:val="auto"/>
          <w:sz w:val="72"/>
          <w:szCs w:val="72"/>
          <w:highlight w:val="none"/>
        </w:rPr>
        <w:t>东莞市采购项目</w:t>
      </w:r>
    </w:p>
    <w:p>
      <w:pPr>
        <w:snapToGrid w:val="0"/>
        <w:jc w:val="center"/>
        <w:rPr>
          <w:rFonts w:ascii="黑体" w:hAnsi="华文中宋" w:eastAsia="黑体" w:cs="华文中宋"/>
          <w:b/>
          <w:bCs/>
          <w:color w:val="auto"/>
          <w:sz w:val="72"/>
          <w:szCs w:val="72"/>
          <w:highlight w:val="none"/>
        </w:rPr>
      </w:pPr>
      <w:r>
        <w:rPr>
          <w:rFonts w:hint="eastAsia" w:ascii="黑体" w:hAnsi="华文中宋" w:eastAsia="黑体" w:cs="华文中宋"/>
          <w:b/>
          <w:bCs/>
          <w:color w:val="auto"/>
          <w:sz w:val="72"/>
          <w:szCs w:val="72"/>
          <w:highlight w:val="none"/>
        </w:rPr>
        <w:t>公开采购文件</w:t>
      </w:r>
    </w:p>
    <w:p>
      <w:pPr>
        <w:widowControl/>
        <w:spacing w:line="360" w:lineRule="auto"/>
        <w:ind w:right="-26"/>
        <w:jc w:val="center"/>
        <w:textAlignment w:val="bottom"/>
        <w:rPr>
          <w:rFonts w:hAnsi="宋体" w:cs="宋体"/>
          <w:b/>
          <w:color w:val="auto"/>
          <w:sz w:val="44"/>
          <w:highlight w:val="none"/>
        </w:rPr>
      </w:pPr>
    </w:p>
    <w:p>
      <w:pPr>
        <w:widowControl/>
        <w:spacing w:line="360" w:lineRule="auto"/>
        <w:ind w:right="-26"/>
        <w:jc w:val="center"/>
        <w:textAlignment w:val="bottom"/>
        <w:rPr>
          <w:rFonts w:hAnsi="宋体" w:cs="宋体"/>
          <w:b/>
          <w:color w:val="auto"/>
          <w:sz w:val="44"/>
          <w:highlight w:val="none"/>
        </w:rPr>
      </w:pPr>
    </w:p>
    <w:p>
      <w:pPr>
        <w:widowControl/>
        <w:spacing w:line="360" w:lineRule="auto"/>
        <w:ind w:right="-26"/>
        <w:jc w:val="center"/>
        <w:textAlignment w:val="bottom"/>
        <w:rPr>
          <w:rFonts w:hAnsi="宋体" w:cs="宋体"/>
          <w:b/>
          <w:color w:val="auto"/>
          <w:sz w:val="44"/>
          <w:highlight w:val="none"/>
        </w:rPr>
      </w:pPr>
    </w:p>
    <w:p>
      <w:pPr>
        <w:widowControl/>
        <w:spacing w:line="360" w:lineRule="auto"/>
        <w:ind w:right="-26"/>
        <w:jc w:val="center"/>
        <w:textAlignment w:val="bottom"/>
        <w:rPr>
          <w:rFonts w:hAnsi="宋体" w:cs="宋体"/>
          <w:b/>
          <w:color w:val="auto"/>
          <w:sz w:val="44"/>
          <w:highlight w:val="none"/>
        </w:rPr>
      </w:pPr>
      <w:r>
        <w:rPr>
          <w:rFonts w:hint="eastAsia" w:hAnsi="宋体" w:cs="宋体"/>
          <w:color w:val="auto"/>
          <w:sz w:val="44"/>
          <w:highlight w:val="none"/>
        </w:rPr>
        <mc:AlternateContent>
          <mc:Choice Requires="wps">
            <w:drawing>
              <wp:anchor distT="0" distB="0" distL="114300" distR="114300" simplePos="0" relativeHeight="251659264" behindDoc="1" locked="0" layoutInCell="1" allowOverlap="1">
                <wp:simplePos x="0" y="0"/>
                <wp:positionH relativeFrom="column">
                  <wp:posOffset>301625</wp:posOffset>
                </wp:positionH>
                <wp:positionV relativeFrom="paragraph">
                  <wp:posOffset>83820</wp:posOffset>
                </wp:positionV>
                <wp:extent cx="4577715" cy="1577975"/>
                <wp:effectExtent l="0" t="0" r="13335" b="3175"/>
                <wp:wrapNone/>
                <wp:docPr id="1" name="文本框 6"/>
                <wp:cNvGraphicFramePr/>
                <a:graphic xmlns:a="http://schemas.openxmlformats.org/drawingml/2006/main">
                  <a:graphicData uri="http://schemas.microsoft.com/office/word/2010/wordprocessingShape">
                    <wps:wsp>
                      <wps:cNvSpPr txBox="1"/>
                      <wps:spPr>
                        <a:xfrm>
                          <a:off x="0" y="0"/>
                          <a:ext cx="4577715" cy="1577975"/>
                        </a:xfrm>
                        <a:prstGeom prst="rect">
                          <a:avLst/>
                        </a:prstGeom>
                        <a:noFill/>
                        <a:ln w="15875">
                          <a:noFill/>
                        </a:ln>
                      </wps:spPr>
                      <wps:txbx>
                        <w:txbxContent>
                          <w:p>
                            <w:pPr>
                              <w:widowControl/>
                              <w:spacing w:line="360" w:lineRule="auto"/>
                              <w:ind w:left="1925" w:leftChars="133" w:right="-26" w:hanging="1606" w:hangingChars="500"/>
                              <w:jc w:val="both"/>
                              <w:textAlignment w:val="bottom"/>
                              <w:rPr>
                                <w:rFonts w:ascii="黑体" w:hAnsi="黑体" w:eastAsia="黑体" w:cs="黑体"/>
                                <w:b/>
                                <w:sz w:val="32"/>
                              </w:rPr>
                            </w:pPr>
                            <w:r>
                              <w:rPr>
                                <w:rFonts w:hint="eastAsia" w:ascii="黑体" w:hAnsi="黑体" w:eastAsia="黑体" w:cs="黑体"/>
                                <w:b/>
                                <w:sz w:val="32"/>
                              </w:rPr>
                              <w:t>项目名称：松山湖大学创新城——安防升级项目</w:t>
                            </w:r>
                          </w:p>
                          <w:p>
                            <w:pPr>
                              <w:widowControl/>
                              <w:spacing w:line="360" w:lineRule="auto"/>
                              <w:ind w:right="-26" w:firstLine="321" w:firstLineChars="100"/>
                              <w:textAlignment w:val="bottom"/>
                              <w:rPr>
                                <w:rFonts w:ascii="黑体" w:hAnsi="黑体" w:eastAsia="黑体" w:cs="黑体"/>
                                <w:b/>
                                <w:sz w:val="32"/>
                              </w:rPr>
                            </w:pPr>
                            <w:r>
                              <w:rPr>
                                <w:rFonts w:hint="eastAsia" w:ascii="黑体" w:hAnsi="黑体" w:eastAsia="黑体" w:cs="黑体"/>
                                <w:b/>
                                <w:sz w:val="32"/>
                              </w:rPr>
                              <w:t xml:space="preserve">项目编号：DCJS-AF-02-002-020(2022)      </w:t>
                            </w:r>
                          </w:p>
                          <w:p>
                            <w:pPr>
                              <w:widowControl/>
                              <w:spacing w:line="360" w:lineRule="auto"/>
                              <w:ind w:right="-26" w:firstLine="321" w:firstLineChars="100"/>
                              <w:textAlignment w:val="bottom"/>
                              <w:rPr>
                                <w:rFonts w:ascii="黑体" w:hAnsi="黑体" w:eastAsia="黑体" w:cs="黑体"/>
                                <w:b/>
                                <w:sz w:val="32"/>
                              </w:rPr>
                            </w:pPr>
                            <w:r>
                              <w:rPr>
                                <w:rFonts w:hint="eastAsia" w:ascii="黑体" w:hAnsi="黑体" w:eastAsia="黑体" w:cs="黑体"/>
                                <w:b/>
                                <w:sz w:val="32"/>
                              </w:rPr>
                              <w:t>采 购 人：东莞市大学创新城建设发展有限公司</w:t>
                            </w:r>
                          </w:p>
                          <w:p/>
                        </w:txbxContent>
                      </wps:txbx>
                      <wps:bodyPr wrap="square" upright="1"/>
                    </wps:wsp>
                  </a:graphicData>
                </a:graphic>
              </wp:anchor>
            </w:drawing>
          </mc:Choice>
          <mc:Fallback>
            <w:pict>
              <v:shape id="文本框 6" o:spid="_x0000_s1026" o:spt="202" type="#_x0000_t202" style="position:absolute;left:0pt;margin-left:23.75pt;margin-top:6.6pt;height:124.25pt;width:360.45pt;z-index:-251657216;mso-width-relative:page;mso-height-relative:page;" filled="f" stroked="f" coordsize="21600,21600" o:gfxdata="UEsDBAoAAAAAAIdO4kAAAAAAAAAAAAAAAAAEAAAAZHJzL1BLAwQUAAAACACHTuJASkgsC9sAAAAJ&#10;AQAADwAAAGRycy9kb3ducmV2LnhtbE2PQU+EMBCF7yb+h2ZMvBi3BREIUvbgZg9GjXE16rFLKxDp&#10;lNACu/56x5Me37yX974p1wfbs9mMvnMoIVoJYAZrpztsJLy+bC9zYD4o1Kp3aCQcjYd1dXpSqkK7&#10;BZ/NvAsNoxL0hZLQhjAUnPu6NVb5lRsMkvfpRqsCybHhelQLlduex0Kk3KoOaaFVg7ltTf21m6yE&#10;+VEkbw/1+3G62G4+7vKnjb9fvqU8P4vEDbBgDuEvDL/4hA4VMe3dhNqzXkKSXVOS7lcxMPKzNE+A&#10;7SXEaZQBr0r+/4PqB1BLAwQUAAAACACHTuJAEajsB7wBAABnAwAADgAAAGRycy9lMm9Eb2MueG1s&#10;rVNLjhMxEN0jcQfLe9LJiEyGVjojoWjYIEAaOIDjLqct+YfLSXcuADdgxYY958o5KLubDAybWbBx&#10;18+v6j1Xr28Ha9gRImrvGr6YzTkDJ32r3b7hnz7evbjhDJNwrTDeQcNPgPx28/zZug81XPnOmxYi&#10;IxCHdR8a3qUU6qpC2YEVOPMBHCWVj1YkcuO+aqPoCd2a6mo+v656H9sQvQREim7HJJ8Q41MAvVJa&#10;wtbLgwWXRtQIRiSihJ0OyDdlWqVApvdKISRmGk5MUzmpCdm7fFabtaj3UYROy2kE8ZQRHnGyQjtq&#10;eoHaiiTYIep/oKyW0aNXaSa9rUYiRRFisZg/0ua+EwEKF5Iaw0V0/H+w8t3xQ2S6pU3gzAlLD37+&#10;9vX8/ef5xxd2neXpA9ZUdR+oLg2v/ZBLpzhSMLMeVLT5S3wY5Unc00VcGBKTFHy5XK1WiyVnknIL&#10;cl6tlhmnergeIqY34C3LRsMjvV4RVRzfYhpLf5fkbs7faWMoLmrjWJ9RbwjzrxShG0dNMotx2myl&#10;YTdMFHa+PRGznlag4fj5ICJwdghR7zsaoTAtl0n/Muu0K/mB//RLi4f/Y/M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SkgsC9sAAAAJAQAADwAAAAAAAAABACAAAAAiAAAAZHJzL2Rvd25yZXYueG1s&#10;UEsBAhQAFAAAAAgAh07iQBGo7Ae8AQAAZwMAAA4AAAAAAAAAAQAgAAAAKgEAAGRycy9lMm9Eb2Mu&#10;eG1sUEsFBgAAAAAGAAYAWQEAAFgFAAAAAA==&#10;">
                <v:fill on="f" focussize="0,0"/>
                <v:stroke on="f" weight="1.25pt"/>
                <v:imagedata o:title=""/>
                <o:lock v:ext="edit" aspectratio="f"/>
                <v:textbox>
                  <w:txbxContent>
                    <w:p>
                      <w:pPr>
                        <w:widowControl/>
                        <w:spacing w:line="360" w:lineRule="auto"/>
                        <w:ind w:left="1925" w:leftChars="133" w:right="-26" w:hanging="1606" w:hangingChars="500"/>
                        <w:jc w:val="both"/>
                        <w:textAlignment w:val="bottom"/>
                        <w:rPr>
                          <w:rFonts w:ascii="黑体" w:hAnsi="黑体" w:eastAsia="黑体" w:cs="黑体"/>
                          <w:b/>
                          <w:sz w:val="32"/>
                        </w:rPr>
                      </w:pPr>
                      <w:r>
                        <w:rPr>
                          <w:rFonts w:hint="eastAsia" w:ascii="黑体" w:hAnsi="黑体" w:eastAsia="黑体" w:cs="黑体"/>
                          <w:b/>
                          <w:sz w:val="32"/>
                        </w:rPr>
                        <w:t>项目名称：松山湖大学创新城——安防升级项目</w:t>
                      </w:r>
                    </w:p>
                    <w:p>
                      <w:pPr>
                        <w:widowControl/>
                        <w:spacing w:line="360" w:lineRule="auto"/>
                        <w:ind w:right="-26" w:firstLine="321" w:firstLineChars="100"/>
                        <w:textAlignment w:val="bottom"/>
                        <w:rPr>
                          <w:rFonts w:ascii="黑体" w:hAnsi="黑体" w:eastAsia="黑体" w:cs="黑体"/>
                          <w:b/>
                          <w:sz w:val="32"/>
                        </w:rPr>
                      </w:pPr>
                      <w:r>
                        <w:rPr>
                          <w:rFonts w:hint="eastAsia" w:ascii="黑体" w:hAnsi="黑体" w:eastAsia="黑体" w:cs="黑体"/>
                          <w:b/>
                          <w:sz w:val="32"/>
                        </w:rPr>
                        <w:t xml:space="preserve">项目编号：DCJS-AF-02-002-020(2022)      </w:t>
                      </w:r>
                    </w:p>
                    <w:p>
                      <w:pPr>
                        <w:widowControl/>
                        <w:spacing w:line="360" w:lineRule="auto"/>
                        <w:ind w:right="-26" w:firstLine="321" w:firstLineChars="100"/>
                        <w:textAlignment w:val="bottom"/>
                        <w:rPr>
                          <w:rFonts w:ascii="黑体" w:hAnsi="黑体" w:eastAsia="黑体" w:cs="黑体"/>
                          <w:b/>
                          <w:sz w:val="32"/>
                        </w:rPr>
                      </w:pPr>
                      <w:r>
                        <w:rPr>
                          <w:rFonts w:hint="eastAsia" w:ascii="黑体" w:hAnsi="黑体" w:eastAsia="黑体" w:cs="黑体"/>
                          <w:b/>
                          <w:sz w:val="32"/>
                        </w:rPr>
                        <w:t>采 购 人：东莞市大学创新城建设发展有限公司</w:t>
                      </w:r>
                    </w:p>
                    <w:p/>
                  </w:txbxContent>
                </v:textbox>
              </v:shape>
            </w:pict>
          </mc:Fallback>
        </mc:AlternateContent>
      </w:r>
    </w:p>
    <w:p>
      <w:pPr>
        <w:widowControl/>
        <w:spacing w:line="360" w:lineRule="auto"/>
        <w:ind w:right="-26"/>
        <w:jc w:val="center"/>
        <w:textAlignment w:val="bottom"/>
        <w:rPr>
          <w:rFonts w:hAnsi="宋体" w:cs="宋体"/>
          <w:b/>
          <w:color w:val="auto"/>
          <w:sz w:val="44"/>
          <w:highlight w:val="none"/>
        </w:rPr>
      </w:pPr>
    </w:p>
    <w:p>
      <w:pPr>
        <w:widowControl/>
        <w:spacing w:line="360" w:lineRule="auto"/>
        <w:ind w:right="-26"/>
        <w:jc w:val="center"/>
        <w:textAlignment w:val="bottom"/>
        <w:rPr>
          <w:rFonts w:hAnsi="宋体" w:cs="宋体"/>
          <w:b/>
          <w:color w:val="auto"/>
          <w:sz w:val="44"/>
          <w:highlight w:val="none"/>
        </w:rPr>
      </w:pPr>
    </w:p>
    <w:p>
      <w:pPr>
        <w:widowControl/>
        <w:spacing w:line="360" w:lineRule="auto"/>
        <w:ind w:right="-26"/>
        <w:jc w:val="center"/>
        <w:textAlignment w:val="bottom"/>
        <w:rPr>
          <w:rFonts w:hAnsi="宋体" w:cs="宋体"/>
          <w:b/>
          <w:color w:val="auto"/>
          <w:sz w:val="44"/>
          <w:highlight w:val="none"/>
        </w:rPr>
      </w:pPr>
    </w:p>
    <w:p>
      <w:pPr>
        <w:widowControl/>
        <w:spacing w:line="360" w:lineRule="auto"/>
        <w:ind w:right="-26"/>
        <w:textAlignment w:val="bottom"/>
        <w:rPr>
          <w:rFonts w:hAnsi="宋体" w:cs="宋体"/>
          <w:b/>
          <w:color w:val="auto"/>
          <w:sz w:val="32"/>
          <w:highlight w:val="none"/>
        </w:rPr>
      </w:pPr>
    </w:p>
    <w:p>
      <w:pPr>
        <w:widowControl/>
        <w:spacing w:line="360" w:lineRule="auto"/>
        <w:ind w:right="-26"/>
        <w:textAlignment w:val="bottom"/>
        <w:rPr>
          <w:rFonts w:hAnsi="宋体" w:cs="宋体"/>
          <w:b/>
          <w:color w:val="auto"/>
          <w:sz w:val="32"/>
          <w:highlight w:val="none"/>
        </w:rPr>
      </w:pPr>
      <w:r>
        <w:rPr>
          <w:rFonts w:hint="eastAsia" w:hAnsi="宋体"/>
          <w:bCs/>
          <w:color w:val="auto"/>
          <w:sz w:val="21"/>
          <w:szCs w:val="21"/>
          <w:highlight w:val="none"/>
        </w:rPr>
        <w:drawing>
          <wp:anchor distT="0" distB="0" distL="114300" distR="114300" simplePos="0" relativeHeight="251660288" behindDoc="1" locked="0" layoutInCell="1" allowOverlap="1">
            <wp:simplePos x="0" y="0"/>
            <wp:positionH relativeFrom="column">
              <wp:posOffset>358775</wp:posOffset>
            </wp:positionH>
            <wp:positionV relativeFrom="paragraph">
              <wp:posOffset>350520</wp:posOffset>
            </wp:positionV>
            <wp:extent cx="977900" cy="977900"/>
            <wp:effectExtent l="0" t="0" r="12700" b="12700"/>
            <wp:wrapNone/>
            <wp:docPr id="2"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公司logo"/>
                    <pic:cNvPicPr>
                      <a:picLocks noChangeAspect="1"/>
                    </pic:cNvPicPr>
                  </pic:nvPicPr>
                  <pic:blipFill>
                    <a:blip r:embed="rId13"/>
                    <a:stretch>
                      <a:fillRect/>
                    </a:stretch>
                  </pic:blipFill>
                  <pic:spPr>
                    <a:xfrm>
                      <a:off x="0" y="0"/>
                      <a:ext cx="977900" cy="977900"/>
                    </a:xfrm>
                    <a:prstGeom prst="rect">
                      <a:avLst/>
                    </a:prstGeom>
                    <a:noFill/>
                    <a:ln>
                      <a:noFill/>
                    </a:ln>
                  </pic:spPr>
                </pic:pic>
              </a:graphicData>
            </a:graphic>
          </wp:anchor>
        </w:drawing>
      </w:r>
      <w:r>
        <w:rPr>
          <w:rFonts w:hint="eastAsia" w:hAnsi="宋体" w:cs="宋体"/>
          <w:b/>
          <w:color w:val="auto"/>
          <w:sz w:val="32"/>
          <w:highlight w:val="none"/>
        </w:rPr>
        <w:t xml:space="preserve"> </w:t>
      </w:r>
    </w:p>
    <w:p>
      <w:pPr>
        <w:widowControl/>
        <w:spacing w:line="360" w:lineRule="auto"/>
        <w:ind w:right="-26" w:hanging="480"/>
        <w:jc w:val="center"/>
        <w:textAlignment w:val="bottom"/>
        <w:rPr>
          <w:rFonts w:hAnsi="宋体" w:cs="宋体"/>
          <w:b/>
          <w:color w:val="auto"/>
          <w:sz w:val="32"/>
          <w:highlight w:val="none"/>
        </w:rPr>
      </w:pPr>
      <w:r>
        <w:rPr>
          <w:rFonts w:hint="eastAsia" w:hAnsi="宋体" w:cs="宋体"/>
          <w:color w:val="auto"/>
          <w:sz w:val="44"/>
          <w:highlight w:val="none"/>
        </w:rPr>
        <mc:AlternateContent>
          <mc:Choice Requires="wps">
            <w:drawing>
              <wp:anchor distT="0" distB="0" distL="114300" distR="114300" simplePos="0" relativeHeight="251661312" behindDoc="1" locked="0" layoutInCell="1" allowOverlap="1">
                <wp:simplePos x="0" y="0"/>
                <wp:positionH relativeFrom="column">
                  <wp:posOffset>1283970</wp:posOffset>
                </wp:positionH>
                <wp:positionV relativeFrom="paragraph">
                  <wp:posOffset>125095</wp:posOffset>
                </wp:positionV>
                <wp:extent cx="3157855" cy="857885"/>
                <wp:effectExtent l="0" t="0" r="0" b="0"/>
                <wp:wrapNone/>
                <wp:docPr id="3" name="文本框 12"/>
                <wp:cNvGraphicFramePr/>
                <a:graphic xmlns:a="http://schemas.openxmlformats.org/drawingml/2006/main">
                  <a:graphicData uri="http://schemas.microsoft.com/office/word/2010/wordprocessingShape">
                    <wps:wsp>
                      <wps:cNvSpPr txBox="1"/>
                      <wps:spPr>
                        <a:xfrm>
                          <a:off x="0" y="0"/>
                          <a:ext cx="3157855" cy="857885"/>
                        </a:xfrm>
                        <a:prstGeom prst="rect">
                          <a:avLst/>
                        </a:prstGeom>
                        <a:noFill/>
                        <a:ln w="15875">
                          <a:noFill/>
                        </a:ln>
                      </wps:spPr>
                      <wps:txbx>
                        <w:txbxContent>
                          <w:p>
                            <w:pPr>
                              <w:widowControl/>
                              <w:spacing w:line="360" w:lineRule="auto"/>
                              <w:ind w:right="-26"/>
                              <w:textAlignment w:val="bottom"/>
                              <w:rPr>
                                <w:rFonts w:hAnsi="宋体" w:cs="宋体"/>
                                <w:b/>
                                <w:sz w:val="32"/>
                              </w:rPr>
                            </w:pPr>
                            <w:r>
                              <w:rPr>
                                <w:rFonts w:hint="eastAsia" w:hAnsi="宋体" w:cs="宋体"/>
                                <w:b/>
                                <w:sz w:val="32"/>
                              </w:rPr>
                              <w:t xml:space="preserve">广东泰通伟业工程咨询有限公司 </w:t>
                            </w:r>
                          </w:p>
                          <w:p>
                            <w:pPr>
                              <w:widowControl/>
                              <w:spacing w:line="360" w:lineRule="auto"/>
                              <w:ind w:right="-26" w:hanging="480"/>
                              <w:jc w:val="center"/>
                              <w:textAlignment w:val="bottom"/>
                              <w:rPr>
                                <w:rFonts w:hAnsi="宋体" w:cs="宋体"/>
                                <w:b/>
                                <w:sz w:val="32"/>
                              </w:rPr>
                            </w:pPr>
                            <w:r>
                              <w:rPr>
                                <w:rFonts w:hint="eastAsia" w:hAnsi="宋体" w:cs="宋体"/>
                                <w:b/>
                                <w:sz w:val="32"/>
                              </w:rPr>
                              <w:t xml:space="preserve">  二〇二二年</w:t>
                            </w:r>
                            <w:r>
                              <w:rPr>
                                <w:rFonts w:hint="eastAsia" w:hAnsi="宋体" w:cs="宋体"/>
                                <w:b/>
                                <w:sz w:val="32"/>
                                <w:lang w:eastAsia="zh-CN"/>
                              </w:rPr>
                              <w:t>十一</w:t>
                            </w:r>
                            <w:r>
                              <w:rPr>
                                <w:rFonts w:hint="eastAsia" w:hAnsi="宋体" w:cs="宋体"/>
                                <w:b/>
                                <w:sz w:val="32"/>
                              </w:rPr>
                              <w:t>月</w:t>
                            </w:r>
                          </w:p>
                          <w:p/>
                        </w:txbxContent>
                      </wps:txbx>
                      <wps:bodyPr wrap="square" upright="1"/>
                    </wps:wsp>
                  </a:graphicData>
                </a:graphic>
              </wp:anchor>
            </w:drawing>
          </mc:Choice>
          <mc:Fallback>
            <w:pict>
              <v:shape id="文本框 12" o:spid="_x0000_s1026" o:spt="202" type="#_x0000_t202" style="position:absolute;left:0pt;margin-left:101.1pt;margin-top:9.85pt;height:67.55pt;width:248.65pt;z-index:-251655168;mso-width-relative:page;mso-height-relative:page;" filled="f" stroked="f" coordsize="21600,21600" o:gfxdata="UEsDBAoAAAAAAIdO4kAAAAAAAAAAAAAAAAAEAAAAZHJzL1BLAwQUAAAACACHTuJA8xfALNwAAAAK&#10;AQAADwAAAGRycy9kb3ducmV2LnhtbE2PwU7DMAyG70i8Q2QkLoglq7bRlqY7MO2AYEIMBByz1rQV&#10;jVM1abvx9JgTHO3/0+/P2fpoWzFi7xtHGuYzBQKpcGVDlYbXl+11DMIHQ6VpHaGGE3pY5+dnmUlL&#10;N9EzjvtQCS4hnxoNdQhdKqUvarTGz1yHxNmn660JPPaVLHszcbltZaTUSlrTEF+oTYd3NRZf+8Fq&#10;GHdq8fZYvJ+Gq+3m4z5+2viH6Vvry4u5ugUR8Bj+YPjVZ3XI2engBiq9aDVEKooY5SC5AcHAKkmW&#10;IA68WC5ikHkm/7+Q/wBQSwMEFAAAAAgAh07iQKlGwIO/AQAAZwMAAA4AAABkcnMvZTJvRG9jLnht&#10;bK1TS27bMBDdF+gdCO5r2Q7UCILlAIGRboq2QNoD0NTIIsBfOLQlX6C9QVfddN9z+RwdUo4TpJss&#10;uqGG83kz7w21uhmNZgcIqJxt+GI25wysdK2yu4Z/+3r3ruIMo7Ct0M5Cw4+A/Gb99s1q8DUsXe90&#10;C4ERiMV68A3vY/R1UaDswQicOQ+Wgp0LRkS6hl3RBjEQutHFcj5/XwwutD44CYjk3UxBfkYMrwF0&#10;XackbJzcG7BxQg2gRSRK2CuPfJ2n7TqQ8XPXIUSmG05MYz6pCdnbdBbrlah3QfheyfMI4jUjvOBk&#10;hLLU9AK1EVGwfVD/QBklg0PXxZl0ppiIZEWIxWL+Qpv7XnjIXEhq9BfR8f/Byk+HL4GptuFXnFlh&#10;aOGnnz9Ov/6cfn9ni2XSZ/BYU9q9p8Q43rqRXs2jH8mZaI9dMOlLhBjFSd3jRV0YI5PkvFqU11VZ&#10;ciYpVpFdlQmmeKr2AeMHcIYlo+GBtpdFFYePGKfUx5TUzLo7pXXeoLZsoLHK6rrMFZcQoWtLTRKJ&#10;adhkxXE7npltXXskYgM9gYbjw14E4Gzvg9r1NEImmotJ/zzr+a2kBT+/5xZP/8f6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MXwCzcAAAACgEAAA8AAAAAAAAAAQAgAAAAIgAAAGRycy9kb3ducmV2&#10;LnhtbFBLAQIUABQAAAAIAIdO4kCpRsCDvwEAAGcDAAAOAAAAAAAAAAEAIAAAACsBAABkcnMvZTJv&#10;RG9jLnhtbFBLBQYAAAAABgAGAFkBAABcBQAAAAA=&#10;">
                <v:fill on="f" focussize="0,0"/>
                <v:stroke on="f" weight="1.25pt"/>
                <v:imagedata o:title=""/>
                <o:lock v:ext="edit" aspectratio="f"/>
                <v:textbox>
                  <w:txbxContent>
                    <w:p>
                      <w:pPr>
                        <w:widowControl/>
                        <w:spacing w:line="360" w:lineRule="auto"/>
                        <w:ind w:right="-26"/>
                        <w:textAlignment w:val="bottom"/>
                        <w:rPr>
                          <w:rFonts w:hAnsi="宋体" w:cs="宋体"/>
                          <w:b/>
                          <w:sz w:val="32"/>
                        </w:rPr>
                      </w:pPr>
                      <w:r>
                        <w:rPr>
                          <w:rFonts w:hint="eastAsia" w:hAnsi="宋体" w:cs="宋体"/>
                          <w:b/>
                          <w:sz w:val="32"/>
                        </w:rPr>
                        <w:t xml:space="preserve">广东泰通伟业工程咨询有限公司 </w:t>
                      </w:r>
                    </w:p>
                    <w:p>
                      <w:pPr>
                        <w:widowControl/>
                        <w:spacing w:line="360" w:lineRule="auto"/>
                        <w:ind w:right="-26" w:hanging="480"/>
                        <w:jc w:val="center"/>
                        <w:textAlignment w:val="bottom"/>
                        <w:rPr>
                          <w:rFonts w:hAnsi="宋体" w:cs="宋体"/>
                          <w:b/>
                          <w:sz w:val="32"/>
                        </w:rPr>
                      </w:pPr>
                      <w:r>
                        <w:rPr>
                          <w:rFonts w:hint="eastAsia" w:hAnsi="宋体" w:cs="宋体"/>
                          <w:b/>
                          <w:sz w:val="32"/>
                        </w:rPr>
                        <w:t xml:space="preserve">  二〇二二年</w:t>
                      </w:r>
                      <w:r>
                        <w:rPr>
                          <w:rFonts w:hint="eastAsia" w:hAnsi="宋体" w:cs="宋体"/>
                          <w:b/>
                          <w:sz w:val="32"/>
                          <w:lang w:eastAsia="zh-CN"/>
                        </w:rPr>
                        <w:t>十一</w:t>
                      </w:r>
                      <w:r>
                        <w:rPr>
                          <w:rFonts w:hint="eastAsia" w:hAnsi="宋体" w:cs="宋体"/>
                          <w:b/>
                          <w:sz w:val="32"/>
                        </w:rPr>
                        <w:t>月</w:t>
                      </w:r>
                    </w:p>
                    <w:p/>
                  </w:txbxContent>
                </v:textbox>
              </v:shape>
            </w:pict>
          </mc:Fallback>
        </mc:AlternateContent>
      </w:r>
      <w:r>
        <w:rPr>
          <w:rFonts w:hint="eastAsia" w:hAnsi="宋体" w:cs="宋体"/>
          <w:b/>
          <w:color w:val="auto"/>
          <w:sz w:val="32"/>
          <w:highlight w:val="none"/>
        </w:rPr>
        <w:t xml:space="preserve">       </w:t>
      </w:r>
    </w:p>
    <w:p>
      <w:pPr>
        <w:widowControl/>
        <w:spacing w:line="360" w:lineRule="auto"/>
        <w:ind w:right="-26" w:hanging="480"/>
        <w:jc w:val="center"/>
        <w:textAlignment w:val="bottom"/>
        <w:rPr>
          <w:rFonts w:hAnsi="宋体" w:cs="宋体"/>
          <w:b/>
          <w:color w:val="auto"/>
          <w:sz w:val="32"/>
          <w:highlight w:val="none"/>
        </w:rPr>
      </w:pPr>
    </w:p>
    <w:p>
      <w:pPr>
        <w:widowControl/>
        <w:spacing w:line="360" w:lineRule="auto"/>
        <w:ind w:right="-26" w:hanging="480"/>
        <w:jc w:val="center"/>
        <w:textAlignment w:val="bottom"/>
        <w:rPr>
          <w:rFonts w:hAnsi="宋体" w:cs="宋体"/>
          <w:b/>
          <w:color w:val="auto"/>
          <w:sz w:val="32"/>
          <w:highlight w:val="none"/>
        </w:rPr>
      </w:pPr>
    </w:p>
    <w:p>
      <w:pPr>
        <w:widowControl/>
        <w:spacing w:line="360" w:lineRule="auto"/>
        <w:ind w:right="-26" w:hanging="480"/>
        <w:jc w:val="center"/>
        <w:textAlignment w:val="bottom"/>
        <w:rPr>
          <w:rFonts w:hAnsi="宋体" w:cs="宋体"/>
          <w:b/>
          <w:color w:val="auto"/>
          <w:sz w:val="32"/>
          <w:highlight w:val="none"/>
        </w:rPr>
      </w:pPr>
    </w:p>
    <w:p>
      <w:pPr>
        <w:widowControl/>
        <w:spacing w:line="360" w:lineRule="auto"/>
        <w:ind w:right="-26" w:hanging="480"/>
        <w:jc w:val="center"/>
        <w:textAlignment w:val="bottom"/>
        <w:rPr>
          <w:rFonts w:hAnsi="宋体" w:cs="宋体"/>
          <w:b/>
          <w:color w:val="auto"/>
          <w:sz w:val="32"/>
          <w:highlight w:val="none"/>
        </w:rPr>
      </w:pPr>
    </w:p>
    <w:p>
      <w:pPr>
        <w:jc w:val="center"/>
        <w:rPr>
          <w:rFonts w:hAnsi="宋体" w:cs="宋体"/>
          <w:color w:val="auto"/>
          <w:highlight w:val="none"/>
          <w:lang w:val="zh-CN"/>
        </w:rPr>
        <w:sectPr>
          <w:headerReference r:id="rId4" w:type="first"/>
          <w:headerReference r:id="rId3" w:type="default"/>
          <w:footerReference r:id="rId5" w:type="default"/>
          <w:footerReference r:id="rId6" w:type="even"/>
          <w:type w:val="nextColumn"/>
          <w:pgSz w:w="11907" w:h="16840"/>
          <w:pgMar w:top="1440" w:right="1800" w:bottom="1440" w:left="1800" w:header="851" w:footer="992" w:gutter="0"/>
          <w:pgNumType w:start="0"/>
          <w:cols w:space="720" w:num="1"/>
          <w:docGrid w:type="lines" w:linePitch="312" w:charSpace="0"/>
        </w:sectPr>
      </w:pPr>
      <w:bookmarkStart w:id="0" w:name="_Toc13507"/>
    </w:p>
    <w:p>
      <w:pPr>
        <w:jc w:val="center"/>
        <w:rPr>
          <w:rFonts w:hAnsi="宋体" w:cs="宋体"/>
          <w:color w:val="auto"/>
          <w:highlight w:val="none"/>
        </w:rPr>
      </w:pPr>
      <w:r>
        <w:rPr>
          <w:rFonts w:hint="eastAsia" w:hAnsi="宋体" w:cs="宋体"/>
          <w:b/>
          <w:bCs/>
          <w:color w:val="auto"/>
          <w:sz w:val="32"/>
          <w:szCs w:val="32"/>
          <w:highlight w:val="none"/>
          <w:lang w:val="zh-CN"/>
        </w:rPr>
        <w:t>目   录</w:t>
      </w:r>
      <w:bookmarkEnd w:id="0"/>
      <w:bookmarkStart w:id="1" w:name="_Toc396137229"/>
      <w:r>
        <w:rPr>
          <w:rFonts w:hint="eastAsia" w:hAnsi="宋体" w:cs="宋体"/>
          <w:b/>
          <w:bCs/>
          <w:caps/>
          <w:color w:val="auto"/>
          <w:sz w:val="21"/>
          <w:szCs w:val="21"/>
          <w:highlight w:val="none"/>
        </w:rPr>
        <w:fldChar w:fldCharType="begin"/>
      </w:r>
      <w:r>
        <w:rPr>
          <w:rStyle w:val="59"/>
          <w:rFonts w:hint="eastAsia" w:hAnsi="宋体" w:cs="宋体"/>
          <w:b/>
          <w:bCs/>
          <w:caps/>
          <w:color w:val="auto"/>
          <w:sz w:val="21"/>
          <w:szCs w:val="21"/>
          <w:highlight w:val="none"/>
        </w:rPr>
        <w:instrText xml:space="preserve"> TOC \o "1-3" \h \z \u </w:instrText>
      </w:r>
      <w:r>
        <w:rPr>
          <w:rFonts w:hint="eastAsia" w:hAnsi="宋体" w:cs="宋体"/>
          <w:b/>
          <w:bCs/>
          <w:caps/>
          <w:color w:val="auto"/>
          <w:sz w:val="21"/>
          <w:szCs w:val="21"/>
          <w:highlight w:val="none"/>
        </w:rPr>
        <w:fldChar w:fldCharType="separate"/>
      </w:r>
    </w:p>
    <w:p>
      <w:pPr>
        <w:pStyle w:val="36"/>
        <w:tabs>
          <w:tab w:val="right" w:leader="dot" w:pos="9088"/>
        </w:tabs>
        <w:spacing w:line="360" w:lineRule="auto"/>
        <w:rPr>
          <w:rFonts w:ascii="宋体" w:hAnsi="宋体" w:cs="宋体"/>
          <w:color w:val="auto"/>
          <w:sz w:val="21"/>
          <w:szCs w:val="21"/>
          <w:highlight w:val="none"/>
        </w:rPr>
      </w:pPr>
      <w:r>
        <w:rPr>
          <w:color w:val="auto"/>
          <w:highlight w:val="none"/>
        </w:rPr>
        <w:fldChar w:fldCharType="begin"/>
      </w:r>
      <w:r>
        <w:rPr>
          <w:color w:val="auto"/>
          <w:highlight w:val="none"/>
        </w:rPr>
        <w:instrText xml:space="preserve"> HYPERLINK \l "_Toc29316" </w:instrText>
      </w:r>
      <w:r>
        <w:rPr>
          <w:color w:val="auto"/>
          <w:highlight w:val="none"/>
        </w:rPr>
        <w:fldChar w:fldCharType="separate"/>
      </w:r>
      <w:r>
        <w:rPr>
          <w:rFonts w:hint="eastAsia" w:ascii="宋体" w:hAnsi="宋体" w:cs="宋体"/>
          <w:bCs w:val="0"/>
          <w:color w:val="auto"/>
          <w:kern w:val="44"/>
          <w:sz w:val="21"/>
          <w:szCs w:val="21"/>
          <w:highlight w:val="none"/>
          <w:lang w:val="zh-CN"/>
        </w:rPr>
        <w:t xml:space="preserve">第一篇 </w:t>
      </w:r>
      <w:r>
        <w:rPr>
          <w:rFonts w:hint="eastAsia" w:ascii="宋体" w:hAnsi="宋体" w:cs="宋体"/>
          <w:color w:val="auto"/>
          <w:kern w:val="44"/>
          <w:sz w:val="21"/>
          <w:szCs w:val="21"/>
          <w:highlight w:val="none"/>
        </w:rPr>
        <w:t>投标邀请书</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_Toc29316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3</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pPr>
        <w:pStyle w:val="36"/>
        <w:tabs>
          <w:tab w:val="right" w:leader="dot" w:pos="9088"/>
        </w:tabs>
        <w:spacing w:line="360" w:lineRule="auto"/>
        <w:rPr>
          <w:rFonts w:ascii="宋体" w:hAnsi="宋体" w:cs="宋体"/>
          <w:color w:val="auto"/>
          <w:sz w:val="21"/>
          <w:szCs w:val="21"/>
          <w:highlight w:val="none"/>
        </w:rPr>
      </w:pPr>
      <w:r>
        <w:rPr>
          <w:color w:val="auto"/>
          <w:highlight w:val="none"/>
        </w:rPr>
        <w:fldChar w:fldCharType="begin"/>
      </w:r>
      <w:r>
        <w:rPr>
          <w:color w:val="auto"/>
          <w:highlight w:val="none"/>
        </w:rPr>
        <w:instrText xml:space="preserve"> HYPERLINK \l "_Toc7243" </w:instrText>
      </w:r>
      <w:r>
        <w:rPr>
          <w:color w:val="auto"/>
          <w:highlight w:val="none"/>
        </w:rPr>
        <w:fldChar w:fldCharType="separate"/>
      </w:r>
      <w:r>
        <w:rPr>
          <w:rFonts w:hint="eastAsia" w:ascii="宋体" w:hAnsi="宋体" w:cs="宋体"/>
          <w:bCs w:val="0"/>
          <w:color w:val="auto"/>
          <w:kern w:val="44"/>
          <w:sz w:val="21"/>
          <w:szCs w:val="21"/>
          <w:highlight w:val="none"/>
          <w:lang w:val="zh-CN"/>
        </w:rPr>
        <w:t xml:space="preserve">第二篇 </w:t>
      </w:r>
      <w:r>
        <w:rPr>
          <w:rFonts w:hint="eastAsia" w:ascii="宋体" w:hAnsi="宋体" w:cs="宋体"/>
          <w:color w:val="auto"/>
          <w:kern w:val="44"/>
          <w:sz w:val="21"/>
          <w:szCs w:val="21"/>
          <w:highlight w:val="none"/>
          <w:lang w:val="zh-CN"/>
        </w:rPr>
        <w:t>投标人须知</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_Toc7243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5</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pPr>
        <w:pStyle w:val="43"/>
        <w:tabs>
          <w:tab w:val="right" w:leader="dot" w:pos="9088"/>
        </w:tabs>
        <w:spacing w:line="360" w:lineRule="auto"/>
        <w:rPr>
          <w:rFonts w:ascii="宋体" w:hAnsi="宋体" w:cs="宋体"/>
          <w:color w:val="auto"/>
          <w:sz w:val="21"/>
          <w:szCs w:val="21"/>
          <w:highlight w:val="none"/>
        </w:rPr>
      </w:pPr>
      <w:r>
        <w:rPr>
          <w:color w:val="auto"/>
          <w:highlight w:val="none"/>
        </w:rPr>
        <w:fldChar w:fldCharType="begin"/>
      </w:r>
      <w:r>
        <w:rPr>
          <w:color w:val="auto"/>
          <w:highlight w:val="none"/>
        </w:rPr>
        <w:instrText xml:space="preserve"> HYPERLINK \l "_Toc5324" </w:instrText>
      </w:r>
      <w:r>
        <w:rPr>
          <w:color w:val="auto"/>
          <w:highlight w:val="none"/>
        </w:rPr>
        <w:fldChar w:fldCharType="separate"/>
      </w:r>
      <w:r>
        <w:rPr>
          <w:rFonts w:hint="eastAsia" w:ascii="宋体" w:hAnsi="宋体" w:cs="宋体"/>
          <w:color w:val="auto"/>
          <w:sz w:val="21"/>
          <w:szCs w:val="21"/>
          <w:highlight w:val="none"/>
          <w:lang w:val="zh-CN"/>
        </w:rPr>
        <w:t>一、 投标人须知前附表</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_Toc5324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5</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pPr>
        <w:pStyle w:val="43"/>
        <w:tabs>
          <w:tab w:val="right" w:leader="dot" w:pos="9088"/>
        </w:tabs>
        <w:spacing w:line="360" w:lineRule="auto"/>
        <w:rPr>
          <w:rFonts w:ascii="宋体" w:hAnsi="宋体" w:cs="宋体"/>
          <w:color w:val="auto"/>
          <w:sz w:val="21"/>
          <w:szCs w:val="21"/>
          <w:highlight w:val="none"/>
        </w:rPr>
      </w:pPr>
      <w:r>
        <w:rPr>
          <w:color w:val="auto"/>
          <w:highlight w:val="none"/>
        </w:rPr>
        <w:fldChar w:fldCharType="begin"/>
      </w:r>
      <w:r>
        <w:rPr>
          <w:color w:val="auto"/>
          <w:highlight w:val="none"/>
        </w:rPr>
        <w:instrText xml:space="preserve"> HYPERLINK \l "_Toc982" </w:instrText>
      </w:r>
      <w:r>
        <w:rPr>
          <w:color w:val="auto"/>
          <w:highlight w:val="none"/>
        </w:rPr>
        <w:fldChar w:fldCharType="separate"/>
      </w:r>
      <w:r>
        <w:rPr>
          <w:rFonts w:hint="eastAsia" w:ascii="宋体" w:hAnsi="宋体" w:cs="宋体"/>
          <w:color w:val="auto"/>
          <w:sz w:val="21"/>
          <w:szCs w:val="21"/>
          <w:highlight w:val="none"/>
          <w:lang w:val="zh-CN"/>
        </w:rPr>
        <w:t>二、 投标人须知通用条款</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_Toc982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7</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pPr>
        <w:pStyle w:val="28"/>
        <w:tabs>
          <w:tab w:val="right" w:leader="dot" w:pos="9088"/>
        </w:tabs>
        <w:spacing w:line="360" w:lineRule="auto"/>
        <w:rPr>
          <w:rFonts w:ascii="宋体" w:hAnsi="宋体" w:cs="宋体"/>
          <w:i w:val="0"/>
          <w:iCs w:val="0"/>
          <w:color w:val="auto"/>
          <w:sz w:val="21"/>
          <w:szCs w:val="21"/>
          <w:highlight w:val="none"/>
        </w:rPr>
      </w:pPr>
      <w:r>
        <w:rPr>
          <w:color w:val="auto"/>
          <w:highlight w:val="none"/>
        </w:rPr>
        <w:fldChar w:fldCharType="begin"/>
      </w:r>
      <w:r>
        <w:rPr>
          <w:color w:val="auto"/>
          <w:highlight w:val="none"/>
        </w:rPr>
        <w:instrText xml:space="preserve"> HYPERLINK \l "_Toc13126" </w:instrText>
      </w:r>
      <w:r>
        <w:rPr>
          <w:color w:val="auto"/>
          <w:highlight w:val="none"/>
        </w:rPr>
        <w:fldChar w:fldCharType="separate"/>
      </w:r>
      <w:r>
        <w:rPr>
          <w:rFonts w:hint="eastAsia" w:ascii="宋体" w:hAnsi="宋体" w:cs="宋体"/>
          <w:bCs/>
          <w:i w:val="0"/>
          <w:iCs w:val="0"/>
          <w:color w:val="auto"/>
          <w:kern w:val="44"/>
          <w:sz w:val="21"/>
          <w:szCs w:val="21"/>
          <w:highlight w:val="none"/>
          <w:lang w:val="zh-CN"/>
        </w:rPr>
        <w:t>（一）总则</w:t>
      </w:r>
      <w:r>
        <w:rPr>
          <w:rFonts w:hint="eastAsia" w:ascii="宋体" w:hAnsi="宋体" w:cs="宋体"/>
          <w:i w:val="0"/>
          <w:iCs w:val="0"/>
          <w:color w:val="auto"/>
          <w:sz w:val="21"/>
          <w:szCs w:val="21"/>
          <w:highlight w:val="none"/>
        </w:rPr>
        <w:tab/>
      </w:r>
      <w:r>
        <w:rPr>
          <w:rFonts w:hint="eastAsia" w:ascii="宋体" w:hAnsi="宋体" w:cs="宋体"/>
          <w:i w:val="0"/>
          <w:iCs w:val="0"/>
          <w:color w:val="auto"/>
          <w:sz w:val="21"/>
          <w:szCs w:val="21"/>
          <w:highlight w:val="none"/>
        </w:rPr>
        <w:fldChar w:fldCharType="begin"/>
      </w:r>
      <w:r>
        <w:rPr>
          <w:rFonts w:hint="eastAsia" w:ascii="宋体" w:hAnsi="宋体" w:cs="宋体"/>
          <w:i w:val="0"/>
          <w:iCs w:val="0"/>
          <w:color w:val="auto"/>
          <w:sz w:val="21"/>
          <w:szCs w:val="21"/>
          <w:highlight w:val="none"/>
        </w:rPr>
        <w:instrText xml:space="preserve"> PAGEREF _Toc13126 \h </w:instrText>
      </w:r>
      <w:r>
        <w:rPr>
          <w:rFonts w:hint="eastAsia" w:ascii="宋体" w:hAnsi="宋体" w:cs="宋体"/>
          <w:i w:val="0"/>
          <w:iCs w:val="0"/>
          <w:color w:val="auto"/>
          <w:sz w:val="21"/>
          <w:szCs w:val="21"/>
          <w:highlight w:val="none"/>
        </w:rPr>
        <w:fldChar w:fldCharType="separate"/>
      </w:r>
      <w:r>
        <w:rPr>
          <w:rFonts w:hint="eastAsia" w:ascii="宋体" w:hAnsi="宋体" w:cs="宋体"/>
          <w:i w:val="0"/>
          <w:iCs w:val="0"/>
          <w:color w:val="auto"/>
          <w:sz w:val="21"/>
          <w:szCs w:val="21"/>
          <w:highlight w:val="none"/>
        </w:rPr>
        <w:t>7</w:t>
      </w:r>
      <w:r>
        <w:rPr>
          <w:rFonts w:hint="eastAsia" w:ascii="宋体" w:hAnsi="宋体" w:cs="宋体"/>
          <w:i w:val="0"/>
          <w:iCs w:val="0"/>
          <w:color w:val="auto"/>
          <w:sz w:val="21"/>
          <w:szCs w:val="21"/>
          <w:highlight w:val="none"/>
        </w:rPr>
        <w:fldChar w:fldCharType="end"/>
      </w:r>
      <w:r>
        <w:rPr>
          <w:rFonts w:hint="eastAsia" w:ascii="宋体" w:hAnsi="宋体" w:cs="宋体"/>
          <w:i w:val="0"/>
          <w:iCs w:val="0"/>
          <w:color w:val="auto"/>
          <w:sz w:val="21"/>
          <w:szCs w:val="21"/>
          <w:highlight w:val="none"/>
        </w:rPr>
        <w:fldChar w:fldCharType="end"/>
      </w:r>
    </w:p>
    <w:p>
      <w:pPr>
        <w:pStyle w:val="28"/>
        <w:tabs>
          <w:tab w:val="right" w:leader="dot" w:pos="9088"/>
        </w:tabs>
        <w:spacing w:line="360" w:lineRule="auto"/>
        <w:rPr>
          <w:rFonts w:ascii="宋体" w:hAnsi="宋体" w:cs="宋体"/>
          <w:i w:val="0"/>
          <w:iCs w:val="0"/>
          <w:color w:val="auto"/>
          <w:sz w:val="21"/>
          <w:szCs w:val="21"/>
          <w:highlight w:val="none"/>
        </w:rPr>
      </w:pPr>
      <w:r>
        <w:rPr>
          <w:color w:val="auto"/>
          <w:highlight w:val="none"/>
        </w:rPr>
        <w:fldChar w:fldCharType="begin"/>
      </w:r>
      <w:r>
        <w:rPr>
          <w:color w:val="auto"/>
          <w:highlight w:val="none"/>
        </w:rPr>
        <w:instrText xml:space="preserve"> HYPERLINK \l "_Toc4686" </w:instrText>
      </w:r>
      <w:r>
        <w:rPr>
          <w:color w:val="auto"/>
          <w:highlight w:val="none"/>
        </w:rPr>
        <w:fldChar w:fldCharType="separate"/>
      </w:r>
      <w:r>
        <w:rPr>
          <w:rFonts w:hint="eastAsia" w:ascii="宋体" w:hAnsi="宋体" w:cs="宋体"/>
          <w:i w:val="0"/>
          <w:iCs w:val="0"/>
          <w:color w:val="auto"/>
          <w:kern w:val="2"/>
          <w:sz w:val="21"/>
          <w:szCs w:val="21"/>
          <w:highlight w:val="none"/>
          <w:lang w:val="zh-CN"/>
        </w:rPr>
        <w:t>（二）采购文件</w:t>
      </w:r>
      <w:r>
        <w:rPr>
          <w:rFonts w:hint="eastAsia" w:ascii="宋体" w:hAnsi="宋体" w:cs="宋体"/>
          <w:i w:val="0"/>
          <w:iCs w:val="0"/>
          <w:color w:val="auto"/>
          <w:sz w:val="21"/>
          <w:szCs w:val="21"/>
          <w:highlight w:val="none"/>
        </w:rPr>
        <w:tab/>
      </w:r>
      <w:r>
        <w:rPr>
          <w:rFonts w:hint="eastAsia" w:ascii="宋体" w:hAnsi="宋体" w:cs="宋体"/>
          <w:i w:val="0"/>
          <w:iCs w:val="0"/>
          <w:color w:val="auto"/>
          <w:sz w:val="21"/>
          <w:szCs w:val="21"/>
          <w:highlight w:val="none"/>
        </w:rPr>
        <w:fldChar w:fldCharType="begin"/>
      </w:r>
      <w:r>
        <w:rPr>
          <w:rFonts w:hint="eastAsia" w:ascii="宋体" w:hAnsi="宋体" w:cs="宋体"/>
          <w:i w:val="0"/>
          <w:iCs w:val="0"/>
          <w:color w:val="auto"/>
          <w:sz w:val="21"/>
          <w:szCs w:val="21"/>
          <w:highlight w:val="none"/>
        </w:rPr>
        <w:instrText xml:space="preserve"> PAGEREF _Toc4686 \h </w:instrText>
      </w:r>
      <w:r>
        <w:rPr>
          <w:rFonts w:hint="eastAsia" w:ascii="宋体" w:hAnsi="宋体" w:cs="宋体"/>
          <w:i w:val="0"/>
          <w:iCs w:val="0"/>
          <w:color w:val="auto"/>
          <w:sz w:val="21"/>
          <w:szCs w:val="21"/>
          <w:highlight w:val="none"/>
        </w:rPr>
        <w:fldChar w:fldCharType="separate"/>
      </w:r>
      <w:r>
        <w:rPr>
          <w:rFonts w:hint="eastAsia" w:ascii="宋体" w:hAnsi="宋体" w:cs="宋体"/>
          <w:i w:val="0"/>
          <w:iCs w:val="0"/>
          <w:color w:val="auto"/>
          <w:sz w:val="21"/>
          <w:szCs w:val="21"/>
          <w:highlight w:val="none"/>
        </w:rPr>
        <w:t>10</w:t>
      </w:r>
      <w:r>
        <w:rPr>
          <w:rFonts w:hint="eastAsia" w:ascii="宋体" w:hAnsi="宋体" w:cs="宋体"/>
          <w:i w:val="0"/>
          <w:iCs w:val="0"/>
          <w:color w:val="auto"/>
          <w:sz w:val="21"/>
          <w:szCs w:val="21"/>
          <w:highlight w:val="none"/>
        </w:rPr>
        <w:fldChar w:fldCharType="end"/>
      </w:r>
      <w:r>
        <w:rPr>
          <w:rFonts w:hint="eastAsia" w:ascii="宋体" w:hAnsi="宋体" w:cs="宋体"/>
          <w:i w:val="0"/>
          <w:iCs w:val="0"/>
          <w:color w:val="auto"/>
          <w:sz w:val="21"/>
          <w:szCs w:val="21"/>
          <w:highlight w:val="none"/>
        </w:rPr>
        <w:fldChar w:fldCharType="end"/>
      </w:r>
    </w:p>
    <w:p>
      <w:pPr>
        <w:pStyle w:val="28"/>
        <w:tabs>
          <w:tab w:val="right" w:leader="dot" w:pos="9088"/>
        </w:tabs>
        <w:spacing w:line="360" w:lineRule="auto"/>
        <w:rPr>
          <w:rFonts w:ascii="宋体" w:hAnsi="宋体" w:cs="宋体"/>
          <w:i w:val="0"/>
          <w:iCs w:val="0"/>
          <w:color w:val="auto"/>
          <w:sz w:val="21"/>
          <w:szCs w:val="21"/>
          <w:highlight w:val="none"/>
        </w:rPr>
      </w:pPr>
      <w:r>
        <w:rPr>
          <w:color w:val="auto"/>
          <w:highlight w:val="none"/>
        </w:rPr>
        <w:fldChar w:fldCharType="begin"/>
      </w:r>
      <w:r>
        <w:rPr>
          <w:color w:val="auto"/>
          <w:highlight w:val="none"/>
        </w:rPr>
        <w:instrText xml:space="preserve"> HYPERLINK \l "_Toc12705" </w:instrText>
      </w:r>
      <w:r>
        <w:rPr>
          <w:color w:val="auto"/>
          <w:highlight w:val="none"/>
        </w:rPr>
        <w:fldChar w:fldCharType="separate"/>
      </w:r>
      <w:r>
        <w:rPr>
          <w:rFonts w:hint="eastAsia" w:ascii="宋体" w:hAnsi="宋体" w:cs="宋体"/>
          <w:bCs/>
          <w:i w:val="0"/>
          <w:iCs w:val="0"/>
          <w:color w:val="auto"/>
          <w:kern w:val="44"/>
          <w:sz w:val="21"/>
          <w:szCs w:val="21"/>
          <w:highlight w:val="none"/>
          <w:lang w:val="zh-CN"/>
        </w:rPr>
        <w:t>（三）投标文件的编制</w:t>
      </w:r>
      <w:r>
        <w:rPr>
          <w:rFonts w:hint="eastAsia" w:ascii="宋体" w:hAnsi="宋体" w:cs="宋体"/>
          <w:i w:val="0"/>
          <w:iCs w:val="0"/>
          <w:color w:val="auto"/>
          <w:sz w:val="21"/>
          <w:szCs w:val="21"/>
          <w:highlight w:val="none"/>
        </w:rPr>
        <w:tab/>
      </w:r>
      <w:r>
        <w:rPr>
          <w:rFonts w:hint="eastAsia" w:ascii="宋体" w:hAnsi="宋体" w:cs="宋体"/>
          <w:i w:val="0"/>
          <w:iCs w:val="0"/>
          <w:color w:val="auto"/>
          <w:sz w:val="21"/>
          <w:szCs w:val="21"/>
          <w:highlight w:val="none"/>
        </w:rPr>
        <w:fldChar w:fldCharType="begin"/>
      </w:r>
      <w:r>
        <w:rPr>
          <w:rFonts w:hint="eastAsia" w:ascii="宋体" w:hAnsi="宋体" w:cs="宋体"/>
          <w:i w:val="0"/>
          <w:iCs w:val="0"/>
          <w:color w:val="auto"/>
          <w:sz w:val="21"/>
          <w:szCs w:val="21"/>
          <w:highlight w:val="none"/>
        </w:rPr>
        <w:instrText xml:space="preserve"> PAGEREF _Toc12705 \h </w:instrText>
      </w:r>
      <w:r>
        <w:rPr>
          <w:rFonts w:hint="eastAsia" w:ascii="宋体" w:hAnsi="宋体" w:cs="宋体"/>
          <w:i w:val="0"/>
          <w:iCs w:val="0"/>
          <w:color w:val="auto"/>
          <w:sz w:val="21"/>
          <w:szCs w:val="21"/>
          <w:highlight w:val="none"/>
        </w:rPr>
        <w:fldChar w:fldCharType="separate"/>
      </w:r>
      <w:r>
        <w:rPr>
          <w:rFonts w:hint="eastAsia" w:ascii="宋体" w:hAnsi="宋体" w:cs="宋体"/>
          <w:i w:val="0"/>
          <w:iCs w:val="0"/>
          <w:color w:val="auto"/>
          <w:sz w:val="21"/>
          <w:szCs w:val="21"/>
          <w:highlight w:val="none"/>
        </w:rPr>
        <w:t>10</w:t>
      </w:r>
      <w:r>
        <w:rPr>
          <w:rFonts w:hint="eastAsia" w:ascii="宋体" w:hAnsi="宋体" w:cs="宋体"/>
          <w:i w:val="0"/>
          <w:iCs w:val="0"/>
          <w:color w:val="auto"/>
          <w:sz w:val="21"/>
          <w:szCs w:val="21"/>
          <w:highlight w:val="none"/>
        </w:rPr>
        <w:fldChar w:fldCharType="end"/>
      </w:r>
      <w:r>
        <w:rPr>
          <w:rFonts w:hint="eastAsia" w:ascii="宋体" w:hAnsi="宋体" w:cs="宋体"/>
          <w:i w:val="0"/>
          <w:iCs w:val="0"/>
          <w:color w:val="auto"/>
          <w:sz w:val="21"/>
          <w:szCs w:val="21"/>
          <w:highlight w:val="none"/>
        </w:rPr>
        <w:fldChar w:fldCharType="end"/>
      </w:r>
    </w:p>
    <w:p>
      <w:pPr>
        <w:pStyle w:val="28"/>
        <w:tabs>
          <w:tab w:val="right" w:leader="dot" w:pos="9088"/>
        </w:tabs>
        <w:spacing w:line="360" w:lineRule="auto"/>
        <w:rPr>
          <w:rFonts w:ascii="宋体" w:hAnsi="宋体" w:cs="宋体"/>
          <w:i w:val="0"/>
          <w:iCs w:val="0"/>
          <w:color w:val="auto"/>
          <w:sz w:val="21"/>
          <w:szCs w:val="21"/>
          <w:highlight w:val="none"/>
        </w:rPr>
      </w:pPr>
      <w:r>
        <w:rPr>
          <w:color w:val="auto"/>
          <w:highlight w:val="none"/>
        </w:rPr>
        <w:fldChar w:fldCharType="begin"/>
      </w:r>
      <w:r>
        <w:rPr>
          <w:color w:val="auto"/>
          <w:highlight w:val="none"/>
        </w:rPr>
        <w:instrText xml:space="preserve"> HYPERLINK \l "_Toc20752" </w:instrText>
      </w:r>
      <w:r>
        <w:rPr>
          <w:color w:val="auto"/>
          <w:highlight w:val="none"/>
        </w:rPr>
        <w:fldChar w:fldCharType="separate"/>
      </w:r>
      <w:r>
        <w:rPr>
          <w:rFonts w:hint="eastAsia" w:ascii="宋体" w:hAnsi="宋体" w:cs="宋体"/>
          <w:bCs/>
          <w:i w:val="0"/>
          <w:iCs w:val="0"/>
          <w:color w:val="auto"/>
          <w:kern w:val="44"/>
          <w:sz w:val="21"/>
          <w:szCs w:val="21"/>
          <w:highlight w:val="none"/>
          <w:lang w:val="zh-CN"/>
        </w:rPr>
        <w:t>（四）投标文件的密封、递交</w:t>
      </w:r>
      <w:r>
        <w:rPr>
          <w:rFonts w:hint="eastAsia" w:ascii="宋体" w:hAnsi="宋体" w:cs="宋体"/>
          <w:i w:val="0"/>
          <w:iCs w:val="0"/>
          <w:color w:val="auto"/>
          <w:sz w:val="21"/>
          <w:szCs w:val="21"/>
          <w:highlight w:val="none"/>
        </w:rPr>
        <w:tab/>
      </w:r>
      <w:r>
        <w:rPr>
          <w:rFonts w:hint="eastAsia" w:ascii="宋体" w:hAnsi="宋体" w:cs="宋体"/>
          <w:i w:val="0"/>
          <w:iCs w:val="0"/>
          <w:color w:val="auto"/>
          <w:sz w:val="21"/>
          <w:szCs w:val="21"/>
          <w:highlight w:val="none"/>
        </w:rPr>
        <w:fldChar w:fldCharType="begin"/>
      </w:r>
      <w:r>
        <w:rPr>
          <w:rFonts w:hint="eastAsia" w:ascii="宋体" w:hAnsi="宋体" w:cs="宋体"/>
          <w:i w:val="0"/>
          <w:iCs w:val="0"/>
          <w:color w:val="auto"/>
          <w:sz w:val="21"/>
          <w:szCs w:val="21"/>
          <w:highlight w:val="none"/>
        </w:rPr>
        <w:instrText xml:space="preserve"> PAGEREF _Toc20752 \h </w:instrText>
      </w:r>
      <w:r>
        <w:rPr>
          <w:rFonts w:hint="eastAsia" w:ascii="宋体" w:hAnsi="宋体" w:cs="宋体"/>
          <w:i w:val="0"/>
          <w:iCs w:val="0"/>
          <w:color w:val="auto"/>
          <w:sz w:val="21"/>
          <w:szCs w:val="21"/>
          <w:highlight w:val="none"/>
        </w:rPr>
        <w:fldChar w:fldCharType="separate"/>
      </w:r>
      <w:r>
        <w:rPr>
          <w:rFonts w:hint="eastAsia" w:ascii="宋体" w:hAnsi="宋体" w:cs="宋体"/>
          <w:i w:val="0"/>
          <w:iCs w:val="0"/>
          <w:color w:val="auto"/>
          <w:sz w:val="21"/>
          <w:szCs w:val="21"/>
          <w:highlight w:val="none"/>
        </w:rPr>
        <w:t>14</w:t>
      </w:r>
      <w:r>
        <w:rPr>
          <w:rFonts w:hint="eastAsia" w:ascii="宋体" w:hAnsi="宋体" w:cs="宋体"/>
          <w:i w:val="0"/>
          <w:iCs w:val="0"/>
          <w:color w:val="auto"/>
          <w:sz w:val="21"/>
          <w:szCs w:val="21"/>
          <w:highlight w:val="none"/>
        </w:rPr>
        <w:fldChar w:fldCharType="end"/>
      </w:r>
      <w:r>
        <w:rPr>
          <w:rFonts w:hint="eastAsia" w:ascii="宋体" w:hAnsi="宋体" w:cs="宋体"/>
          <w:i w:val="0"/>
          <w:iCs w:val="0"/>
          <w:color w:val="auto"/>
          <w:sz w:val="21"/>
          <w:szCs w:val="21"/>
          <w:highlight w:val="none"/>
        </w:rPr>
        <w:fldChar w:fldCharType="end"/>
      </w:r>
    </w:p>
    <w:p>
      <w:pPr>
        <w:pStyle w:val="28"/>
        <w:tabs>
          <w:tab w:val="right" w:leader="dot" w:pos="9088"/>
        </w:tabs>
        <w:spacing w:line="360" w:lineRule="auto"/>
        <w:rPr>
          <w:rFonts w:ascii="宋体" w:hAnsi="宋体" w:cs="宋体"/>
          <w:i w:val="0"/>
          <w:iCs w:val="0"/>
          <w:color w:val="auto"/>
          <w:sz w:val="21"/>
          <w:szCs w:val="21"/>
          <w:highlight w:val="none"/>
        </w:rPr>
      </w:pPr>
      <w:r>
        <w:rPr>
          <w:color w:val="auto"/>
          <w:highlight w:val="none"/>
        </w:rPr>
        <w:fldChar w:fldCharType="begin"/>
      </w:r>
      <w:r>
        <w:rPr>
          <w:color w:val="auto"/>
          <w:highlight w:val="none"/>
        </w:rPr>
        <w:instrText xml:space="preserve"> HYPERLINK \l "_Toc8824" </w:instrText>
      </w:r>
      <w:r>
        <w:rPr>
          <w:color w:val="auto"/>
          <w:highlight w:val="none"/>
        </w:rPr>
        <w:fldChar w:fldCharType="separate"/>
      </w:r>
      <w:r>
        <w:rPr>
          <w:rFonts w:hint="eastAsia" w:ascii="宋体" w:hAnsi="宋体" w:cs="宋体"/>
          <w:bCs/>
          <w:i w:val="0"/>
          <w:iCs w:val="0"/>
          <w:color w:val="auto"/>
          <w:kern w:val="44"/>
          <w:sz w:val="21"/>
          <w:szCs w:val="21"/>
          <w:highlight w:val="none"/>
          <w:lang w:val="zh-CN"/>
        </w:rPr>
        <w:t>（五）开标、评标与定标</w:t>
      </w:r>
      <w:r>
        <w:rPr>
          <w:rFonts w:hint="eastAsia" w:ascii="宋体" w:hAnsi="宋体" w:cs="宋体"/>
          <w:i w:val="0"/>
          <w:iCs w:val="0"/>
          <w:color w:val="auto"/>
          <w:sz w:val="21"/>
          <w:szCs w:val="21"/>
          <w:highlight w:val="none"/>
        </w:rPr>
        <w:tab/>
      </w:r>
      <w:r>
        <w:rPr>
          <w:rFonts w:hint="eastAsia" w:ascii="宋体" w:hAnsi="宋体" w:cs="宋体"/>
          <w:i w:val="0"/>
          <w:iCs w:val="0"/>
          <w:color w:val="auto"/>
          <w:sz w:val="21"/>
          <w:szCs w:val="21"/>
          <w:highlight w:val="none"/>
        </w:rPr>
        <w:fldChar w:fldCharType="begin"/>
      </w:r>
      <w:r>
        <w:rPr>
          <w:rFonts w:hint="eastAsia" w:ascii="宋体" w:hAnsi="宋体" w:cs="宋体"/>
          <w:i w:val="0"/>
          <w:iCs w:val="0"/>
          <w:color w:val="auto"/>
          <w:sz w:val="21"/>
          <w:szCs w:val="21"/>
          <w:highlight w:val="none"/>
        </w:rPr>
        <w:instrText xml:space="preserve"> PAGEREF _Toc8824 \h </w:instrText>
      </w:r>
      <w:r>
        <w:rPr>
          <w:rFonts w:hint="eastAsia" w:ascii="宋体" w:hAnsi="宋体" w:cs="宋体"/>
          <w:i w:val="0"/>
          <w:iCs w:val="0"/>
          <w:color w:val="auto"/>
          <w:sz w:val="21"/>
          <w:szCs w:val="21"/>
          <w:highlight w:val="none"/>
        </w:rPr>
        <w:fldChar w:fldCharType="separate"/>
      </w:r>
      <w:r>
        <w:rPr>
          <w:rFonts w:hint="eastAsia" w:ascii="宋体" w:hAnsi="宋体" w:cs="宋体"/>
          <w:i w:val="0"/>
          <w:iCs w:val="0"/>
          <w:color w:val="auto"/>
          <w:sz w:val="21"/>
          <w:szCs w:val="21"/>
          <w:highlight w:val="none"/>
        </w:rPr>
        <w:t>15</w:t>
      </w:r>
      <w:r>
        <w:rPr>
          <w:rFonts w:hint="eastAsia" w:ascii="宋体" w:hAnsi="宋体" w:cs="宋体"/>
          <w:i w:val="0"/>
          <w:iCs w:val="0"/>
          <w:color w:val="auto"/>
          <w:sz w:val="21"/>
          <w:szCs w:val="21"/>
          <w:highlight w:val="none"/>
        </w:rPr>
        <w:fldChar w:fldCharType="end"/>
      </w:r>
      <w:r>
        <w:rPr>
          <w:rFonts w:hint="eastAsia" w:ascii="宋体" w:hAnsi="宋体" w:cs="宋体"/>
          <w:i w:val="0"/>
          <w:iCs w:val="0"/>
          <w:color w:val="auto"/>
          <w:sz w:val="21"/>
          <w:szCs w:val="21"/>
          <w:highlight w:val="none"/>
        </w:rPr>
        <w:fldChar w:fldCharType="end"/>
      </w:r>
    </w:p>
    <w:p>
      <w:pPr>
        <w:pStyle w:val="28"/>
        <w:tabs>
          <w:tab w:val="right" w:leader="dot" w:pos="9088"/>
        </w:tabs>
        <w:spacing w:line="360" w:lineRule="auto"/>
        <w:rPr>
          <w:rFonts w:ascii="宋体" w:hAnsi="宋体" w:cs="宋体"/>
          <w:i w:val="0"/>
          <w:iCs w:val="0"/>
          <w:color w:val="auto"/>
          <w:sz w:val="21"/>
          <w:szCs w:val="21"/>
          <w:highlight w:val="none"/>
        </w:rPr>
      </w:pPr>
      <w:r>
        <w:rPr>
          <w:color w:val="auto"/>
          <w:highlight w:val="none"/>
        </w:rPr>
        <w:fldChar w:fldCharType="begin"/>
      </w:r>
      <w:r>
        <w:rPr>
          <w:color w:val="auto"/>
          <w:highlight w:val="none"/>
        </w:rPr>
        <w:instrText xml:space="preserve"> HYPERLINK \l "_Toc26452" </w:instrText>
      </w:r>
      <w:r>
        <w:rPr>
          <w:color w:val="auto"/>
          <w:highlight w:val="none"/>
        </w:rPr>
        <w:fldChar w:fldCharType="separate"/>
      </w:r>
      <w:r>
        <w:rPr>
          <w:rFonts w:hint="eastAsia" w:ascii="宋体" w:hAnsi="宋体" w:cs="宋体"/>
          <w:bCs/>
          <w:i w:val="0"/>
          <w:iCs w:val="0"/>
          <w:color w:val="auto"/>
          <w:kern w:val="44"/>
          <w:sz w:val="21"/>
          <w:szCs w:val="21"/>
          <w:highlight w:val="none"/>
          <w:lang w:val="zh-CN"/>
        </w:rPr>
        <w:t>（六）授予合同</w:t>
      </w:r>
      <w:r>
        <w:rPr>
          <w:rFonts w:hint="eastAsia" w:ascii="宋体" w:hAnsi="宋体" w:cs="宋体"/>
          <w:i w:val="0"/>
          <w:iCs w:val="0"/>
          <w:color w:val="auto"/>
          <w:sz w:val="21"/>
          <w:szCs w:val="21"/>
          <w:highlight w:val="none"/>
        </w:rPr>
        <w:tab/>
      </w:r>
      <w:r>
        <w:rPr>
          <w:rFonts w:hint="eastAsia" w:ascii="宋体" w:hAnsi="宋体" w:cs="宋体"/>
          <w:i w:val="0"/>
          <w:iCs w:val="0"/>
          <w:color w:val="auto"/>
          <w:sz w:val="21"/>
          <w:szCs w:val="21"/>
          <w:highlight w:val="none"/>
        </w:rPr>
        <w:fldChar w:fldCharType="begin"/>
      </w:r>
      <w:r>
        <w:rPr>
          <w:rFonts w:hint="eastAsia" w:ascii="宋体" w:hAnsi="宋体" w:cs="宋体"/>
          <w:i w:val="0"/>
          <w:iCs w:val="0"/>
          <w:color w:val="auto"/>
          <w:sz w:val="21"/>
          <w:szCs w:val="21"/>
          <w:highlight w:val="none"/>
        </w:rPr>
        <w:instrText xml:space="preserve"> PAGEREF _Toc26452 \h </w:instrText>
      </w:r>
      <w:r>
        <w:rPr>
          <w:rFonts w:hint="eastAsia" w:ascii="宋体" w:hAnsi="宋体" w:cs="宋体"/>
          <w:i w:val="0"/>
          <w:iCs w:val="0"/>
          <w:color w:val="auto"/>
          <w:sz w:val="21"/>
          <w:szCs w:val="21"/>
          <w:highlight w:val="none"/>
        </w:rPr>
        <w:fldChar w:fldCharType="separate"/>
      </w:r>
      <w:r>
        <w:rPr>
          <w:rFonts w:hint="eastAsia" w:ascii="宋体" w:hAnsi="宋体" w:cs="宋体"/>
          <w:i w:val="0"/>
          <w:iCs w:val="0"/>
          <w:color w:val="auto"/>
          <w:sz w:val="21"/>
          <w:szCs w:val="21"/>
          <w:highlight w:val="none"/>
        </w:rPr>
        <w:t>18</w:t>
      </w:r>
      <w:r>
        <w:rPr>
          <w:rFonts w:hint="eastAsia" w:ascii="宋体" w:hAnsi="宋体" w:cs="宋体"/>
          <w:i w:val="0"/>
          <w:iCs w:val="0"/>
          <w:color w:val="auto"/>
          <w:sz w:val="21"/>
          <w:szCs w:val="21"/>
          <w:highlight w:val="none"/>
        </w:rPr>
        <w:fldChar w:fldCharType="end"/>
      </w:r>
      <w:r>
        <w:rPr>
          <w:rFonts w:hint="eastAsia" w:ascii="宋体" w:hAnsi="宋体" w:cs="宋体"/>
          <w:i w:val="0"/>
          <w:iCs w:val="0"/>
          <w:color w:val="auto"/>
          <w:sz w:val="21"/>
          <w:szCs w:val="21"/>
          <w:highlight w:val="none"/>
        </w:rPr>
        <w:fldChar w:fldCharType="end"/>
      </w:r>
    </w:p>
    <w:p>
      <w:pPr>
        <w:pStyle w:val="28"/>
        <w:tabs>
          <w:tab w:val="right" w:leader="dot" w:pos="9088"/>
        </w:tabs>
        <w:spacing w:line="360" w:lineRule="auto"/>
        <w:rPr>
          <w:rFonts w:ascii="宋体" w:hAnsi="宋体" w:cs="宋体"/>
          <w:i w:val="0"/>
          <w:iCs w:val="0"/>
          <w:color w:val="auto"/>
          <w:sz w:val="21"/>
          <w:szCs w:val="21"/>
          <w:highlight w:val="none"/>
        </w:rPr>
      </w:pPr>
      <w:r>
        <w:rPr>
          <w:color w:val="auto"/>
          <w:highlight w:val="none"/>
        </w:rPr>
        <w:fldChar w:fldCharType="begin"/>
      </w:r>
      <w:r>
        <w:rPr>
          <w:color w:val="auto"/>
          <w:highlight w:val="none"/>
        </w:rPr>
        <w:instrText xml:space="preserve"> HYPERLINK \l "_Toc21750" </w:instrText>
      </w:r>
      <w:r>
        <w:rPr>
          <w:color w:val="auto"/>
          <w:highlight w:val="none"/>
        </w:rPr>
        <w:fldChar w:fldCharType="separate"/>
      </w:r>
      <w:r>
        <w:rPr>
          <w:rFonts w:hint="eastAsia" w:ascii="宋体" w:hAnsi="宋体" w:cs="宋体"/>
          <w:bCs/>
          <w:i w:val="0"/>
          <w:iCs w:val="0"/>
          <w:color w:val="auto"/>
          <w:kern w:val="44"/>
          <w:sz w:val="21"/>
          <w:szCs w:val="21"/>
          <w:highlight w:val="none"/>
          <w:lang w:val="zh-CN"/>
        </w:rPr>
        <w:t>（七）询问、质疑与投诉</w:t>
      </w:r>
      <w:r>
        <w:rPr>
          <w:rFonts w:hint="eastAsia" w:ascii="宋体" w:hAnsi="宋体" w:cs="宋体"/>
          <w:i w:val="0"/>
          <w:iCs w:val="0"/>
          <w:color w:val="auto"/>
          <w:sz w:val="21"/>
          <w:szCs w:val="21"/>
          <w:highlight w:val="none"/>
        </w:rPr>
        <w:tab/>
      </w:r>
      <w:r>
        <w:rPr>
          <w:rFonts w:hint="eastAsia" w:ascii="宋体" w:hAnsi="宋体" w:cs="宋体"/>
          <w:i w:val="0"/>
          <w:iCs w:val="0"/>
          <w:color w:val="auto"/>
          <w:sz w:val="21"/>
          <w:szCs w:val="21"/>
          <w:highlight w:val="none"/>
        </w:rPr>
        <w:fldChar w:fldCharType="begin"/>
      </w:r>
      <w:r>
        <w:rPr>
          <w:rFonts w:hint="eastAsia" w:ascii="宋体" w:hAnsi="宋体" w:cs="宋体"/>
          <w:i w:val="0"/>
          <w:iCs w:val="0"/>
          <w:color w:val="auto"/>
          <w:sz w:val="21"/>
          <w:szCs w:val="21"/>
          <w:highlight w:val="none"/>
        </w:rPr>
        <w:instrText xml:space="preserve"> PAGEREF _Toc21750 \h </w:instrText>
      </w:r>
      <w:r>
        <w:rPr>
          <w:rFonts w:hint="eastAsia" w:ascii="宋体" w:hAnsi="宋体" w:cs="宋体"/>
          <w:i w:val="0"/>
          <w:iCs w:val="0"/>
          <w:color w:val="auto"/>
          <w:sz w:val="21"/>
          <w:szCs w:val="21"/>
          <w:highlight w:val="none"/>
        </w:rPr>
        <w:fldChar w:fldCharType="separate"/>
      </w:r>
      <w:r>
        <w:rPr>
          <w:rFonts w:hint="eastAsia" w:ascii="宋体" w:hAnsi="宋体" w:cs="宋体"/>
          <w:i w:val="0"/>
          <w:iCs w:val="0"/>
          <w:color w:val="auto"/>
          <w:sz w:val="21"/>
          <w:szCs w:val="21"/>
          <w:highlight w:val="none"/>
        </w:rPr>
        <w:t>20</w:t>
      </w:r>
      <w:r>
        <w:rPr>
          <w:rFonts w:hint="eastAsia" w:ascii="宋体" w:hAnsi="宋体" w:cs="宋体"/>
          <w:i w:val="0"/>
          <w:iCs w:val="0"/>
          <w:color w:val="auto"/>
          <w:sz w:val="21"/>
          <w:szCs w:val="21"/>
          <w:highlight w:val="none"/>
        </w:rPr>
        <w:fldChar w:fldCharType="end"/>
      </w:r>
      <w:r>
        <w:rPr>
          <w:rFonts w:hint="eastAsia" w:ascii="宋体" w:hAnsi="宋体" w:cs="宋体"/>
          <w:i w:val="0"/>
          <w:iCs w:val="0"/>
          <w:color w:val="auto"/>
          <w:sz w:val="21"/>
          <w:szCs w:val="21"/>
          <w:highlight w:val="none"/>
        </w:rPr>
        <w:fldChar w:fldCharType="end"/>
      </w:r>
    </w:p>
    <w:p>
      <w:pPr>
        <w:pStyle w:val="28"/>
        <w:tabs>
          <w:tab w:val="right" w:leader="dot" w:pos="9088"/>
        </w:tabs>
        <w:spacing w:line="360" w:lineRule="auto"/>
        <w:rPr>
          <w:rFonts w:ascii="宋体" w:hAnsi="宋体" w:cs="宋体"/>
          <w:i w:val="0"/>
          <w:iCs w:val="0"/>
          <w:color w:val="auto"/>
          <w:sz w:val="21"/>
          <w:szCs w:val="21"/>
          <w:highlight w:val="none"/>
        </w:rPr>
      </w:pPr>
      <w:r>
        <w:rPr>
          <w:color w:val="auto"/>
          <w:highlight w:val="none"/>
        </w:rPr>
        <w:fldChar w:fldCharType="begin"/>
      </w:r>
      <w:r>
        <w:rPr>
          <w:color w:val="auto"/>
          <w:highlight w:val="none"/>
        </w:rPr>
        <w:instrText xml:space="preserve"> HYPERLINK \l "_Toc24861" </w:instrText>
      </w:r>
      <w:r>
        <w:rPr>
          <w:color w:val="auto"/>
          <w:highlight w:val="none"/>
        </w:rPr>
        <w:fldChar w:fldCharType="separate"/>
      </w:r>
      <w:r>
        <w:rPr>
          <w:rFonts w:hint="eastAsia" w:ascii="宋体" w:hAnsi="宋体" w:cs="宋体"/>
          <w:bCs/>
          <w:i w:val="0"/>
          <w:iCs w:val="0"/>
          <w:color w:val="auto"/>
          <w:kern w:val="44"/>
          <w:sz w:val="21"/>
          <w:szCs w:val="21"/>
          <w:highlight w:val="none"/>
          <w:lang w:val="zh-CN"/>
        </w:rPr>
        <w:t>（八）其他</w:t>
      </w:r>
      <w:r>
        <w:rPr>
          <w:rFonts w:hint="eastAsia" w:ascii="宋体" w:hAnsi="宋体" w:cs="宋体"/>
          <w:i w:val="0"/>
          <w:iCs w:val="0"/>
          <w:color w:val="auto"/>
          <w:sz w:val="21"/>
          <w:szCs w:val="21"/>
          <w:highlight w:val="none"/>
        </w:rPr>
        <w:tab/>
      </w:r>
      <w:r>
        <w:rPr>
          <w:rFonts w:hint="eastAsia" w:ascii="宋体" w:hAnsi="宋体" w:cs="宋体"/>
          <w:i w:val="0"/>
          <w:iCs w:val="0"/>
          <w:color w:val="auto"/>
          <w:sz w:val="21"/>
          <w:szCs w:val="21"/>
          <w:highlight w:val="none"/>
        </w:rPr>
        <w:fldChar w:fldCharType="begin"/>
      </w:r>
      <w:r>
        <w:rPr>
          <w:rFonts w:hint="eastAsia" w:ascii="宋体" w:hAnsi="宋体" w:cs="宋体"/>
          <w:i w:val="0"/>
          <w:iCs w:val="0"/>
          <w:color w:val="auto"/>
          <w:sz w:val="21"/>
          <w:szCs w:val="21"/>
          <w:highlight w:val="none"/>
        </w:rPr>
        <w:instrText xml:space="preserve"> PAGEREF _Toc24861 \h </w:instrText>
      </w:r>
      <w:r>
        <w:rPr>
          <w:rFonts w:hint="eastAsia" w:ascii="宋体" w:hAnsi="宋体" w:cs="宋体"/>
          <w:i w:val="0"/>
          <w:iCs w:val="0"/>
          <w:color w:val="auto"/>
          <w:sz w:val="21"/>
          <w:szCs w:val="21"/>
          <w:highlight w:val="none"/>
        </w:rPr>
        <w:fldChar w:fldCharType="separate"/>
      </w:r>
      <w:r>
        <w:rPr>
          <w:rFonts w:hint="eastAsia" w:ascii="宋体" w:hAnsi="宋体" w:cs="宋体"/>
          <w:i w:val="0"/>
          <w:iCs w:val="0"/>
          <w:color w:val="auto"/>
          <w:sz w:val="21"/>
          <w:szCs w:val="21"/>
          <w:highlight w:val="none"/>
        </w:rPr>
        <w:t>21</w:t>
      </w:r>
      <w:r>
        <w:rPr>
          <w:rFonts w:hint="eastAsia" w:ascii="宋体" w:hAnsi="宋体" w:cs="宋体"/>
          <w:i w:val="0"/>
          <w:iCs w:val="0"/>
          <w:color w:val="auto"/>
          <w:sz w:val="21"/>
          <w:szCs w:val="21"/>
          <w:highlight w:val="none"/>
        </w:rPr>
        <w:fldChar w:fldCharType="end"/>
      </w:r>
      <w:r>
        <w:rPr>
          <w:rFonts w:hint="eastAsia" w:ascii="宋体" w:hAnsi="宋体" w:cs="宋体"/>
          <w:i w:val="0"/>
          <w:iCs w:val="0"/>
          <w:color w:val="auto"/>
          <w:sz w:val="21"/>
          <w:szCs w:val="21"/>
          <w:highlight w:val="none"/>
        </w:rPr>
        <w:fldChar w:fldCharType="end"/>
      </w:r>
    </w:p>
    <w:p>
      <w:pPr>
        <w:pStyle w:val="36"/>
        <w:tabs>
          <w:tab w:val="right" w:leader="dot" w:pos="9088"/>
        </w:tabs>
        <w:spacing w:line="360" w:lineRule="auto"/>
        <w:rPr>
          <w:rFonts w:ascii="宋体" w:hAnsi="宋体" w:cs="宋体"/>
          <w:color w:val="auto"/>
          <w:sz w:val="21"/>
          <w:szCs w:val="21"/>
          <w:highlight w:val="none"/>
        </w:rPr>
      </w:pPr>
      <w:r>
        <w:rPr>
          <w:color w:val="auto"/>
          <w:highlight w:val="none"/>
        </w:rPr>
        <w:fldChar w:fldCharType="begin"/>
      </w:r>
      <w:r>
        <w:rPr>
          <w:color w:val="auto"/>
          <w:highlight w:val="none"/>
        </w:rPr>
        <w:instrText xml:space="preserve"> HYPERLINK \l "_Toc24691" </w:instrText>
      </w:r>
      <w:r>
        <w:rPr>
          <w:color w:val="auto"/>
          <w:highlight w:val="none"/>
        </w:rPr>
        <w:fldChar w:fldCharType="separate"/>
      </w:r>
      <w:r>
        <w:rPr>
          <w:rFonts w:hint="eastAsia" w:ascii="宋体" w:hAnsi="宋体" w:cs="宋体"/>
          <w:bCs w:val="0"/>
          <w:color w:val="auto"/>
          <w:kern w:val="44"/>
          <w:sz w:val="21"/>
          <w:szCs w:val="21"/>
          <w:highlight w:val="none"/>
          <w:lang w:val="zh-CN"/>
        </w:rPr>
        <w:t xml:space="preserve">第三篇 </w:t>
      </w:r>
      <w:r>
        <w:rPr>
          <w:rFonts w:hint="eastAsia" w:ascii="宋体" w:hAnsi="宋体" w:cs="宋体"/>
          <w:color w:val="auto"/>
          <w:kern w:val="44"/>
          <w:sz w:val="21"/>
          <w:szCs w:val="21"/>
          <w:highlight w:val="none"/>
          <w:lang w:val="zh-CN"/>
        </w:rPr>
        <w:t>用户需求书</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_Toc24691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23</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pPr>
        <w:pStyle w:val="36"/>
        <w:tabs>
          <w:tab w:val="right" w:leader="dot" w:pos="9088"/>
        </w:tabs>
        <w:spacing w:line="360" w:lineRule="auto"/>
        <w:rPr>
          <w:rFonts w:ascii="宋体" w:hAnsi="宋体" w:cs="宋体"/>
          <w:color w:val="auto"/>
          <w:sz w:val="21"/>
          <w:szCs w:val="21"/>
          <w:highlight w:val="none"/>
        </w:rPr>
      </w:pPr>
      <w:r>
        <w:rPr>
          <w:color w:val="auto"/>
          <w:highlight w:val="none"/>
        </w:rPr>
        <w:fldChar w:fldCharType="begin"/>
      </w:r>
      <w:r>
        <w:rPr>
          <w:color w:val="auto"/>
          <w:highlight w:val="none"/>
        </w:rPr>
        <w:instrText xml:space="preserve"> HYPERLINK \l "_Toc10133" </w:instrText>
      </w:r>
      <w:r>
        <w:rPr>
          <w:color w:val="auto"/>
          <w:highlight w:val="none"/>
        </w:rPr>
        <w:fldChar w:fldCharType="separate"/>
      </w:r>
      <w:r>
        <w:rPr>
          <w:rFonts w:hint="eastAsia" w:ascii="宋体" w:hAnsi="宋体" w:cs="宋体"/>
          <w:bCs w:val="0"/>
          <w:color w:val="auto"/>
          <w:kern w:val="44"/>
          <w:sz w:val="21"/>
          <w:szCs w:val="21"/>
          <w:highlight w:val="none"/>
          <w:lang w:val="zh-CN"/>
        </w:rPr>
        <w:t xml:space="preserve">第四篇 </w:t>
      </w:r>
      <w:r>
        <w:rPr>
          <w:rFonts w:hint="eastAsia" w:ascii="宋体" w:hAnsi="宋体" w:cs="宋体"/>
          <w:color w:val="auto"/>
          <w:kern w:val="44"/>
          <w:sz w:val="21"/>
          <w:szCs w:val="21"/>
          <w:highlight w:val="none"/>
          <w:lang w:val="zh-CN"/>
        </w:rPr>
        <w:t>评标工作大纲</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_Toc10133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56</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pPr>
        <w:pStyle w:val="43"/>
        <w:tabs>
          <w:tab w:val="right" w:leader="dot" w:pos="9088"/>
        </w:tabs>
        <w:spacing w:line="360" w:lineRule="auto"/>
        <w:rPr>
          <w:rFonts w:ascii="宋体" w:hAnsi="宋体" w:cs="宋体"/>
          <w:color w:val="auto"/>
          <w:sz w:val="21"/>
          <w:szCs w:val="21"/>
          <w:highlight w:val="none"/>
        </w:rPr>
      </w:pPr>
      <w:r>
        <w:rPr>
          <w:color w:val="auto"/>
          <w:highlight w:val="none"/>
        </w:rPr>
        <w:fldChar w:fldCharType="begin"/>
      </w:r>
      <w:r>
        <w:rPr>
          <w:color w:val="auto"/>
          <w:highlight w:val="none"/>
        </w:rPr>
        <w:instrText xml:space="preserve"> HYPERLINK \l "_Toc22865" </w:instrText>
      </w:r>
      <w:r>
        <w:rPr>
          <w:color w:val="auto"/>
          <w:highlight w:val="none"/>
        </w:rPr>
        <w:fldChar w:fldCharType="separate"/>
      </w:r>
      <w:r>
        <w:rPr>
          <w:rFonts w:hint="eastAsia" w:ascii="宋体" w:hAnsi="宋体" w:cs="宋体"/>
          <w:color w:val="auto"/>
          <w:sz w:val="21"/>
          <w:szCs w:val="21"/>
          <w:highlight w:val="none"/>
        </w:rPr>
        <w:t>一、评标原则和评标对象</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_Toc22865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56</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pPr>
        <w:pStyle w:val="43"/>
        <w:tabs>
          <w:tab w:val="right" w:leader="dot" w:pos="9088"/>
        </w:tabs>
        <w:spacing w:line="360" w:lineRule="auto"/>
        <w:rPr>
          <w:rFonts w:ascii="宋体" w:hAnsi="宋体" w:cs="宋体"/>
          <w:color w:val="auto"/>
          <w:sz w:val="21"/>
          <w:szCs w:val="21"/>
          <w:highlight w:val="none"/>
        </w:rPr>
      </w:pPr>
      <w:r>
        <w:rPr>
          <w:color w:val="auto"/>
          <w:highlight w:val="none"/>
        </w:rPr>
        <w:fldChar w:fldCharType="begin"/>
      </w:r>
      <w:r>
        <w:rPr>
          <w:color w:val="auto"/>
          <w:highlight w:val="none"/>
        </w:rPr>
        <w:instrText xml:space="preserve"> HYPERLINK \l "_Toc8528" </w:instrText>
      </w:r>
      <w:r>
        <w:rPr>
          <w:color w:val="auto"/>
          <w:highlight w:val="none"/>
        </w:rPr>
        <w:fldChar w:fldCharType="separate"/>
      </w:r>
      <w:r>
        <w:rPr>
          <w:rFonts w:hint="eastAsia" w:ascii="宋体" w:hAnsi="宋体" w:cs="宋体"/>
          <w:color w:val="auto"/>
          <w:sz w:val="21"/>
          <w:szCs w:val="21"/>
          <w:highlight w:val="none"/>
        </w:rPr>
        <w:t>二、评标程序</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_Toc8528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56</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pPr>
        <w:pStyle w:val="43"/>
        <w:tabs>
          <w:tab w:val="right" w:leader="dot" w:pos="9088"/>
        </w:tabs>
        <w:spacing w:line="360" w:lineRule="auto"/>
        <w:rPr>
          <w:rFonts w:ascii="宋体" w:hAnsi="宋体" w:cs="宋体"/>
          <w:color w:val="auto"/>
          <w:sz w:val="21"/>
          <w:szCs w:val="21"/>
          <w:highlight w:val="none"/>
        </w:rPr>
      </w:pPr>
      <w:r>
        <w:rPr>
          <w:color w:val="auto"/>
          <w:highlight w:val="none"/>
        </w:rPr>
        <w:fldChar w:fldCharType="begin"/>
      </w:r>
      <w:r>
        <w:rPr>
          <w:color w:val="auto"/>
          <w:highlight w:val="none"/>
        </w:rPr>
        <w:instrText xml:space="preserve"> HYPERLINK \l "_Toc25135" </w:instrText>
      </w:r>
      <w:r>
        <w:rPr>
          <w:color w:val="auto"/>
          <w:highlight w:val="none"/>
        </w:rPr>
        <w:fldChar w:fldCharType="separate"/>
      </w:r>
      <w:r>
        <w:rPr>
          <w:rFonts w:hint="eastAsia" w:ascii="宋体" w:hAnsi="宋体" w:cs="宋体"/>
          <w:color w:val="auto"/>
          <w:sz w:val="21"/>
          <w:szCs w:val="21"/>
          <w:highlight w:val="none"/>
        </w:rPr>
        <w:t>三、评分标准和细则</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_Toc25135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57</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pPr>
        <w:pStyle w:val="36"/>
        <w:tabs>
          <w:tab w:val="right" w:leader="dot" w:pos="9088"/>
        </w:tabs>
        <w:spacing w:line="360" w:lineRule="auto"/>
        <w:rPr>
          <w:rFonts w:ascii="宋体" w:hAnsi="宋体" w:cs="宋体"/>
          <w:color w:val="auto"/>
          <w:sz w:val="21"/>
          <w:szCs w:val="21"/>
          <w:highlight w:val="none"/>
        </w:rPr>
      </w:pPr>
      <w:r>
        <w:rPr>
          <w:color w:val="auto"/>
          <w:highlight w:val="none"/>
        </w:rPr>
        <w:fldChar w:fldCharType="begin"/>
      </w:r>
      <w:r>
        <w:rPr>
          <w:color w:val="auto"/>
          <w:highlight w:val="none"/>
        </w:rPr>
        <w:instrText xml:space="preserve"> HYPERLINK \l "_Toc941" </w:instrText>
      </w:r>
      <w:r>
        <w:rPr>
          <w:color w:val="auto"/>
          <w:highlight w:val="none"/>
        </w:rPr>
        <w:fldChar w:fldCharType="separate"/>
      </w:r>
      <w:r>
        <w:rPr>
          <w:rFonts w:hint="eastAsia" w:ascii="宋体" w:hAnsi="宋体" w:cs="宋体"/>
          <w:bCs w:val="0"/>
          <w:color w:val="auto"/>
          <w:kern w:val="44"/>
          <w:sz w:val="21"/>
          <w:szCs w:val="21"/>
          <w:highlight w:val="none"/>
          <w:lang w:val="zh-CN"/>
        </w:rPr>
        <w:t xml:space="preserve">第五篇 </w:t>
      </w:r>
      <w:r>
        <w:rPr>
          <w:rFonts w:hint="eastAsia" w:ascii="宋体" w:hAnsi="宋体" w:cs="宋体"/>
          <w:color w:val="auto"/>
          <w:kern w:val="44"/>
          <w:sz w:val="21"/>
          <w:szCs w:val="21"/>
          <w:highlight w:val="none"/>
          <w:lang w:val="zh-CN"/>
        </w:rPr>
        <w:t>合同条款格式</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_Toc941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61</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pPr>
        <w:pStyle w:val="36"/>
        <w:tabs>
          <w:tab w:val="right" w:leader="dot" w:pos="9088"/>
        </w:tabs>
        <w:spacing w:line="360" w:lineRule="auto"/>
        <w:rPr>
          <w:rFonts w:ascii="宋体" w:hAnsi="宋体" w:cs="宋体"/>
          <w:color w:val="auto"/>
          <w:sz w:val="21"/>
          <w:szCs w:val="21"/>
          <w:highlight w:val="none"/>
        </w:rPr>
      </w:pPr>
      <w:r>
        <w:rPr>
          <w:color w:val="auto"/>
          <w:highlight w:val="none"/>
        </w:rPr>
        <w:fldChar w:fldCharType="begin"/>
      </w:r>
      <w:r>
        <w:rPr>
          <w:color w:val="auto"/>
          <w:highlight w:val="none"/>
        </w:rPr>
        <w:instrText xml:space="preserve"> HYPERLINK \l "_Toc9935" </w:instrText>
      </w:r>
      <w:r>
        <w:rPr>
          <w:color w:val="auto"/>
          <w:highlight w:val="none"/>
        </w:rPr>
        <w:fldChar w:fldCharType="separate"/>
      </w:r>
      <w:r>
        <w:rPr>
          <w:rFonts w:hint="eastAsia" w:ascii="宋体" w:hAnsi="宋体" w:cs="宋体"/>
          <w:bCs w:val="0"/>
          <w:color w:val="auto"/>
          <w:kern w:val="44"/>
          <w:sz w:val="21"/>
          <w:szCs w:val="21"/>
          <w:highlight w:val="none"/>
          <w:lang w:val="zh-CN"/>
        </w:rPr>
        <w:t xml:space="preserve">第六篇 </w:t>
      </w:r>
      <w:r>
        <w:rPr>
          <w:rFonts w:hint="eastAsia" w:ascii="宋体" w:hAnsi="宋体" w:cs="宋体"/>
          <w:color w:val="auto"/>
          <w:kern w:val="44"/>
          <w:sz w:val="21"/>
          <w:szCs w:val="21"/>
          <w:highlight w:val="none"/>
          <w:lang w:val="zh-CN"/>
        </w:rPr>
        <w:t>投标文件格式</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_Toc9935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76</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pPr>
        <w:jc w:val="center"/>
        <w:rPr>
          <w:rFonts w:hAnsi="宋体" w:cs="宋体"/>
          <w:color w:val="auto"/>
          <w:highlight w:val="none"/>
        </w:rPr>
      </w:pPr>
      <w:r>
        <w:rPr>
          <w:rFonts w:hint="eastAsia" w:hAnsi="宋体" w:cs="宋体"/>
          <w:color w:val="auto"/>
          <w:highlight w:val="none"/>
        </w:rPr>
        <w:fldChar w:fldCharType="end"/>
      </w:r>
      <w:bookmarkEnd w:id="1"/>
    </w:p>
    <w:p>
      <w:pPr>
        <w:pStyle w:val="5"/>
        <w:keepNext/>
        <w:keepLines/>
        <w:pageBreakBefore/>
        <w:numPr>
          <w:ilvl w:val="0"/>
          <w:numId w:val="8"/>
        </w:numPr>
        <w:tabs>
          <w:tab w:val="left" w:pos="1080"/>
        </w:tabs>
        <w:spacing w:line="360" w:lineRule="auto"/>
        <w:ind w:left="1262" w:hanging="1262" w:hangingChars="449"/>
        <w:jc w:val="center"/>
        <w:rPr>
          <w:rFonts w:hAnsi="宋体" w:cs="宋体"/>
          <w:b/>
          <w:bCs/>
          <w:color w:val="auto"/>
          <w:kern w:val="44"/>
          <w:sz w:val="28"/>
          <w:szCs w:val="28"/>
          <w:highlight w:val="none"/>
          <w:lang w:val="zh-CN"/>
        </w:rPr>
      </w:pPr>
      <w:r>
        <w:rPr>
          <w:rFonts w:hint="eastAsia" w:hAnsi="宋体" w:cs="宋体"/>
          <w:b/>
          <w:bCs/>
          <w:color w:val="auto"/>
          <w:kern w:val="44"/>
          <w:sz w:val="28"/>
          <w:szCs w:val="28"/>
          <w:highlight w:val="none"/>
        </w:rPr>
        <w:t xml:space="preserve"> </w:t>
      </w:r>
      <w:bookmarkStart w:id="2" w:name="_Toc29316"/>
      <w:r>
        <w:rPr>
          <w:rFonts w:hint="eastAsia" w:hAnsi="宋体" w:cs="宋体"/>
          <w:b/>
          <w:bCs/>
          <w:color w:val="auto"/>
          <w:kern w:val="44"/>
          <w:sz w:val="28"/>
          <w:szCs w:val="28"/>
          <w:highlight w:val="none"/>
        </w:rPr>
        <w:t>投标邀请书</w:t>
      </w:r>
      <w:bookmarkEnd w:id="2"/>
    </w:p>
    <w:p>
      <w:pPr>
        <w:widowControl/>
        <w:tabs>
          <w:tab w:val="left" w:pos="-360"/>
        </w:tabs>
        <w:adjustRightInd/>
        <w:spacing w:line="360" w:lineRule="auto"/>
        <w:ind w:right="-34" w:firstLine="420" w:firstLineChars="200"/>
        <w:jc w:val="both"/>
        <w:textAlignment w:val="bottom"/>
        <w:rPr>
          <w:rFonts w:hAnsi="宋体" w:cs="宋体"/>
          <w:color w:val="auto"/>
          <w:sz w:val="21"/>
          <w:szCs w:val="21"/>
          <w:highlight w:val="none"/>
        </w:rPr>
      </w:pPr>
      <w:r>
        <w:rPr>
          <w:rFonts w:hint="eastAsia" w:hAnsi="宋体" w:cs="宋体"/>
          <w:color w:val="auto"/>
          <w:sz w:val="21"/>
          <w:szCs w:val="21"/>
          <w:highlight w:val="none"/>
        </w:rPr>
        <w:t>广东泰通伟业工程咨询有限公司（以下简称“采购代理机构”）受东莞市大学创新城建设发展有限公司（以下简称“采购人”）的委托，对下述服务进行国内公开采购，欢迎合格的投标人就本项目提交密封投标。</w:t>
      </w:r>
    </w:p>
    <w:p>
      <w:pPr>
        <w:widowControl/>
        <w:numPr>
          <w:ilvl w:val="0"/>
          <w:numId w:val="9"/>
        </w:numPr>
        <w:adjustRightInd/>
        <w:spacing w:line="360" w:lineRule="auto"/>
        <w:rPr>
          <w:rFonts w:hAnsi="宋体" w:cs="宋体"/>
          <w:color w:val="auto"/>
          <w:sz w:val="21"/>
          <w:szCs w:val="21"/>
          <w:highlight w:val="none"/>
        </w:rPr>
      </w:pPr>
      <w:r>
        <w:rPr>
          <w:rFonts w:hint="eastAsia" w:hAnsi="宋体" w:cs="宋体"/>
          <w:b/>
          <w:bCs/>
          <w:color w:val="auto"/>
          <w:kern w:val="28"/>
          <w:sz w:val="21"/>
          <w:szCs w:val="21"/>
          <w:highlight w:val="none"/>
        </w:rPr>
        <w:t>邀请合格投标人就下列所有服务提交密封投标：</w:t>
      </w:r>
    </w:p>
    <w:p>
      <w:pPr>
        <w:widowControl/>
        <w:numPr>
          <w:ilvl w:val="0"/>
          <w:numId w:val="10"/>
        </w:numPr>
        <w:tabs>
          <w:tab w:val="left" w:pos="-360"/>
        </w:tabs>
        <w:adjustRightInd/>
        <w:spacing w:line="360" w:lineRule="auto"/>
        <w:ind w:right="-34"/>
        <w:jc w:val="both"/>
        <w:textAlignment w:val="bottom"/>
        <w:rPr>
          <w:rFonts w:hAnsi="宋体" w:cs="宋体"/>
          <w:color w:val="auto"/>
          <w:sz w:val="21"/>
          <w:szCs w:val="21"/>
          <w:highlight w:val="none"/>
        </w:rPr>
      </w:pPr>
      <w:r>
        <w:rPr>
          <w:rFonts w:hint="eastAsia" w:hAnsi="宋体" w:cs="宋体"/>
          <w:color w:val="auto"/>
          <w:sz w:val="21"/>
          <w:szCs w:val="21"/>
          <w:highlight w:val="none"/>
        </w:rPr>
        <w:t>项目名称：松山湖大学创新城——安防升级项目</w:t>
      </w:r>
    </w:p>
    <w:p>
      <w:pPr>
        <w:widowControl/>
        <w:numPr>
          <w:ilvl w:val="0"/>
          <w:numId w:val="10"/>
        </w:numPr>
        <w:tabs>
          <w:tab w:val="left" w:pos="-360"/>
        </w:tabs>
        <w:adjustRightInd/>
        <w:spacing w:line="360" w:lineRule="auto"/>
        <w:ind w:right="-34"/>
        <w:jc w:val="both"/>
        <w:textAlignment w:val="bottom"/>
        <w:rPr>
          <w:rFonts w:hAnsi="宋体" w:cs="宋体"/>
          <w:color w:val="auto"/>
          <w:sz w:val="21"/>
          <w:szCs w:val="21"/>
          <w:highlight w:val="none"/>
        </w:rPr>
      </w:pPr>
      <w:r>
        <w:rPr>
          <w:rFonts w:hint="eastAsia" w:hAnsi="宋体" w:cs="宋体"/>
          <w:color w:val="auto"/>
          <w:sz w:val="21"/>
          <w:szCs w:val="21"/>
          <w:highlight w:val="none"/>
        </w:rPr>
        <w:t>项目编号：DCJS-AF-02-002-020(2022)</w:t>
      </w:r>
    </w:p>
    <w:p>
      <w:pPr>
        <w:widowControl/>
        <w:numPr>
          <w:ilvl w:val="0"/>
          <w:numId w:val="10"/>
        </w:numPr>
        <w:tabs>
          <w:tab w:val="left" w:pos="-360"/>
        </w:tabs>
        <w:adjustRightInd/>
        <w:spacing w:line="360" w:lineRule="auto"/>
        <w:ind w:right="-34"/>
        <w:jc w:val="both"/>
        <w:textAlignment w:val="bottom"/>
        <w:rPr>
          <w:rFonts w:hAnsi="宋体" w:cs="宋体"/>
          <w:color w:val="auto"/>
          <w:sz w:val="21"/>
          <w:szCs w:val="21"/>
          <w:highlight w:val="none"/>
        </w:rPr>
      </w:pPr>
      <w:r>
        <w:rPr>
          <w:rFonts w:hint="eastAsia" w:hAnsi="宋体" w:cs="宋体"/>
          <w:color w:val="auto"/>
          <w:sz w:val="21"/>
          <w:szCs w:val="21"/>
          <w:highlight w:val="none"/>
        </w:rPr>
        <w:t>项目预算：</w:t>
      </w:r>
      <w:r>
        <w:rPr>
          <w:rFonts w:hint="eastAsia" w:hAnsi="宋体" w:cs="宋体"/>
          <w:color w:val="auto"/>
          <w:sz w:val="21"/>
          <w:szCs w:val="21"/>
          <w:highlight w:val="none"/>
          <w:lang w:val="en-US" w:eastAsia="zh-CN"/>
        </w:rPr>
        <w:t>3023157.15</w:t>
      </w:r>
      <w:r>
        <w:rPr>
          <w:rFonts w:hint="eastAsia" w:hAnsi="宋体" w:cs="宋体"/>
          <w:color w:val="auto"/>
          <w:sz w:val="21"/>
          <w:szCs w:val="21"/>
          <w:highlight w:val="none"/>
        </w:rPr>
        <w:t>元（大写：人民币叁佰零贰万叁仟壹佰伍拾柒元壹角伍分）</w:t>
      </w:r>
    </w:p>
    <w:p>
      <w:pPr>
        <w:widowControl/>
        <w:numPr>
          <w:ilvl w:val="0"/>
          <w:numId w:val="10"/>
        </w:numPr>
        <w:tabs>
          <w:tab w:val="left" w:pos="-360"/>
        </w:tabs>
        <w:adjustRightInd/>
        <w:spacing w:line="360" w:lineRule="auto"/>
        <w:ind w:right="-34"/>
        <w:jc w:val="both"/>
        <w:textAlignment w:val="bottom"/>
        <w:rPr>
          <w:rFonts w:hAnsi="宋体" w:cs="宋体"/>
          <w:color w:val="auto"/>
          <w:sz w:val="21"/>
          <w:szCs w:val="21"/>
          <w:highlight w:val="none"/>
        </w:rPr>
      </w:pPr>
      <w:r>
        <w:rPr>
          <w:rFonts w:hint="eastAsia" w:hAnsi="宋体" w:cs="宋体"/>
          <w:color w:val="auto"/>
          <w:sz w:val="21"/>
          <w:szCs w:val="21"/>
          <w:highlight w:val="none"/>
        </w:rPr>
        <w:t>项目需求：详见采购文件第三篇用户需求书。</w:t>
      </w:r>
    </w:p>
    <w:p>
      <w:pPr>
        <w:widowControl/>
        <w:adjustRightInd/>
        <w:spacing w:line="360" w:lineRule="auto"/>
        <w:rPr>
          <w:rFonts w:hAnsi="宋体" w:cs="宋体"/>
          <w:b/>
          <w:bCs/>
          <w:color w:val="auto"/>
          <w:kern w:val="28"/>
          <w:sz w:val="21"/>
          <w:szCs w:val="21"/>
          <w:highlight w:val="none"/>
        </w:rPr>
      </w:pPr>
      <w:r>
        <w:rPr>
          <w:rFonts w:hint="eastAsia" w:hAnsi="宋体" w:cs="宋体"/>
          <w:b/>
          <w:bCs/>
          <w:color w:val="auto"/>
          <w:kern w:val="28"/>
          <w:sz w:val="21"/>
          <w:szCs w:val="21"/>
          <w:highlight w:val="none"/>
          <w:lang w:val="zh-CN"/>
        </w:rPr>
        <w:t>二、投标人须满足以下资格条件</w:t>
      </w:r>
      <w:r>
        <w:rPr>
          <w:rFonts w:hint="eastAsia" w:hAnsi="宋体" w:cs="宋体"/>
          <w:b/>
          <w:bCs/>
          <w:color w:val="auto"/>
          <w:kern w:val="28"/>
          <w:sz w:val="21"/>
          <w:szCs w:val="21"/>
          <w:highlight w:val="none"/>
        </w:rPr>
        <w:t>：</w:t>
      </w:r>
    </w:p>
    <w:p>
      <w:pPr>
        <w:widowControl/>
        <w:numPr>
          <w:ilvl w:val="0"/>
          <w:numId w:val="11"/>
        </w:numPr>
        <w:adjustRightInd/>
        <w:spacing w:line="360" w:lineRule="auto"/>
        <w:ind w:right="53"/>
        <w:textAlignment w:val="bottom"/>
        <w:rPr>
          <w:rFonts w:hAnsi="宋体"/>
          <w:color w:val="auto"/>
          <w:kern w:val="2"/>
          <w:sz w:val="21"/>
          <w:szCs w:val="21"/>
          <w:highlight w:val="none"/>
        </w:rPr>
      </w:pPr>
      <w:r>
        <w:rPr>
          <w:rFonts w:hint="eastAsia" w:hAnsi="宋体"/>
          <w:color w:val="auto"/>
          <w:kern w:val="2"/>
          <w:sz w:val="21"/>
          <w:szCs w:val="21"/>
          <w:highlight w:val="none"/>
        </w:rPr>
        <w:t>须为在中华人民共和国境内登记注册的具有独立承担民事责任能力的法人或其他组织；</w:t>
      </w:r>
    </w:p>
    <w:p>
      <w:pPr>
        <w:widowControl/>
        <w:numPr>
          <w:ilvl w:val="0"/>
          <w:numId w:val="11"/>
        </w:numPr>
        <w:adjustRightInd/>
        <w:spacing w:line="360" w:lineRule="auto"/>
        <w:ind w:right="53"/>
        <w:textAlignment w:val="bottom"/>
        <w:rPr>
          <w:rFonts w:hAnsi="宋体"/>
          <w:color w:val="auto"/>
          <w:kern w:val="2"/>
          <w:sz w:val="21"/>
          <w:szCs w:val="21"/>
          <w:highlight w:val="none"/>
        </w:rPr>
      </w:pPr>
      <w:r>
        <w:rPr>
          <w:rFonts w:hint="eastAsia" w:hAnsi="宋体"/>
          <w:color w:val="auto"/>
          <w:kern w:val="2"/>
          <w:sz w:val="21"/>
          <w:szCs w:val="21"/>
          <w:highlight w:val="none"/>
        </w:rPr>
        <w:t>参加采购投标活动前三年内，在经营活动中没有重大违法记录；</w:t>
      </w:r>
    </w:p>
    <w:p>
      <w:pPr>
        <w:widowControl/>
        <w:numPr>
          <w:ilvl w:val="0"/>
          <w:numId w:val="11"/>
        </w:numPr>
        <w:adjustRightInd/>
        <w:spacing w:line="360" w:lineRule="auto"/>
        <w:ind w:right="53"/>
        <w:textAlignment w:val="bottom"/>
        <w:rPr>
          <w:rFonts w:hAnsi="宋体"/>
          <w:color w:val="auto"/>
          <w:kern w:val="2"/>
          <w:sz w:val="21"/>
          <w:szCs w:val="21"/>
          <w:highlight w:val="none"/>
        </w:rPr>
      </w:pPr>
      <w:r>
        <w:rPr>
          <w:rFonts w:hint="eastAsia" w:hAnsi="宋体"/>
          <w:color w:val="auto"/>
          <w:kern w:val="2"/>
          <w:sz w:val="21"/>
          <w:szCs w:val="21"/>
          <w:highlight w:val="none"/>
        </w:rPr>
        <w:t>投标人的单位负责人为同一人或者存在直接控股、管理关系的不同投标人，不得参加同一合同项下的采购投标活动。</w:t>
      </w:r>
    </w:p>
    <w:p>
      <w:pPr>
        <w:widowControl/>
        <w:numPr>
          <w:ilvl w:val="0"/>
          <w:numId w:val="11"/>
        </w:numPr>
        <w:adjustRightInd/>
        <w:spacing w:line="360" w:lineRule="auto"/>
        <w:ind w:right="53"/>
        <w:textAlignment w:val="bottom"/>
        <w:rPr>
          <w:rFonts w:hAnsi="宋体"/>
          <w:color w:val="auto"/>
          <w:kern w:val="2"/>
          <w:sz w:val="21"/>
          <w:szCs w:val="21"/>
          <w:highlight w:val="none"/>
        </w:rPr>
      </w:pPr>
      <w:r>
        <w:rPr>
          <w:rFonts w:hint="eastAsia" w:hAnsi="宋体"/>
          <w:color w:val="auto"/>
          <w:kern w:val="2"/>
          <w:sz w:val="21"/>
          <w:szCs w:val="21"/>
          <w:highlight w:val="none"/>
        </w:rPr>
        <w:t>未被列入“信用中国”网站(www.creditchina.gov.cn)“记录失信被执行人或重大税收违法案件当事人名单”记录名单（以采购代理机构投标截止日当天在“信用中国”网站（www.creditchina.gov.cn）查询结果为准，如相关失信记录已失效，供应商需提供相关证明资料）。</w:t>
      </w:r>
    </w:p>
    <w:p>
      <w:pPr>
        <w:widowControl/>
        <w:numPr>
          <w:ilvl w:val="0"/>
          <w:numId w:val="11"/>
        </w:numPr>
        <w:adjustRightInd/>
        <w:spacing w:line="360" w:lineRule="auto"/>
        <w:ind w:right="53"/>
        <w:textAlignment w:val="bottom"/>
        <w:rPr>
          <w:rFonts w:hAnsi="宋体"/>
          <w:color w:val="auto"/>
          <w:kern w:val="2"/>
          <w:sz w:val="21"/>
          <w:szCs w:val="21"/>
          <w:highlight w:val="none"/>
        </w:rPr>
      </w:pPr>
      <w:r>
        <w:rPr>
          <w:rFonts w:hint="eastAsia" w:hAnsi="宋体"/>
          <w:color w:val="auto"/>
          <w:kern w:val="2"/>
          <w:sz w:val="21"/>
          <w:szCs w:val="21"/>
          <w:highlight w:val="none"/>
        </w:rPr>
        <w:t>投标人须具有公安部门颁发的《广东省安全技术防范系统设计、施工、维修资格证》三级及以上等级资质【非广东省颁发的，须提供广东省公安厅备案的证明文件】。</w:t>
      </w:r>
    </w:p>
    <w:p>
      <w:pPr>
        <w:widowControl/>
        <w:numPr>
          <w:ilvl w:val="0"/>
          <w:numId w:val="11"/>
        </w:numPr>
        <w:adjustRightInd/>
        <w:spacing w:line="360" w:lineRule="auto"/>
        <w:ind w:right="53"/>
        <w:textAlignment w:val="bottom"/>
        <w:rPr>
          <w:rFonts w:hAnsi="宋体"/>
          <w:color w:val="auto"/>
          <w:kern w:val="2"/>
          <w:sz w:val="21"/>
          <w:szCs w:val="21"/>
          <w:highlight w:val="none"/>
        </w:rPr>
      </w:pPr>
      <w:r>
        <w:rPr>
          <w:rFonts w:hint="eastAsia" w:hAnsi="宋体"/>
          <w:color w:val="auto"/>
          <w:kern w:val="2"/>
          <w:sz w:val="21"/>
          <w:szCs w:val="21"/>
          <w:highlight w:val="none"/>
        </w:rPr>
        <w:t>本项目接受不联合体投标。</w:t>
      </w:r>
    </w:p>
    <w:p>
      <w:pPr>
        <w:widowControl/>
        <w:adjustRightInd/>
        <w:spacing w:line="360" w:lineRule="auto"/>
        <w:ind w:right="53"/>
        <w:textAlignment w:val="bottom"/>
        <w:rPr>
          <w:rFonts w:hAnsi="宋体" w:cs="宋体"/>
          <w:b/>
          <w:bCs/>
          <w:color w:val="auto"/>
          <w:kern w:val="28"/>
          <w:sz w:val="21"/>
          <w:szCs w:val="21"/>
          <w:highlight w:val="none"/>
          <w:lang w:val="zh-CN"/>
        </w:rPr>
      </w:pPr>
      <w:r>
        <w:rPr>
          <w:rFonts w:hint="eastAsia" w:hAnsi="宋体" w:cs="宋体"/>
          <w:b/>
          <w:bCs/>
          <w:color w:val="auto"/>
          <w:kern w:val="28"/>
          <w:sz w:val="21"/>
          <w:szCs w:val="21"/>
          <w:highlight w:val="none"/>
          <w:lang w:val="zh-CN"/>
        </w:rPr>
        <w:t>三、获取采购文件时间、地点及方法：</w:t>
      </w:r>
    </w:p>
    <w:p>
      <w:pPr>
        <w:spacing w:line="360" w:lineRule="auto"/>
        <w:ind w:firstLine="420" w:firstLineChars="200"/>
        <w:rPr>
          <w:rFonts w:hAnsi="宋体"/>
          <w:color w:val="auto"/>
          <w:kern w:val="2"/>
          <w:sz w:val="21"/>
          <w:szCs w:val="21"/>
          <w:highlight w:val="none"/>
          <w:lang w:val="zh-CN"/>
        </w:rPr>
      </w:pPr>
      <w:r>
        <w:rPr>
          <w:rFonts w:hint="eastAsia" w:hAnsi="宋体"/>
          <w:color w:val="auto"/>
          <w:kern w:val="2"/>
          <w:sz w:val="21"/>
          <w:szCs w:val="21"/>
          <w:highlight w:val="none"/>
          <w:lang w:val="zh-CN"/>
        </w:rPr>
        <w:t>本项目无须报名，采购公告发布媒介及采购文件下载地址：东莞市公共资源交易网-其他公告栏目（http://dgzb.com.cn/）、中国招标投标公共服务平台（http://www.cebpubservice.com/）、东莞实业投资控股集团有限公司-招标采购栏目（http://www.dgsy.com.cn/）、广东泰通伟业工程咨询有限公司官网-招标采购栏目（http://www.weiyecoltd.com/）。</w:t>
      </w:r>
    </w:p>
    <w:p>
      <w:pPr>
        <w:pStyle w:val="21"/>
        <w:spacing w:line="360" w:lineRule="auto"/>
        <w:ind w:firstLine="420" w:firstLineChars="200"/>
        <w:rPr>
          <w:rFonts w:hAnsi="宋体" w:cs="宋体"/>
          <w:b/>
          <w:bCs/>
          <w:color w:val="auto"/>
          <w:kern w:val="28"/>
          <w:szCs w:val="21"/>
          <w:highlight w:val="none"/>
          <w:lang w:val="zh-CN"/>
        </w:rPr>
      </w:pPr>
      <w:r>
        <w:rPr>
          <w:rFonts w:hint="eastAsia"/>
          <w:color w:val="auto"/>
          <w:highlight w:val="none"/>
        </w:rPr>
        <w:t>采购结果公告</w:t>
      </w:r>
      <w:r>
        <w:rPr>
          <w:rFonts w:hint="eastAsia" w:hAnsi="宋体"/>
          <w:color w:val="auto"/>
          <w:kern w:val="2"/>
          <w:szCs w:val="21"/>
          <w:highlight w:val="none"/>
        </w:rPr>
        <w:t>发布媒介：</w:t>
      </w:r>
      <w:r>
        <w:rPr>
          <w:rFonts w:hint="eastAsia" w:hAnsi="宋体"/>
          <w:color w:val="auto"/>
          <w:kern w:val="2"/>
          <w:szCs w:val="21"/>
          <w:highlight w:val="none"/>
          <w:lang w:val="zh-CN"/>
        </w:rPr>
        <w:t>东莞实业投资控股集团有限公司-招标采购栏目（http://www.dgsy.com.cn/）</w:t>
      </w:r>
    </w:p>
    <w:p>
      <w:pPr>
        <w:widowControl/>
        <w:adjustRightInd/>
        <w:spacing w:line="360" w:lineRule="auto"/>
        <w:ind w:right="53"/>
        <w:textAlignment w:val="bottom"/>
        <w:rPr>
          <w:rFonts w:hAnsi="宋体" w:cs="宋体"/>
          <w:b/>
          <w:bCs/>
          <w:color w:val="auto"/>
          <w:kern w:val="28"/>
          <w:sz w:val="21"/>
          <w:szCs w:val="21"/>
          <w:highlight w:val="none"/>
          <w:lang w:val="zh-CN"/>
        </w:rPr>
      </w:pPr>
      <w:r>
        <w:rPr>
          <w:rFonts w:hint="eastAsia" w:hAnsi="宋体" w:cs="宋体"/>
          <w:b/>
          <w:bCs/>
          <w:color w:val="auto"/>
          <w:kern w:val="28"/>
          <w:sz w:val="21"/>
          <w:szCs w:val="21"/>
          <w:highlight w:val="none"/>
          <w:lang w:val="zh-CN"/>
        </w:rPr>
        <w:t>四、本公告期限：采购公告发布之日起五个工作日。</w:t>
      </w:r>
    </w:p>
    <w:p>
      <w:pPr>
        <w:widowControl/>
        <w:tabs>
          <w:tab w:val="left" w:pos="-360"/>
        </w:tabs>
        <w:adjustRightInd/>
        <w:spacing w:line="360" w:lineRule="auto"/>
        <w:ind w:right="-34"/>
        <w:jc w:val="both"/>
        <w:textAlignment w:val="bottom"/>
        <w:rPr>
          <w:rFonts w:hAnsi="宋体" w:cs="宋体"/>
          <w:b/>
          <w:bCs/>
          <w:color w:val="auto"/>
          <w:sz w:val="21"/>
          <w:szCs w:val="21"/>
          <w:highlight w:val="none"/>
        </w:rPr>
      </w:pPr>
      <w:r>
        <w:rPr>
          <w:rFonts w:hint="eastAsia" w:hAnsi="宋体" w:cs="宋体"/>
          <w:b/>
          <w:bCs/>
          <w:color w:val="auto"/>
          <w:kern w:val="28"/>
          <w:sz w:val="21"/>
          <w:szCs w:val="21"/>
          <w:highlight w:val="none"/>
        </w:rPr>
        <w:t>五</w:t>
      </w:r>
      <w:r>
        <w:rPr>
          <w:rFonts w:hint="eastAsia" w:hAnsi="宋体" w:cs="宋体"/>
          <w:b/>
          <w:bCs/>
          <w:color w:val="auto"/>
          <w:sz w:val="21"/>
          <w:szCs w:val="21"/>
          <w:highlight w:val="none"/>
        </w:rPr>
        <w:t>、投标截止时间、开标时间及地点：</w:t>
      </w:r>
    </w:p>
    <w:p>
      <w:pPr>
        <w:widowControl/>
        <w:numPr>
          <w:ilvl w:val="0"/>
          <w:numId w:val="12"/>
        </w:numPr>
        <w:tabs>
          <w:tab w:val="left" w:pos="-360"/>
        </w:tabs>
        <w:adjustRightInd/>
        <w:spacing w:line="360" w:lineRule="auto"/>
        <w:ind w:right="-34"/>
        <w:jc w:val="both"/>
        <w:textAlignment w:val="bottom"/>
        <w:rPr>
          <w:rFonts w:hAnsi="宋体" w:cs="宋体"/>
          <w:color w:val="auto"/>
          <w:sz w:val="21"/>
          <w:szCs w:val="21"/>
          <w:highlight w:val="none"/>
        </w:rPr>
      </w:pPr>
      <w:r>
        <w:rPr>
          <w:rFonts w:hint="eastAsia" w:hAnsi="宋体" w:cs="宋体"/>
          <w:color w:val="auto"/>
          <w:sz w:val="21"/>
          <w:szCs w:val="21"/>
          <w:highlight w:val="none"/>
        </w:rPr>
        <w:t>递交投标文件时间：2022年</w:t>
      </w:r>
      <w:r>
        <w:rPr>
          <w:rFonts w:hint="eastAsia" w:hAnsi="宋体" w:cs="宋体"/>
          <w:color w:val="auto"/>
          <w:sz w:val="21"/>
          <w:szCs w:val="21"/>
          <w:highlight w:val="none"/>
          <w:lang w:val="en-US" w:eastAsia="zh-CN"/>
        </w:rPr>
        <w:t>12</w:t>
      </w:r>
      <w:r>
        <w:rPr>
          <w:rFonts w:hint="eastAsia" w:hAnsi="宋体" w:cs="宋体"/>
          <w:color w:val="auto"/>
          <w:sz w:val="21"/>
          <w:szCs w:val="21"/>
          <w:highlight w:val="none"/>
        </w:rPr>
        <w:t>月</w:t>
      </w:r>
      <w:r>
        <w:rPr>
          <w:rFonts w:hint="eastAsia" w:hAnsi="宋体" w:cs="宋体"/>
          <w:color w:val="auto"/>
          <w:sz w:val="21"/>
          <w:szCs w:val="21"/>
          <w:highlight w:val="none"/>
          <w:lang w:val="en-US" w:eastAsia="zh-CN"/>
        </w:rPr>
        <w:t>8</w:t>
      </w:r>
      <w:r>
        <w:rPr>
          <w:rFonts w:hint="eastAsia" w:hAnsi="宋体" w:cs="宋体"/>
          <w:color w:val="auto"/>
          <w:sz w:val="21"/>
          <w:szCs w:val="21"/>
          <w:highlight w:val="none"/>
        </w:rPr>
        <w:t>日上午</w:t>
      </w:r>
      <w:r>
        <w:rPr>
          <w:rFonts w:hint="eastAsia" w:hAnsi="宋体" w:cs="宋体"/>
          <w:color w:val="auto"/>
          <w:sz w:val="21"/>
          <w:szCs w:val="21"/>
          <w:highlight w:val="none"/>
          <w:lang w:val="en-US" w:eastAsia="zh-CN"/>
        </w:rPr>
        <w:t>10</w:t>
      </w:r>
      <w:r>
        <w:rPr>
          <w:rFonts w:hint="eastAsia" w:hAnsi="宋体" w:cs="宋体"/>
          <w:color w:val="auto"/>
          <w:sz w:val="21"/>
          <w:szCs w:val="21"/>
          <w:highlight w:val="none"/>
        </w:rPr>
        <w:t>：00～</w:t>
      </w:r>
      <w:r>
        <w:rPr>
          <w:rFonts w:hint="eastAsia" w:hAnsi="宋体" w:cs="宋体"/>
          <w:color w:val="auto"/>
          <w:sz w:val="21"/>
          <w:szCs w:val="21"/>
          <w:highlight w:val="none"/>
          <w:lang w:val="en-US" w:eastAsia="zh-CN"/>
        </w:rPr>
        <w:t>10</w:t>
      </w:r>
      <w:r>
        <w:rPr>
          <w:rFonts w:hint="eastAsia" w:hAnsi="宋体" w:cs="宋体"/>
          <w:color w:val="auto"/>
          <w:sz w:val="21"/>
          <w:szCs w:val="21"/>
          <w:highlight w:val="none"/>
        </w:rPr>
        <w:t>：30。</w:t>
      </w:r>
    </w:p>
    <w:p>
      <w:pPr>
        <w:widowControl/>
        <w:numPr>
          <w:ilvl w:val="0"/>
          <w:numId w:val="12"/>
        </w:numPr>
        <w:tabs>
          <w:tab w:val="left" w:pos="-360"/>
        </w:tabs>
        <w:adjustRightInd/>
        <w:spacing w:line="360" w:lineRule="auto"/>
        <w:ind w:right="-34"/>
        <w:jc w:val="both"/>
        <w:textAlignment w:val="bottom"/>
        <w:rPr>
          <w:rFonts w:hAnsi="宋体" w:cs="宋体"/>
          <w:color w:val="auto"/>
          <w:sz w:val="21"/>
          <w:szCs w:val="21"/>
          <w:highlight w:val="none"/>
        </w:rPr>
      </w:pPr>
      <w:r>
        <w:rPr>
          <w:rFonts w:hint="eastAsia" w:hAnsi="宋体" w:cs="宋体"/>
          <w:color w:val="auto"/>
          <w:kern w:val="2"/>
          <w:sz w:val="21"/>
          <w:szCs w:val="21"/>
          <w:highlight w:val="none"/>
        </w:rPr>
        <w:t>投标截止及开标时间：</w:t>
      </w:r>
      <w:r>
        <w:rPr>
          <w:rFonts w:hint="eastAsia" w:hAnsi="宋体" w:cs="宋体"/>
          <w:color w:val="auto"/>
          <w:sz w:val="21"/>
          <w:szCs w:val="21"/>
          <w:highlight w:val="none"/>
        </w:rPr>
        <w:t>2022年</w:t>
      </w:r>
      <w:r>
        <w:rPr>
          <w:rFonts w:hint="eastAsia" w:hAnsi="宋体" w:cs="宋体"/>
          <w:color w:val="auto"/>
          <w:sz w:val="21"/>
          <w:szCs w:val="21"/>
          <w:highlight w:val="none"/>
          <w:lang w:val="en-US" w:eastAsia="zh-CN"/>
        </w:rPr>
        <w:t>12</w:t>
      </w:r>
      <w:r>
        <w:rPr>
          <w:rFonts w:hint="eastAsia" w:hAnsi="宋体" w:cs="宋体"/>
          <w:color w:val="auto"/>
          <w:sz w:val="21"/>
          <w:szCs w:val="21"/>
          <w:highlight w:val="none"/>
        </w:rPr>
        <w:t>月</w:t>
      </w:r>
      <w:r>
        <w:rPr>
          <w:rFonts w:hint="eastAsia" w:hAnsi="宋体" w:cs="宋体"/>
          <w:color w:val="auto"/>
          <w:sz w:val="21"/>
          <w:szCs w:val="21"/>
          <w:highlight w:val="none"/>
          <w:lang w:val="en-US" w:eastAsia="zh-CN"/>
        </w:rPr>
        <w:t>8</w:t>
      </w:r>
      <w:r>
        <w:rPr>
          <w:rFonts w:hint="eastAsia" w:hAnsi="宋体" w:cs="宋体"/>
          <w:color w:val="auto"/>
          <w:sz w:val="21"/>
          <w:szCs w:val="21"/>
          <w:highlight w:val="none"/>
        </w:rPr>
        <w:t>日上午</w:t>
      </w:r>
      <w:r>
        <w:rPr>
          <w:rFonts w:hint="eastAsia" w:hAnsi="宋体" w:cs="宋体"/>
          <w:color w:val="auto"/>
          <w:sz w:val="21"/>
          <w:szCs w:val="21"/>
          <w:highlight w:val="none"/>
          <w:lang w:val="en-US" w:eastAsia="zh-CN"/>
        </w:rPr>
        <w:t>10</w:t>
      </w:r>
      <w:r>
        <w:rPr>
          <w:rFonts w:hint="eastAsia" w:hAnsi="宋体" w:cs="宋体"/>
          <w:color w:val="auto"/>
          <w:sz w:val="21"/>
          <w:szCs w:val="21"/>
          <w:highlight w:val="none"/>
        </w:rPr>
        <w:t>:30时。</w:t>
      </w:r>
    </w:p>
    <w:p>
      <w:pPr>
        <w:widowControl/>
        <w:numPr>
          <w:ilvl w:val="0"/>
          <w:numId w:val="12"/>
        </w:numPr>
        <w:tabs>
          <w:tab w:val="left" w:pos="-360"/>
        </w:tabs>
        <w:adjustRightInd/>
        <w:spacing w:line="360" w:lineRule="auto"/>
        <w:ind w:right="-34"/>
        <w:jc w:val="both"/>
        <w:textAlignment w:val="bottom"/>
        <w:rPr>
          <w:rFonts w:hAnsi="宋体" w:cs="宋体"/>
          <w:color w:val="auto"/>
          <w:sz w:val="21"/>
          <w:szCs w:val="21"/>
          <w:highlight w:val="none"/>
        </w:rPr>
      </w:pPr>
      <w:r>
        <w:rPr>
          <w:rFonts w:hint="eastAsia" w:hAnsi="宋体" w:cs="宋体"/>
          <w:color w:val="auto"/>
          <w:sz w:val="21"/>
          <w:szCs w:val="21"/>
          <w:highlight w:val="none"/>
        </w:rPr>
        <w:t>开标地点：</w:t>
      </w:r>
      <w:r>
        <w:rPr>
          <w:rFonts w:hint="eastAsia" w:hAnsi="宋体" w:cs="宋体"/>
          <w:color w:val="auto"/>
          <w:sz w:val="21"/>
          <w:szCs w:val="21"/>
          <w:highlight w:val="none"/>
          <w:u w:val="single"/>
        </w:rPr>
        <w:t>东莞市南城区西平社区宏伟三路45号东莞市公共资源交易中心开标（</w:t>
      </w:r>
      <w:r>
        <w:rPr>
          <w:rFonts w:hint="eastAsia" w:cs="宋体"/>
          <w:color w:val="auto"/>
          <w:sz w:val="21"/>
          <w:szCs w:val="21"/>
          <w:highlight w:val="none"/>
          <w:u w:val="single"/>
          <w:lang w:val="en-US" w:eastAsia="zh-CN"/>
        </w:rPr>
        <w:t>1</w:t>
      </w:r>
      <w:r>
        <w:rPr>
          <w:rFonts w:hint="eastAsia" w:hAnsi="宋体" w:cs="宋体"/>
          <w:color w:val="auto"/>
          <w:sz w:val="21"/>
          <w:szCs w:val="21"/>
          <w:highlight w:val="none"/>
          <w:u w:val="single"/>
        </w:rPr>
        <w:t>）室</w:t>
      </w:r>
      <w:r>
        <w:rPr>
          <w:rFonts w:hint="eastAsia" w:hAnsi="宋体" w:cs="宋体"/>
          <w:color w:val="auto"/>
          <w:sz w:val="21"/>
          <w:szCs w:val="21"/>
          <w:highlight w:val="none"/>
        </w:rPr>
        <w:t>。</w:t>
      </w:r>
    </w:p>
    <w:p>
      <w:pPr>
        <w:widowControl/>
        <w:tabs>
          <w:tab w:val="left" w:pos="-360"/>
        </w:tabs>
        <w:adjustRightInd/>
        <w:spacing w:line="360" w:lineRule="auto"/>
        <w:ind w:right="-34"/>
        <w:jc w:val="both"/>
        <w:textAlignment w:val="bottom"/>
        <w:rPr>
          <w:rFonts w:hAnsi="宋体" w:cs="宋体"/>
          <w:b/>
          <w:bCs/>
          <w:color w:val="auto"/>
          <w:kern w:val="28"/>
          <w:sz w:val="21"/>
          <w:szCs w:val="21"/>
          <w:highlight w:val="none"/>
        </w:rPr>
      </w:pPr>
      <w:r>
        <w:rPr>
          <w:rFonts w:hint="eastAsia" w:hAnsi="宋体" w:cs="宋体"/>
          <w:b/>
          <w:bCs/>
          <w:color w:val="auto"/>
          <w:kern w:val="28"/>
          <w:sz w:val="21"/>
          <w:szCs w:val="21"/>
          <w:highlight w:val="none"/>
        </w:rPr>
        <w:t>六、新冠疫情防控期间采购活动注意事项</w:t>
      </w:r>
    </w:p>
    <w:p>
      <w:pPr>
        <w:widowControl/>
        <w:tabs>
          <w:tab w:val="left" w:pos="-360"/>
        </w:tabs>
        <w:adjustRightInd/>
        <w:spacing w:line="360" w:lineRule="auto"/>
        <w:ind w:firstLine="420" w:firstLineChars="200"/>
        <w:jc w:val="both"/>
        <w:textAlignment w:val="bottom"/>
        <w:rPr>
          <w:rFonts w:hAnsi="宋体" w:cs="宋体"/>
          <w:color w:val="auto"/>
          <w:sz w:val="21"/>
          <w:szCs w:val="21"/>
          <w:highlight w:val="none"/>
        </w:rPr>
      </w:pPr>
      <w:r>
        <w:rPr>
          <w:rFonts w:hint="eastAsia" w:hAnsi="宋体" w:cs="宋体"/>
          <w:color w:val="auto"/>
          <w:sz w:val="21"/>
          <w:szCs w:val="21"/>
          <w:highlight w:val="none"/>
        </w:rPr>
        <w:t>疫情防控期间供应商请务必符合相关防疫进场规定，凡到现场参与开标的供应商代表进入开标室须出示粤康码绿码、行程码绿码并全程带好口罩，如行程卡中有东莞市外中、高风险地区行程的还应持有</w:t>
      </w:r>
      <w:r>
        <w:rPr>
          <w:rFonts w:hint="eastAsia" w:hAnsi="宋体" w:cs="宋体"/>
          <w:color w:val="auto"/>
          <w:sz w:val="21"/>
          <w:szCs w:val="21"/>
          <w:highlight w:val="none"/>
          <w:lang w:val="en-US" w:eastAsia="zh-CN"/>
        </w:rPr>
        <w:t>24</w:t>
      </w:r>
      <w:r>
        <w:rPr>
          <w:rFonts w:hint="eastAsia" w:hAnsi="宋体" w:cs="宋体"/>
          <w:color w:val="auto"/>
          <w:sz w:val="21"/>
          <w:szCs w:val="21"/>
          <w:highlight w:val="none"/>
        </w:rPr>
        <w:t>小时内核酸检测阴性证明，如供应商弄虚作假规避检查或违背上述要求的，其一切后果均由其自行承担。</w:t>
      </w:r>
    </w:p>
    <w:p>
      <w:pPr>
        <w:widowControl/>
        <w:tabs>
          <w:tab w:val="left" w:pos="-360"/>
        </w:tabs>
        <w:adjustRightInd/>
        <w:spacing w:line="360" w:lineRule="auto"/>
        <w:ind w:right="-34"/>
        <w:jc w:val="both"/>
        <w:textAlignment w:val="bottom"/>
        <w:rPr>
          <w:rFonts w:hAnsi="宋体" w:cs="宋体"/>
          <w:b/>
          <w:color w:val="auto"/>
          <w:sz w:val="21"/>
          <w:szCs w:val="21"/>
          <w:highlight w:val="none"/>
        </w:rPr>
      </w:pPr>
      <w:bookmarkStart w:id="3" w:name="_Toc396137230"/>
      <w:r>
        <w:rPr>
          <w:rFonts w:hint="eastAsia" w:hAnsi="宋体" w:cs="宋体"/>
          <w:b/>
          <w:color w:val="auto"/>
          <w:sz w:val="21"/>
          <w:szCs w:val="21"/>
          <w:highlight w:val="none"/>
        </w:rPr>
        <w:t>七、有关此次采购事宜，可按下列联系方式向采购代理机构或采购人查询：</w:t>
      </w:r>
    </w:p>
    <w:p>
      <w:pPr>
        <w:spacing w:line="360" w:lineRule="auto"/>
        <w:ind w:right="-34" w:firstLine="424" w:firstLineChars="202"/>
        <w:jc w:val="both"/>
        <w:rPr>
          <w:rFonts w:hAnsi="宋体" w:cs="宋体"/>
          <w:color w:val="auto"/>
          <w:sz w:val="21"/>
          <w:szCs w:val="21"/>
          <w:highlight w:val="none"/>
        </w:rPr>
      </w:pPr>
      <w:r>
        <w:rPr>
          <w:rFonts w:hint="eastAsia" w:hAnsi="宋体" w:cs="宋体"/>
          <w:color w:val="auto"/>
          <w:sz w:val="21"/>
          <w:szCs w:val="21"/>
          <w:highlight w:val="none"/>
        </w:rPr>
        <w:t>采购代理机构：广东泰通伟业工程咨询有限公司</w:t>
      </w:r>
    </w:p>
    <w:p>
      <w:pPr>
        <w:spacing w:line="360" w:lineRule="auto"/>
        <w:ind w:right="-34" w:firstLine="424" w:firstLineChars="202"/>
        <w:jc w:val="both"/>
        <w:rPr>
          <w:rFonts w:hAnsi="宋体" w:cs="宋体"/>
          <w:color w:val="auto"/>
          <w:sz w:val="21"/>
          <w:szCs w:val="21"/>
          <w:highlight w:val="none"/>
        </w:rPr>
      </w:pPr>
      <w:r>
        <w:rPr>
          <w:rFonts w:hint="eastAsia" w:hAnsi="宋体" w:cs="宋体"/>
          <w:color w:val="auto"/>
          <w:sz w:val="21"/>
          <w:szCs w:val="21"/>
          <w:highlight w:val="none"/>
        </w:rPr>
        <w:t>地    址：东莞市东城莞龙路下桥银门街一号办公楼六楼606招标采购部</w:t>
      </w:r>
    </w:p>
    <w:p>
      <w:pPr>
        <w:spacing w:line="360" w:lineRule="auto"/>
        <w:ind w:right="-34" w:firstLine="424" w:firstLineChars="202"/>
        <w:jc w:val="both"/>
        <w:rPr>
          <w:rFonts w:hAnsi="宋体" w:cs="宋体"/>
          <w:color w:val="auto"/>
          <w:sz w:val="21"/>
          <w:szCs w:val="21"/>
          <w:highlight w:val="none"/>
        </w:rPr>
      </w:pPr>
      <w:r>
        <w:rPr>
          <w:rFonts w:hint="eastAsia" w:hAnsi="宋体" w:cs="宋体"/>
          <w:color w:val="auto"/>
          <w:sz w:val="21"/>
          <w:szCs w:val="21"/>
          <w:highlight w:val="none"/>
        </w:rPr>
        <w:t>项目联系人: 冼小姐</w:t>
      </w:r>
    </w:p>
    <w:p>
      <w:pPr>
        <w:spacing w:line="360" w:lineRule="auto"/>
        <w:ind w:right="-34" w:firstLine="424" w:firstLineChars="202"/>
        <w:jc w:val="both"/>
        <w:rPr>
          <w:rFonts w:hAnsi="宋体" w:cs="宋体"/>
          <w:color w:val="auto"/>
          <w:sz w:val="21"/>
          <w:szCs w:val="21"/>
          <w:highlight w:val="none"/>
        </w:rPr>
      </w:pPr>
      <w:r>
        <w:rPr>
          <w:rFonts w:hint="eastAsia" w:hAnsi="宋体" w:cs="宋体"/>
          <w:color w:val="auto"/>
          <w:sz w:val="21"/>
          <w:szCs w:val="21"/>
          <w:highlight w:val="none"/>
        </w:rPr>
        <w:t>电    话：0769-22088829</w:t>
      </w:r>
    </w:p>
    <w:p>
      <w:pPr>
        <w:spacing w:line="360" w:lineRule="auto"/>
        <w:ind w:right="-34" w:firstLine="424" w:firstLineChars="202"/>
        <w:jc w:val="both"/>
        <w:rPr>
          <w:rFonts w:hAnsi="宋体" w:cs="宋体"/>
          <w:color w:val="auto"/>
          <w:sz w:val="21"/>
          <w:szCs w:val="21"/>
          <w:highlight w:val="none"/>
        </w:rPr>
      </w:pPr>
      <w:r>
        <w:rPr>
          <w:rFonts w:hint="eastAsia" w:hAnsi="宋体" w:cs="宋体"/>
          <w:color w:val="auto"/>
          <w:sz w:val="21"/>
          <w:szCs w:val="21"/>
          <w:highlight w:val="none"/>
        </w:rPr>
        <w:t>邮    箱：</w:t>
      </w:r>
      <w:r>
        <w:rPr>
          <w:color w:val="auto"/>
          <w:highlight w:val="none"/>
        </w:rPr>
        <w:fldChar w:fldCharType="begin"/>
      </w:r>
      <w:r>
        <w:rPr>
          <w:color w:val="auto"/>
          <w:highlight w:val="none"/>
        </w:rPr>
        <w:instrText xml:space="preserve"> HYPERLINK "mailto:WYZFCG@126.com" </w:instrText>
      </w:r>
      <w:r>
        <w:rPr>
          <w:color w:val="auto"/>
          <w:highlight w:val="none"/>
        </w:rPr>
        <w:fldChar w:fldCharType="separate"/>
      </w:r>
      <w:r>
        <w:rPr>
          <w:rStyle w:val="59"/>
          <w:rFonts w:hint="eastAsia" w:hAnsi="宋体" w:cs="宋体"/>
          <w:color w:val="auto"/>
          <w:sz w:val="21"/>
          <w:szCs w:val="21"/>
          <w:highlight w:val="none"/>
        </w:rPr>
        <w:t>WYZFCG@126.com</w:t>
      </w:r>
      <w:r>
        <w:rPr>
          <w:rStyle w:val="59"/>
          <w:rFonts w:hint="eastAsia" w:hAnsi="宋体" w:cs="宋体"/>
          <w:color w:val="auto"/>
          <w:sz w:val="21"/>
          <w:szCs w:val="21"/>
          <w:highlight w:val="none"/>
        </w:rPr>
        <w:fldChar w:fldCharType="end"/>
      </w:r>
    </w:p>
    <w:p>
      <w:pPr>
        <w:spacing w:line="360" w:lineRule="auto"/>
        <w:ind w:right="-34" w:firstLine="424" w:firstLineChars="202"/>
        <w:jc w:val="both"/>
        <w:rPr>
          <w:rFonts w:hAnsi="宋体" w:cs="宋体"/>
          <w:color w:val="auto"/>
          <w:sz w:val="21"/>
          <w:szCs w:val="21"/>
          <w:highlight w:val="none"/>
        </w:rPr>
      </w:pPr>
      <w:r>
        <w:rPr>
          <w:rFonts w:hint="eastAsia" w:hAnsi="宋体" w:cs="宋体"/>
          <w:color w:val="auto"/>
          <w:sz w:val="21"/>
          <w:szCs w:val="21"/>
          <w:highlight w:val="none"/>
        </w:rPr>
        <w:t>采 购 人：东莞市大学创新城建设发展有限公司</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地    址：</w:t>
      </w:r>
      <w:r>
        <w:rPr>
          <w:rFonts w:hint="eastAsia" w:hAnsi="宋体"/>
          <w:color w:val="auto"/>
          <w:sz w:val="21"/>
          <w:szCs w:val="21"/>
          <w:highlight w:val="none"/>
        </w:rPr>
        <w:t>东莞市松山湖大学创新城G4栋20层</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联 系 人:</w:t>
      </w:r>
      <w:r>
        <w:rPr>
          <w:rFonts w:hint="eastAsia" w:hAnsi="宋体"/>
          <w:color w:val="auto"/>
          <w:sz w:val="21"/>
          <w:szCs w:val="21"/>
          <w:highlight w:val="none"/>
        </w:rPr>
        <w:t xml:space="preserve"> 谢工</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电    话：</w:t>
      </w:r>
      <w:r>
        <w:rPr>
          <w:rFonts w:hint="eastAsia" w:hAnsi="宋体"/>
          <w:color w:val="auto"/>
          <w:sz w:val="21"/>
          <w:szCs w:val="21"/>
          <w:highlight w:val="none"/>
        </w:rPr>
        <w:t>0769-38888010</w:t>
      </w:r>
    </w:p>
    <w:p>
      <w:pPr>
        <w:pStyle w:val="5"/>
        <w:keepNext/>
        <w:keepLines/>
        <w:pageBreakBefore/>
        <w:numPr>
          <w:ilvl w:val="0"/>
          <w:numId w:val="8"/>
        </w:numPr>
        <w:tabs>
          <w:tab w:val="left" w:pos="1080"/>
        </w:tabs>
        <w:spacing w:line="360" w:lineRule="auto"/>
        <w:ind w:left="1262" w:hanging="1262" w:hangingChars="449"/>
        <w:jc w:val="center"/>
        <w:rPr>
          <w:rFonts w:hAnsi="宋体" w:cs="宋体"/>
          <w:b/>
          <w:bCs/>
          <w:color w:val="auto"/>
          <w:kern w:val="44"/>
          <w:sz w:val="28"/>
          <w:szCs w:val="28"/>
          <w:highlight w:val="none"/>
          <w:lang w:val="zh-CN"/>
        </w:rPr>
      </w:pPr>
      <w:r>
        <w:rPr>
          <w:rFonts w:hint="eastAsia" w:hAnsi="宋体" w:cs="宋体"/>
          <w:b/>
          <w:bCs/>
          <w:color w:val="auto"/>
          <w:kern w:val="44"/>
          <w:sz w:val="28"/>
          <w:szCs w:val="28"/>
          <w:highlight w:val="none"/>
        </w:rPr>
        <w:t xml:space="preserve"> </w:t>
      </w:r>
      <w:bookmarkStart w:id="4" w:name="_Toc7243"/>
      <w:r>
        <w:rPr>
          <w:rFonts w:hint="eastAsia" w:hAnsi="宋体" w:cs="宋体"/>
          <w:b/>
          <w:bCs/>
          <w:color w:val="auto"/>
          <w:kern w:val="44"/>
          <w:sz w:val="28"/>
          <w:szCs w:val="28"/>
          <w:highlight w:val="none"/>
          <w:lang w:val="zh-CN"/>
        </w:rPr>
        <w:t>投标人须知</w:t>
      </w:r>
      <w:bookmarkEnd w:id="3"/>
      <w:bookmarkEnd w:id="4"/>
    </w:p>
    <w:p>
      <w:pPr>
        <w:pStyle w:val="6"/>
        <w:numPr>
          <w:ilvl w:val="0"/>
          <w:numId w:val="13"/>
        </w:numPr>
        <w:spacing w:line="360" w:lineRule="auto"/>
        <w:rPr>
          <w:rFonts w:cs="宋体"/>
          <w:color w:val="auto"/>
          <w:highlight w:val="none"/>
          <w:lang w:val="zh-CN"/>
        </w:rPr>
      </w:pPr>
      <w:bookmarkStart w:id="5" w:name="_Toc396137231"/>
      <w:bookmarkStart w:id="6" w:name="_Toc5324"/>
      <w:r>
        <w:rPr>
          <w:rFonts w:hint="eastAsia" w:cs="宋体"/>
          <w:color w:val="auto"/>
          <w:highlight w:val="none"/>
          <w:lang w:val="zh-CN"/>
        </w:rPr>
        <w:t>投标人须知前附表</w:t>
      </w:r>
      <w:bookmarkEnd w:id="5"/>
      <w:bookmarkEnd w:id="6"/>
    </w:p>
    <w:p>
      <w:pPr>
        <w:tabs>
          <w:tab w:val="left" w:pos="426"/>
        </w:tabs>
        <w:spacing w:after="120" w:afterLines="50"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说明：本投标人须知前附表的条款号与《投标人须知通用条款》的条款号一一对应，是对《投标人须知通用条款》补充、修改和完善，如有矛盾之处，应以本投标人须知前附表为准。</w:t>
      </w:r>
    </w:p>
    <w:tbl>
      <w:tblPr>
        <w:tblStyle w:val="52"/>
        <w:tblW w:w="944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2249"/>
        <w:gridCol w:w="624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blHeader/>
          <w:jc w:val="center"/>
        </w:trPr>
        <w:tc>
          <w:tcPr>
            <w:tcW w:w="952" w:type="dxa"/>
            <w:tcBorders>
              <w:top w:val="double" w:color="auto" w:sz="4" w:space="0"/>
              <w:left w:val="double" w:color="auto" w:sz="4" w:space="0"/>
              <w:bottom w:val="single" w:color="auto" w:sz="4" w:space="0"/>
              <w:right w:val="single" w:color="auto" w:sz="4" w:space="0"/>
            </w:tcBorders>
            <w:vAlign w:val="center"/>
          </w:tcPr>
          <w:p>
            <w:pPr>
              <w:spacing w:line="360" w:lineRule="auto"/>
              <w:jc w:val="center"/>
              <w:rPr>
                <w:rFonts w:hAnsi="宋体" w:cs="宋体"/>
                <w:color w:val="auto"/>
                <w:sz w:val="21"/>
                <w:szCs w:val="21"/>
                <w:highlight w:val="none"/>
              </w:rPr>
            </w:pPr>
            <w:r>
              <w:rPr>
                <w:rFonts w:hint="eastAsia" w:hAnsi="宋体" w:cs="宋体"/>
                <w:color w:val="auto"/>
                <w:sz w:val="21"/>
                <w:szCs w:val="21"/>
                <w:highlight w:val="none"/>
              </w:rPr>
              <w:t>条款号</w:t>
            </w:r>
          </w:p>
        </w:tc>
        <w:tc>
          <w:tcPr>
            <w:tcW w:w="2249" w:type="dxa"/>
            <w:tcBorders>
              <w:top w:val="doub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color w:val="auto"/>
                <w:sz w:val="21"/>
                <w:szCs w:val="21"/>
                <w:highlight w:val="none"/>
              </w:rPr>
            </w:pPr>
            <w:r>
              <w:rPr>
                <w:rFonts w:hint="eastAsia" w:hAnsi="宋体" w:cs="宋体"/>
                <w:color w:val="auto"/>
                <w:sz w:val="21"/>
                <w:szCs w:val="21"/>
                <w:highlight w:val="none"/>
              </w:rPr>
              <w:t>内容</w:t>
            </w:r>
          </w:p>
        </w:tc>
        <w:tc>
          <w:tcPr>
            <w:tcW w:w="6244" w:type="dxa"/>
            <w:tcBorders>
              <w:top w:val="double" w:color="auto" w:sz="4" w:space="0"/>
              <w:left w:val="single" w:color="auto" w:sz="4" w:space="0"/>
              <w:bottom w:val="single" w:color="auto" w:sz="4" w:space="0"/>
              <w:right w:val="double" w:color="auto" w:sz="4" w:space="0"/>
            </w:tcBorders>
            <w:vAlign w:val="center"/>
          </w:tcPr>
          <w:p>
            <w:pPr>
              <w:spacing w:line="360" w:lineRule="auto"/>
              <w:jc w:val="center"/>
              <w:rPr>
                <w:rFonts w:hAnsi="宋体" w:cs="宋体"/>
                <w:color w:val="auto"/>
                <w:sz w:val="21"/>
                <w:szCs w:val="21"/>
                <w:highlight w:val="none"/>
              </w:rPr>
            </w:pPr>
            <w:r>
              <w:rPr>
                <w:rFonts w:hint="eastAsia" w:hAnsi="宋体" w:cs="宋体"/>
                <w:color w:val="auto"/>
                <w:sz w:val="21"/>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952"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hAnsi="宋体" w:cs="宋体"/>
                <w:color w:val="auto"/>
                <w:sz w:val="21"/>
                <w:szCs w:val="21"/>
                <w:highlight w:val="none"/>
              </w:rPr>
            </w:pPr>
            <w:r>
              <w:rPr>
                <w:rFonts w:hint="eastAsia" w:hAnsi="宋体" w:cs="宋体"/>
                <w:color w:val="auto"/>
                <w:sz w:val="21"/>
                <w:szCs w:val="21"/>
                <w:highlight w:val="none"/>
              </w:rPr>
              <w:t>1</w:t>
            </w:r>
          </w:p>
        </w:tc>
        <w:tc>
          <w:tcPr>
            <w:tcW w:w="2249"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s="宋体"/>
                <w:color w:val="auto"/>
                <w:sz w:val="21"/>
                <w:szCs w:val="21"/>
                <w:highlight w:val="none"/>
              </w:rPr>
            </w:pPr>
            <w:r>
              <w:rPr>
                <w:rFonts w:hint="eastAsia" w:hAnsi="宋体" w:cs="宋体"/>
                <w:color w:val="auto"/>
                <w:sz w:val="21"/>
                <w:szCs w:val="21"/>
                <w:highlight w:val="none"/>
              </w:rPr>
              <w:t>资金来源</w:t>
            </w:r>
          </w:p>
        </w:tc>
        <w:tc>
          <w:tcPr>
            <w:tcW w:w="6244" w:type="dxa"/>
            <w:tcBorders>
              <w:top w:val="single" w:color="auto" w:sz="4" w:space="0"/>
              <w:left w:val="single" w:color="auto" w:sz="4" w:space="0"/>
              <w:bottom w:val="single" w:color="auto" w:sz="4" w:space="0"/>
              <w:right w:val="double" w:color="auto" w:sz="4" w:space="0"/>
            </w:tcBorders>
            <w:vAlign w:val="center"/>
          </w:tcPr>
          <w:p>
            <w:pPr>
              <w:spacing w:line="360" w:lineRule="auto"/>
              <w:rPr>
                <w:rFonts w:hAnsi="宋体" w:cs="宋体"/>
                <w:color w:val="auto"/>
                <w:sz w:val="21"/>
                <w:szCs w:val="21"/>
                <w:highlight w:val="none"/>
              </w:rPr>
            </w:pPr>
            <w:r>
              <w:rPr>
                <w:rFonts w:hint="eastAsia" w:hAnsi="宋体" w:cs="宋体"/>
                <w:color w:val="auto"/>
                <w:sz w:val="21"/>
                <w:szCs w:val="21"/>
                <w:highlight w:val="none"/>
              </w:rPr>
              <w:t>自筹资金。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952" w:type="dxa"/>
            <w:vMerge w:val="restart"/>
            <w:tcBorders>
              <w:top w:val="single" w:color="auto" w:sz="4" w:space="0"/>
              <w:left w:val="double" w:color="auto" w:sz="4" w:space="0"/>
              <w:right w:val="single" w:color="auto" w:sz="4" w:space="0"/>
            </w:tcBorders>
            <w:vAlign w:val="center"/>
          </w:tcPr>
          <w:p>
            <w:pPr>
              <w:spacing w:line="360" w:lineRule="auto"/>
              <w:jc w:val="center"/>
              <w:rPr>
                <w:rFonts w:hAnsi="宋体" w:cs="宋体"/>
                <w:color w:val="auto"/>
                <w:sz w:val="21"/>
                <w:szCs w:val="21"/>
                <w:highlight w:val="none"/>
              </w:rPr>
            </w:pPr>
            <w:r>
              <w:rPr>
                <w:rFonts w:hint="eastAsia" w:hAnsi="宋体" w:cs="宋体"/>
                <w:color w:val="auto"/>
                <w:sz w:val="21"/>
                <w:szCs w:val="21"/>
                <w:highlight w:val="none"/>
              </w:rPr>
              <w:t>3</w:t>
            </w:r>
          </w:p>
        </w:tc>
        <w:tc>
          <w:tcPr>
            <w:tcW w:w="2249"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s="宋体"/>
                <w:color w:val="auto"/>
                <w:sz w:val="21"/>
                <w:szCs w:val="21"/>
                <w:highlight w:val="none"/>
              </w:rPr>
            </w:pPr>
            <w:r>
              <w:rPr>
                <w:rFonts w:hint="eastAsia" w:hAnsi="宋体" w:cs="宋体"/>
                <w:color w:val="auto"/>
                <w:sz w:val="21"/>
                <w:szCs w:val="21"/>
                <w:highlight w:val="none"/>
              </w:rPr>
              <w:t>采购人</w:t>
            </w:r>
          </w:p>
        </w:tc>
        <w:tc>
          <w:tcPr>
            <w:tcW w:w="6244" w:type="dxa"/>
            <w:tcBorders>
              <w:top w:val="single" w:color="auto" w:sz="4" w:space="0"/>
              <w:left w:val="single" w:color="auto" w:sz="4" w:space="0"/>
              <w:bottom w:val="single" w:color="auto" w:sz="4" w:space="0"/>
              <w:right w:val="double" w:color="auto" w:sz="4" w:space="0"/>
            </w:tcBorders>
            <w:vAlign w:val="center"/>
          </w:tcPr>
          <w:p>
            <w:pPr>
              <w:spacing w:line="360" w:lineRule="auto"/>
              <w:ind w:right="-34"/>
              <w:jc w:val="both"/>
              <w:rPr>
                <w:rFonts w:hAnsi="宋体" w:cs="宋体"/>
                <w:color w:val="auto"/>
                <w:sz w:val="21"/>
                <w:szCs w:val="21"/>
                <w:highlight w:val="none"/>
              </w:rPr>
            </w:pPr>
            <w:r>
              <w:rPr>
                <w:rFonts w:hint="eastAsia" w:hAnsi="宋体" w:cs="宋体"/>
                <w:color w:val="auto"/>
                <w:sz w:val="21"/>
                <w:szCs w:val="21"/>
                <w:highlight w:val="none"/>
              </w:rPr>
              <w:t>采 购 人：东莞市大学创新城建设发展有限公司</w:t>
            </w:r>
          </w:p>
          <w:p>
            <w:pPr>
              <w:spacing w:line="360" w:lineRule="auto"/>
              <w:ind w:right="-34"/>
              <w:jc w:val="both"/>
              <w:rPr>
                <w:rFonts w:hAnsi="宋体" w:cs="宋体"/>
                <w:color w:val="auto"/>
                <w:sz w:val="21"/>
                <w:szCs w:val="21"/>
                <w:highlight w:val="none"/>
              </w:rPr>
            </w:pPr>
            <w:r>
              <w:rPr>
                <w:rFonts w:hint="eastAsia" w:hAnsi="宋体" w:cs="宋体"/>
                <w:color w:val="auto"/>
                <w:sz w:val="21"/>
                <w:szCs w:val="21"/>
                <w:highlight w:val="none"/>
              </w:rPr>
              <w:t>地    址：东莞市松山湖大学创新城G4栋20层</w:t>
            </w:r>
          </w:p>
          <w:p>
            <w:pPr>
              <w:spacing w:line="360" w:lineRule="auto"/>
              <w:ind w:right="-34"/>
              <w:jc w:val="both"/>
              <w:rPr>
                <w:rFonts w:hAnsi="宋体" w:cs="宋体"/>
                <w:color w:val="auto"/>
                <w:sz w:val="21"/>
                <w:szCs w:val="21"/>
                <w:highlight w:val="none"/>
              </w:rPr>
            </w:pPr>
            <w:r>
              <w:rPr>
                <w:rFonts w:hint="eastAsia" w:hAnsi="宋体" w:cs="宋体"/>
                <w:color w:val="auto"/>
                <w:sz w:val="21"/>
                <w:szCs w:val="21"/>
                <w:highlight w:val="none"/>
              </w:rPr>
              <w:t>联 系 人: 谢工</w:t>
            </w:r>
          </w:p>
          <w:p>
            <w:pPr>
              <w:spacing w:line="360" w:lineRule="auto"/>
              <w:ind w:right="-34"/>
              <w:jc w:val="both"/>
              <w:rPr>
                <w:rFonts w:hAnsi="宋体" w:cs="宋体"/>
                <w:color w:val="auto"/>
                <w:sz w:val="21"/>
                <w:szCs w:val="21"/>
                <w:highlight w:val="none"/>
              </w:rPr>
            </w:pPr>
            <w:r>
              <w:rPr>
                <w:rFonts w:hint="eastAsia" w:hAnsi="宋体" w:cs="宋体"/>
                <w:color w:val="auto"/>
                <w:sz w:val="21"/>
                <w:szCs w:val="21"/>
                <w:highlight w:val="none"/>
              </w:rPr>
              <w:t>电    话：</w:t>
            </w:r>
            <w:r>
              <w:rPr>
                <w:rFonts w:hint="eastAsia" w:hAnsi="宋体"/>
                <w:color w:val="auto"/>
                <w:sz w:val="21"/>
                <w:szCs w:val="21"/>
                <w:highlight w:val="none"/>
              </w:rPr>
              <w:t>0769-38888010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952" w:type="dxa"/>
            <w:vMerge w:val="continue"/>
            <w:tcBorders>
              <w:left w:val="double" w:color="auto" w:sz="4" w:space="0"/>
              <w:bottom w:val="single" w:color="auto" w:sz="4" w:space="0"/>
              <w:right w:val="single" w:color="auto" w:sz="4" w:space="0"/>
            </w:tcBorders>
            <w:vAlign w:val="center"/>
          </w:tcPr>
          <w:p>
            <w:pPr>
              <w:spacing w:line="360" w:lineRule="auto"/>
              <w:jc w:val="center"/>
              <w:rPr>
                <w:rFonts w:hAnsi="宋体" w:cs="宋体"/>
                <w:color w:val="auto"/>
                <w:sz w:val="21"/>
                <w:szCs w:val="21"/>
                <w:highlight w:val="none"/>
              </w:rPr>
            </w:pPr>
          </w:p>
        </w:tc>
        <w:tc>
          <w:tcPr>
            <w:tcW w:w="2249"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s="宋体"/>
                <w:color w:val="auto"/>
                <w:sz w:val="21"/>
                <w:szCs w:val="21"/>
                <w:highlight w:val="none"/>
              </w:rPr>
            </w:pPr>
            <w:r>
              <w:rPr>
                <w:rFonts w:hint="eastAsia" w:hAnsi="宋体" w:cs="宋体"/>
                <w:color w:val="auto"/>
                <w:sz w:val="21"/>
                <w:szCs w:val="21"/>
                <w:highlight w:val="none"/>
              </w:rPr>
              <w:t>采购代理机构</w:t>
            </w:r>
          </w:p>
        </w:tc>
        <w:tc>
          <w:tcPr>
            <w:tcW w:w="6244" w:type="dxa"/>
            <w:tcBorders>
              <w:top w:val="single" w:color="auto" w:sz="4" w:space="0"/>
              <w:left w:val="single" w:color="auto" w:sz="4" w:space="0"/>
              <w:bottom w:val="single" w:color="auto" w:sz="4" w:space="0"/>
              <w:right w:val="double" w:color="auto" w:sz="4" w:space="0"/>
            </w:tcBorders>
            <w:vAlign w:val="center"/>
          </w:tcPr>
          <w:p>
            <w:pPr>
              <w:spacing w:line="360" w:lineRule="auto"/>
              <w:ind w:right="-34"/>
              <w:jc w:val="both"/>
              <w:rPr>
                <w:rFonts w:hAnsi="宋体" w:cs="宋体"/>
                <w:color w:val="auto"/>
                <w:sz w:val="21"/>
                <w:szCs w:val="21"/>
                <w:highlight w:val="none"/>
              </w:rPr>
            </w:pPr>
            <w:r>
              <w:rPr>
                <w:rFonts w:hint="eastAsia" w:hAnsi="宋体" w:cs="宋体"/>
                <w:color w:val="auto"/>
                <w:sz w:val="21"/>
                <w:szCs w:val="21"/>
                <w:highlight w:val="none"/>
              </w:rPr>
              <w:t>采购代理机构：广东泰通伟业工程咨询有限公司</w:t>
            </w:r>
          </w:p>
          <w:p>
            <w:pPr>
              <w:spacing w:line="360" w:lineRule="auto"/>
              <w:ind w:right="-34"/>
              <w:jc w:val="both"/>
              <w:rPr>
                <w:rFonts w:hAnsi="宋体" w:cs="宋体"/>
                <w:color w:val="auto"/>
                <w:sz w:val="21"/>
                <w:szCs w:val="21"/>
                <w:highlight w:val="none"/>
              </w:rPr>
            </w:pPr>
            <w:r>
              <w:rPr>
                <w:rFonts w:hint="eastAsia" w:hAnsi="宋体" w:cs="宋体"/>
                <w:color w:val="auto"/>
                <w:sz w:val="21"/>
                <w:szCs w:val="21"/>
                <w:highlight w:val="none"/>
              </w:rPr>
              <w:t>地    址：东莞市东城莞龙路下桥银门街一号办公楼六楼606招标采购部</w:t>
            </w:r>
          </w:p>
          <w:p>
            <w:pPr>
              <w:spacing w:line="360" w:lineRule="auto"/>
              <w:ind w:right="-34"/>
              <w:jc w:val="both"/>
              <w:rPr>
                <w:rFonts w:hAnsi="宋体" w:cs="宋体"/>
                <w:color w:val="auto"/>
                <w:sz w:val="21"/>
                <w:szCs w:val="21"/>
                <w:highlight w:val="none"/>
              </w:rPr>
            </w:pPr>
            <w:r>
              <w:rPr>
                <w:rFonts w:hint="eastAsia" w:hAnsi="宋体" w:cs="宋体"/>
                <w:color w:val="auto"/>
                <w:sz w:val="21"/>
                <w:szCs w:val="21"/>
                <w:highlight w:val="none"/>
              </w:rPr>
              <w:t>项目联系人: 冼小姐</w:t>
            </w:r>
          </w:p>
          <w:p>
            <w:pPr>
              <w:spacing w:line="360" w:lineRule="auto"/>
              <w:ind w:right="-34"/>
              <w:jc w:val="both"/>
              <w:rPr>
                <w:rFonts w:hAnsi="宋体" w:cs="宋体"/>
                <w:color w:val="auto"/>
                <w:sz w:val="21"/>
                <w:szCs w:val="21"/>
                <w:highlight w:val="none"/>
              </w:rPr>
            </w:pPr>
            <w:r>
              <w:rPr>
                <w:rFonts w:hint="eastAsia" w:hAnsi="宋体" w:cs="宋体"/>
                <w:color w:val="auto"/>
                <w:sz w:val="21"/>
                <w:szCs w:val="21"/>
                <w:highlight w:val="none"/>
              </w:rPr>
              <w:t>电    话：0769-22088829</w:t>
            </w:r>
          </w:p>
          <w:p>
            <w:pPr>
              <w:spacing w:line="360" w:lineRule="auto"/>
              <w:ind w:right="-34"/>
              <w:jc w:val="both"/>
              <w:rPr>
                <w:rFonts w:hAnsi="宋体" w:cs="宋体"/>
                <w:color w:val="auto"/>
                <w:sz w:val="21"/>
                <w:szCs w:val="21"/>
                <w:highlight w:val="none"/>
              </w:rPr>
            </w:pPr>
            <w:r>
              <w:rPr>
                <w:rFonts w:hint="eastAsia" w:hAnsi="宋体" w:cs="宋体"/>
                <w:color w:val="auto"/>
                <w:sz w:val="21"/>
                <w:szCs w:val="21"/>
                <w:highlight w:val="none"/>
              </w:rPr>
              <w:t>邮    箱：</w:t>
            </w:r>
            <w:r>
              <w:rPr>
                <w:color w:val="auto"/>
                <w:highlight w:val="none"/>
              </w:rPr>
              <w:fldChar w:fldCharType="begin"/>
            </w:r>
            <w:r>
              <w:rPr>
                <w:color w:val="auto"/>
                <w:highlight w:val="none"/>
              </w:rPr>
              <w:instrText xml:space="preserve"> HYPERLINK "mailto:WYZFCG@126.com" </w:instrText>
            </w:r>
            <w:r>
              <w:rPr>
                <w:color w:val="auto"/>
                <w:highlight w:val="none"/>
              </w:rPr>
              <w:fldChar w:fldCharType="separate"/>
            </w:r>
            <w:r>
              <w:rPr>
                <w:rStyle w:val="59"/>
                <w:rFonts w:hint="eastAsia" w:hAnsi="宋体" w:cs="宋体"/>
                <w:color w:val="auto"/>
                <w:sz w:val="21"/>
                <w:szCs w:val="21"/>
                <w:highlight w:val="none"/>
              </w:rPr>
              <w:t>WYZFCG@126.com</w:t>
            </w:r>
            <w:r>
              <w:rPr>
                <w:rStyle w:val="59"/>
                <w:rFonts w:hint="eastAsia" w:hAnsi="宋体" w:cs="宋体"/>
                <w:color w:val="auto"/>
                <w:sz w:val="21"/>
                <w:szCs w:val="21"/>
                <w:highlight w:val="none"/>
              </w:rPr>
              <w:fldChar w:fldCharType="end"/>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952" w:type="dxa"/>
            <w:vMerge w:val="restart"/>
            <w:tcBorders>
              <w:top w:val="single" w:color="auto" w:sz="4" w:space="0"/>
              <w:left w:val="double" w:color="auto" w:sz="4" w:space="0"/>
              <w:right w:val="single" w:color="auto" w:sz="4" w:space="0"/>
            </w:tcBorders>
            <w:vAlign w:val="center"/>
          </w:tcPr>
          <w:p>
            <w:pPr>
              <w:spacing w:line="360" w:lineRule="auto"/>
              <w:jc w:val="center"/>
              <w:rPr>
                <w:rFonts w:hAnsi="宋体" w:cs="宋体"/>
                <w:color w:val="auto"/>
                <w:sz w:val="21"/>
                <w:szCs w:val="21"/>
                <w:highlight w:val="none"/>
              </w:rPr>
            </w:pPr>
            <w:r>
              <w:rPr>
                <w:rFonts w:hint="eastAsia" w:hAnsi="宋体" w:cs="宋体"/>
                <w:color w:val="auto"/>
                <w:sz w:val="21"/>
                <w:szCs w:val="21"/>
                <w:highlight w:val="none"/>
              </w:rPr>
              <w:t>4</w:t>
            </w:r>
          </w:p>
        </w:tc>
        <w:tc>
          <w:tcPr>
            <w:tcW w:w="2249"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s="宋体"/>
                <w:color w:val="auto"/>
                <w:sz w:val="21"/>
                <w:szCs w:val="21"/>
                <w:highlight w:val="none"/>
              </w:rPr>
            </w:pPr>
            <w:r>
              <w:rPr>
                <w:rFonts w:hint="eastAsia" w:hAnsi="宋体" w:cs="宋体"/>
                <w:color w:val="auto"/>
                <w:sz w:val="21"/>
                <w:szCs w:val="21"/>
                <w:highlight w:val="none"/>
              </w:rPr>
              <w:t>合格的投标人</w:t>
            </w:r>
          </w:p>
        </w:tc>
        <w:tc>
          <w:tcPr>
            <w:tcW w:w="6244" w:type="dxa"/>
            <w:tcBorders>
              <w:top w:val="single" w:color="auto" w:sz="4" w:space="0"/>
              <w:left w:val="single" w:color="auto" w:sz="4" w:space="0"/>
              <w:bottom w:val="single" w:color="auto" w:sz="4" w:space="0"/>
              <w:right w:val="double" w:color="auto" w:sz="4" w:space="0"/>
            </w:tcBorders>
            <w:vAlign w:val="center"/>
          </w:tcPr>
          <w:p>
            <w:pPr>
              <w:spacing w:line="360" w:lineRule="auto"/>
              <w:rPr>
                <w:rFonts w:hAnsi="宋体" w:cs="宋体"/>
                <w:color w:val="auto"/>
                <w:sz w:val="21"/>
                <w:szCs w:val="21"/>
                <w:highlight w:val="none"/>
                <w:u w:val="single"/>
              </w:rPr>
            </w:pPr>
            <w:r>
              <w:rPr>
                <w:rFonts w:hint="eastAsia" w:hAnsi="宋体" w:cs="宋体"/>
                <w:color w:val="auto"/>
                <w:sz w:val="21"/>
                <w:szCs w:val="21"/>
                <w:highlight w:val="none"/>
                <w:lang w:val="zh-CN"/>
              </w:rPr>
              <w:t>具体要求见本采购文件第一篇投标邀请书。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952" w:type="dxa"/>
            <w:vMerge w:val="continue"/>
            <w:tcBorders>
              <w:left w:val="double" w:color="auto" w:sz="4" w:space="0"/>
              <w:right w:val="single" w:color="auto" w:sz="4" w:space="0"/>
            </w:tcBorders>
            <w:vAlign w:val="center"/>
          </w:tcPr>
          <w:p>
            <w:pPr>
              <w:spacing w:line="360" w:lineRule="auto"/>
              <w:ind w:left="125"/>
              <w:jc w:val="center"/>
              <w:rPr>
                <w:rFonts w:hAnsi="宋体" w:cs="宋体"/>
                <w:color w:val="auto"/>
                <w:sz w:val="21"/>
                <w:szCs w:val="21"/>
                <w:highlight w:val="none"/>
              </w:rPr>
            </w:pPr>
          </w:p>
        </w:tc>
        <w:tc>
          <w:tcPr>
            <w:tcW w:w="2249"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s="宋体"/>
                <w:color w:val="auto"/>
                <w:sz w:val="21"/>
                <w:szCs w:val="21"/>
                <w:highlight w:val="none"/>
              </w:rPr>
            </w:pPr>
            <w:r>
              <w:rPr>
                <w:rFonts w:hint="eastAsia" w:hAnsi="宋体" w:cs="宋体"/>
                <w:color w:val="auto"/>
                <w:sz w:val="21"/>
                <w:szCs w:val="21"/>
                <w:highlight w:val="none"/>
              </w:rPr>
              <w:t>是否允许联合体投标</w:t>
            </w:r>
          </w:p>
        </w:tc>
        <w:tc>
          <w:tcPr>
            <w:tcW w:w="6244" w:type="dxa"/>
            <w:tcBorders>
              <w:top w:val="single" w:color="auto" w:sz="4" w:space="0"/>
              <w:left w:val="single" w:color="auto" w:sz="4" w:space="0"/>
              <w:bottom w:val="single" w:color="auto" w:sz="4" w:space="0"/>
              <w:right w:val="double" w:color="auto" w:sz="4" w:space="0"/>
            </w:tcBorders>
            <w:vAlign w:val="center"/>
          </w:tcPr>
          <w:p>
            <w:pPr>
              <w:spacing w:line="360" w:lineRule="auto"/>
              <w:ind w:right="-223" w:rightChars="-93"/>
              <w:rPr>
                <w:rFonts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val="zh-CN"/>
              </w:rPr>
              <w:t>是，联合体所有成员（含联合体牵头人）数量不得超过</w:t>
            </w:r>
            <w:r>
              <w:rPr>
                <w:rFonts w:hint="eastAsia" w:hAnsi="宋体" w:cs="宋体"/>
                <w:color w:val="auto"/>
                <w:sz w:val="21"/>
                <w:szCs w:val="21"/>
                <w:highlight w:val="none"/>
                <w:u w:val="single"/>
              </w:rPr>
              <w:t xml:space="preserve"> / </w:t>
            </w:r>
            <w:r>
              <w:rPr>
                <w:rFonts w:hint="eastAsia" w:hAnsi="宋体" w:cs="宋体"/>
                <w:color w:val="auto"/>
                <w:sz w:val="21"/>
                <w:szCs w:val="21"/>
                <w:highlight w:val="none"/>
                <w:u w:val="single"/>
                <w:lang w:val="zh-CN"/>
              </w:rPr>
              <w:t>家</w:t>
            </w:r>
            <w:r>
              <w:rPr>
                <w:rFonts w:hint="eastAsia" w:hAnsi="宋体" w:cs="宋体"/>
                <w:color w:val="auto"/>
                <w:sz w:val="21"/>
                <w:szCs w:val="21"/>
                <w:highlight w:val="none"/>
                <w:lang w:val="zh-CN"/>
              </w:rPr>
              <w:t>。</w:t>
            </w:r>
            <w:r>
              <w:rPr>
                <w:rFonts w:hint="eastAsia" w:hAnsi="宋体" w:cs="宋体"/>
                <w:color w:val="auto"/>
                <w:sz w:val="21"/>
                <w:szCs w:val="21"/>
                <w:highlight w:val="none"/>
              </w:rPr>
              <w:t xml:space="preserve"> </w:t>
            </w:r>
          </w:p>
          <w:p>
            <w:pPr>
              <w:spacing w:line="360" w:lineRule="auto"/>
              <w:ind w:right="-223" w:rightChars="-93"/>
              <w:rPr>
                <w:rFonts w:hAnsi="宋体" w:cs="宋体"/>
                <w:color w:val="auto"/>
                <w:sz w:val="21"/>
                <w:szCs w:val="21"/>
                <w:highlight w:val="none"/>
                <w:lang w:val="zh-CN"/>
              </w:rPr>
            </w:pPr>
            <w:r>
              <w:rPr>
                <w:rFonts w:hint="eastAsia" w:hAnsi="宋体" w:cs="宋体"/>
                <w:color w:val="auto"/>
                <w:sz w:val="21"/>
                <w:szCs w:val="21"/>
                <w:highlight w:val="none"/>
                <w:lang w:val="zh-CN"/>
              </w:rPr>
              <w:sym w:font="Wingdings 2" w:char="0052"/>
            </w:r>
            <w:r>
              <w:rPr>
                <w:rFonts w:hint="eastAsia" w:hAnsi="宋体" w:cs="宋体"/>
                <w:color w:val="auto"/>
                <w:sz w:val="21"/>
                <w:szCs w:val="21"/>
                <w:highlight w:val="none"/>
                <w:lang w:val="zh-CN"/>
              </w:rPr>
              <w:t>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952" w:type="dxa"/>
            <w:vMerge w:val="continue"/>
            <w:tcBorders>
              <w:left w:val="double" w:color="auto" w:sz="4" w:space="0"/>
              <w:right w:val="single" w:color="auto" w:sz="4" w:space="0"/>
            </w:tcBorders>
            <w:vAlign w:val="center"/>
          </w:tcPr>
          <w:p>
            <w:pPr>
              <w:spacing w:line="360" w:lineRule="auto"/>
              <w:ind w:left="125"/>
              <w:jc w:val="center"/>
              <w:rPr>
                <w:rFonts w:hAnsi="宋体" w:cs="宋体"/>
                <w:color w:val="auto"/>
                <w:sz w:val="21"/>
                <w:szCs w:val="21"/>
                <w:highlight w:val="none"/>
              </w:rPr>
            </w:pPr>
          </w:p>
        </w:tc>
        <w:tc>
          <w:tcPr>
            <w:tcW w:w="2249"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s="宋体"/>
                <w:color w:val="auto"/>
                <w:sz w:val="21"/>
                <w:szCs w:val="21"/>
                <w:highlight w:val="none"/>
              </w:rPr>
            </w:pPr>
            <w:r>
              <w:rPr>
                <w:rFonts w:hint="eastAsia" w:hAnsi="宋体" w:cs="宋体"/>
                <w:color w:val="auto"/>
                <w:sz w:val="21"/>
                <w:szCs w:val="21"/>
                <w:highlight w:val="none"/>
              </w:rPr>
              <w:t>是否允许分公司投标</w:t>
            </w:r>
          </w:p>
        </w:tc>
        <w:tc>
          <w:tcPr>
            <w:tcW w:w="6244" w:type="dxa"/>
            <w:tcBorders>
              <w:top w:val="single" w:color="auto" w:sz="4" w:space="0"/>
              <w:left w:val="single" w:color="auto" w:sz="4" w:space="0"/>
              <w:bottom w:val="single" w:color="auto" w:sz="4" w:space="0"/>
              <w:right w:val="double" w:color="auto" w:sz="4" w:space="0"/>
            </w:tcBorders>
            <w:vAlign w:val="center"/>
          </w:tcPr>
          <w:p>
            <w:pPr>
              <w:spacing w:line="360" w:lineRule="auto"/>
              <w:ind w:right="-223" w:rightChars="-93"/>
              <w:rPr>
                <w:rFonts w:hAnsi="宋体" w:cs="宋体"/>
                <w:color w:val="auto"/>
                <w:sz w:val="21"/>
                <w:szCs w:val="21"/>
                <w:highlight w:val="none"/>
              </w:rPr>
            </w:pPr>
            <w:r>
              <w:rPr>
                <w:rFonts w:hint="eastAsia" w:hAnsi="宋体" w:cs="宋体"/>
                <w:color w:val="auto"/>
                <w:sz w:val="21"/>
                <w:szCs w:val="21"/>
                <w:highlight w:val="none"/>
                <w:lang w:val="zh-CN"/>
              </w:rPr>
              <w:t>□是。</w:t>
            </w:r>
            <w:r>
              <w:rPr>
                <w:rFonts w:hint="eastAsia" w:hAnsi="宋体" w:cs="宋体"/>
                <w:color w:val="auto"/>
                <w:sz w:val="21"/>
                <w:szCs w:val="21"/>
                <w:highlight w:val="none"/>
              </w:rPr>
              <w:t xml:space="preserve">  </w:t>
            </w:r>
            <w:r>
              <w:rPr>
                <w:rFonts w:hint="eastAsia" w:hAnsi="宋体" w:cs="宋体"/>
                <w:color w:val="auto"/>
                <w:sz w:val="21"/>
                <w:szCs w:val="21"/>
                <w:highlight w:val="none"/>
              </w:rPr>
              <w:sym w:font="Wingdings 2" w:char="0052"/>
            </w:r>
            <w:r>
              <w:rPr>
                <w:rFonts w:hint="eastAsia" w:hAnsi="宋体" w:cs="宋体"/>
                <w:color w:val="auto"/>
                <w:sz w:val="21"/>
                <w:szCs w:val="21"/>
                <w:highlight w:val="none"/>
                <w:lang w:val="zh-CN"/>
              </w:rPr>
              <w:t>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952"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hAnsi="宋体" w:cs="宋体"/>
                <w:color w:val="auto"/>
                <w:sz w:val="21"/>
                <w:szCs w:val="21"/>
                <w:highlight w:val="none"/>
              </w:rPr>
            </w:pPr>
            <w:r>
              <w:rPr>
                <w:rFonts w:hint="eastAsia" w:hAnsi="宋体" w:cs="宋体"/>
                <w:color w:val="auto"/>
                <w:sz w:val="21"/>
                <w:szCs w:val="21"/>
                <w:highlight w:val="none"/>
              </w:rPr>
              <w:t>7</w:t>
            </w:r>
          </w:p>
        </w:tc>
        <w:tc>
          <w:tcPr>
            <w:tcW w:w="2249"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s="宋体"/>
                <w:color w:val="auto"/>
                <w:sz w:val="21"/>
                <w:szCs w:val="21"/>
                <w:highlight w:val="none"/>
              </w:rPr>
            </w:pPr>
            <w:r>
              <w:rPr>
                <w:rFonts w:hint="eastAsia" w:hAnsi="宋体" w:cs="宋体"/>
                <w:color w:val="auto"/>
                <w:sz w:val="21"/>
                <w:szCs w:val="21"/>
                <w:highlight w:val="none"/>
              </w:rPr>
              <w:t>踏勘现场或答疑会</w:t>
            </w:r>
          </w:p>
        </w:tc>
        <w:tc>
          <w:tcPr>
            <w:tcW w:w="6244" w:type="dxa"/>
            <w:tcBorders>
              <w:top w:val="single" w:color="auto" w:sz="4" w:space="0"/>
              <w:left w:val="single" w:color="auto" w:sz="4" w:space="0"/>
              <w:bottom w:val="single" w:color="auto" w:sz="4" w:space="0"/>
              <w:right w:val="double" w:color="auto" w:sz="4" w:space="0"/>
            </w:tcBorders>
            <w:vAlign w:val="center"/>
          </w:tcPr>
          <w:p>
            <w:pPr>
              <w:spacing w:line="360" w:lineRule="auto"/>
              <w:rPr>
                <w:rFonts w:hAnsi="宋体" w:cs="宋体"/>
                <w:color w:val="auto"/>
                <w:sz w:val="21"/>
                <w:szCs w:val="21"/>
                <w:highlight w:val="none"/>
              </w:rPr>
            </w:pPr>
            <w:r>
              <w:rPr>
                <w:rFonts w:hint="eastAsia" w:hAnsi="宋体" w:cs="宋体"/>
                <w:color w:val="auto"/>
                <w:sz w:val="21"/>
                <w:szCs w:val="21"/>
                <w:highlight w:val="none"/>
              </w:rPr>
              <w:t>本项目采购人不集中组织。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952"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hAnsi="宋体" w:cs="宋体"/>
                <w:color w:val="auto"/>
                <w:sz w:val="21"/>
                <w:szCs w:val="21"/>
                <w:highlight w:val="none"/>
              </w:rPr>
            </w:pPr>
            <w:r>
              <w:rPr>
                <w:rFonts w:hint="eastAsia" w:hAnsi="宋体" w:cs="宋体"/>
                <w:color w:val="auto"/>
                <w:sz w:val="21"/>
                <w:szCs w:val="21"/>
                <w:highlight w:val="none"/>
              </w:rPr>
              <w:t>9</w:t>
            </w:r>
          </w:p>
        </w:tc>
        <w:tc>
          <w:tcPr>
            <w:tcW w:w="2249" w:type="dxa"/>
            <w:tcBorders>
              <w:top w:val="single" w:color="auto" w:sz="4" w:space="0"/>
              <w:left w:val="single" w:color="auto" w:sz="4" w:space="0"/>
              <w:bottom w:val="single" w:color="auto" w:sz="4" w:space="0"/>
              <w:right w:val="single" w:color="auto" w:sz="4" w:space="0"/>
            </w:tcBorders>
            <w:vAlign w:val="center"/>
          </w:tcPr>
          <w:p>
            <w:pPr>
              <w:spacing w:line="360" w:lineRule="auto"/>
              <w:ind w:right="-43" w:rightChars="-18"/>
              <w:rPr>
                <w:rFonts w:hAnsi="宋体" w:cs="宋体"/>
                <w:color w:val="auto"/>
                <w:sz w:val="21"/>
                <w:szCs w:val="21"/>
                <w:highlight w:val="none"/>
              </w:rPr>
            </w:pPr>
            <w:r>
              <w:rPr>
                <w:rFonts w:hint="eastAsia" w:hAnsi="宋体" w:cs="宋体"/>
                <w:bCs/>
                <w:color w:val="auto"/>
                <w:sz w:val="21"/>
                <w:szCs w:val="21"/>
                <w:highlight w:val="none"/>
              </w:rPr>
              <w:t>采购信息公告媒体</w:t>
            </w:r>
          </w:p>
        </w:tc>
        <w:tc>
          <w:tcPr>
            <w:tcW w:w="6244" w:type="dxa"/>
            <w:tcBorders>
              <w:top w:val="single" w:color="auto" w:sz="4" w:space="0"/>
              <w:left w:val="single" w:color="auto" w:sz="4" w:space="0"/>
              <w:bottom w:val="single" w:color="auto" w:sz="4" w:space="0"/>
              <w:right w:val="double" w:color="auto" w:sz="4" w:space="0"/>
            </w:tcBorders>
            <w:vAlign w:val="center"/>
          </w:tcPr>
          <w:p>
            <w:pPr>
              <w:spacing w:line="360" w:lineRule="auto"/>
              <w:rPr>
                <w:rFonts w:hAnsi="宋体" w:cs="宋体"/>
                <w:color w:val="auto"/>
                <w:kern w:val="2"/>
                <w:sz w:val="21"/>
                <w:szCs w:val="21"/>
                <w:highlight w:val="none"/>
                <w:lang w:val="zh-CN"/>
              </w:rPr>
            </w:pPr>
            <w:r>
              <w:rPr>
                <w:rFonts w:hint="eastAsia" w:hAnsi="宋体"/>
                <w:color w:val="auto"/>
                <w:kern w:val="2"/>
                <w:sz w:val="21"/>
                <w:szCs w:val="21"/>
                <w:highlight w:val="none"/>
                <w:lang w:val="zh-CN"/>
              </w:rPr>
              <w:t>采购公告发布媒介：东莞市公共资源交易网-其他公告栏目（http://dgzb.com.cn/）、</w:t>
            </w:r>
            <w:r>
              <w:rPr>
                <w:rFonts w:hint="eastAsia" w:hAnsi="宋体" w:cs="宋体"/>
                <w:color w:val="auto"/>
                <w:kern w:val="2"/>
                <w:sz w:val="21"/>
                <w:szCs w:val="21"/>
                <w:highlight w:val="none"/>
                <w:lang w:val="zh-CN"/>
              </w:rPr>
              <w:t>中国招标投标公共服务平台</w:t>
            </w:r>
            <w:r>
              <w:rPr>
                <w:rFonts w:hint="eastAsia" w:hAnsi="宋体" w:cs="宋体"/>
                <w:color w:val="auto"/>
                <w:kern w:val="2"/>
                <w:sz w:val="21"/>
                <w:szCs w:val="21"/>
                <w:highlight w:val="none"/>
              </w:rPr>
              <w:t>（http://www.cebpubservice.com/）</w:t>
            </w:r>
            <w:r>
              <w:rPr>
                <w:rFonts w:hint="eastAsia" w:hAnsi="宋体" w:cs="宋体"/>
                <w:color w:val="auto"/>
                <w:kern w:val="2"/>
                <w:sz w:val="21"/>
                <w:szCs w:val="21"/>
                <w:highlight w:val="none"/>
                <w:lang w:val="zh-CN"/>
              </w:rPr>
              <w:t>、东莞实业投资控股集团有限公司</w:t>
            </w:r>
            <w:r>
              <w:rPr>
                <w:rFonts w:hint="eastAsia" w:hAnsi="宋体" w:cs="宋体"/>
                <w:color w:val="auto"/>
                <w:kern w:val="2"/>
                <w:sz w:val="21"/>
                <w:szCs w:val="21"/>
                <w:highlight w:val="none"/>
              </w:rPr>
              <w:t>-</w:t>
            </w:r>
            <w:r>
              <w:rPr>
                <w:rFonts w:hint="eastAsia" w:hAnsi="宋体" w:cs="宋体"/>
                <w:color w:val="auto"/>
                <w:kern w:val="2"/>
                <w:sz w:val="21"/>
                <w:szCs w:val="21"/>
                <w:highlight w:val="none"/>
                <w:lang w:val="zh-CN"/>
              </w:rPr>
              <w:t>招标采购栏目</w:t>
            </w:r>
            <w:r>
              <w:rPr>
                <w:rFonts w:hint="eastAsia" w:hAnsi="宋体" w:cs="宋体"/>
                <w:color w:val="auto"/>
                <w:kern w:val="2"/>
                <w:sz w:val="21"/>
                <w:szCs w:val="21"/>
                <w:highlight w:val="none"/>
              </w:rPr>
              <w:t>（http://www.dgsy.com.cn/）</w:t>
            </w:r>
            <w:r>
              <w:rPr>
                <w:rFonts w:hint="eastAsia" w:hAnsi="宋体" w:cs="宋体"/>
                <w:color w:val="auto"/>
                <w:kern w:val="2"/>
                <w:sz w:val="21"/>
                <w:szCs w:val="21"/>
                <w:highlight w:val="none"/>
                <w:lang w:val="zh-CN"/>
              </w:rPr>
              <w:t>、广东泰通伟业工程咨询有限公司官网</w:t>
            </w:r>
            <w:r>
              <w:rPr>
                <w:rFonts w:hint="eastAsia" w:hAnsi="宋体" w:cs="宋体"/>
                <w:color w:val="auto"/>
                <w:kern w:val="2"/>
                <w:sz w:val="21"/>
                <w:szCs w:val="21"/>
                <w:highlight w:val="none"/>
              </w:rPr>
              <w:t>-</w:t>
            </w:r>
            <w:r>
              <w:rPr>
                <w:rFonts w:hint="eastAsia" w:hAnsi="宋体" w:cs="宋体"/>
                <w:color w:val="auto"/>
                <w:kern w:val="2"/>
                <w:sz w:val="21"/>
                <w:szCs w:val="21"/>
                <w:highlight w:val="none"/>
                <w:lang w:val="zh-CN"/>
              </w:rPr>
              <w:t>招标采购栏目</w:t>
            </w:r>
            <w:r>
              <w:rPr>
                <w:rFonts w:hint="eastAsia" w:hAnsi="宋体" w:cs="宋体"/>
                <w:color w:val="auto"/>
                <w:kern w:val="2"/>
                <w:sz w:val="21"/>
                <w:szCs w:val="21"/>
                <w:highlight w:val="none"/>
              </w:rPr>
              <w:t>（http://www.weiyecoltd.com/）</w:t>
            </w:r>
            <w:r>
              <w:rPr>
                <w:rFonts w:hint="eastAsia" w:hAnsi="宋体" w:cs="宋体"/>
                <w:color w:val="auto"/>
                <w:kern w:val="2"/>
                <w:sz w:val="21"/>
                <w:szCs w:val="21"/>
                <w:highlight w:val="none"/>
                <w:lang w:val="zh-CN"/>
              </w:rPr>
              <w:t>。相关公告在法定媒体上公布之日即视为有效送达，不再另行通知。</w:t>
            </w:r>
          </w:p>
          <w:p>
            <w:pPr>
              <w:spacing w:line="360" w:lineRule="auto"/>
              <w:rPr>
                <w:rFonts w:hAnsi="宋体" w:cs="宋体"/>
                <w:color w:val="auto"/>
                <w:sz w:val="21"/>
                <w:szCs w:val="21"/>
                <w:highlight w:val="none"/>
              </w:rPr>
            </w:pPr>
            <w:r>
              <w:rPr>
                <w:rFonts w:hint="eastAsia"/>
                <w:color w:val="auto"/>
                <w:sz w:val="21"/>
                <w:szCs w:val="21"/>
                <w:highlight w:val="none"/>
              </w:rPr>
              <w:t>采购结果公告</w:t>
            </w:r>
            <w:r>
              <w:rPr>
                <w:rFonts w:hint="eastAsia" w:hAnsi="宋体"/>
                <w:color w:val="auto"/>
                <w:kern w:val="2"/>
                <w:sz w:val="21"/>
                <w:szCs w:val="21"/>
                <w:highlight w:val="none"/>
              </w:rPr>
              <w:t>发布媒介：</w:t>
            </w:r>
            <w:r>
              <w:rPr>
                <w:rFonts w:hint="eastAsia" w:hAnsi="宋体"/>
                <w:color w:val="auto"/>
                <w:kern w:val="2"/>
                <w:sz w:val="21"/>
                <w:szCs w:val="21"/>
                <w:highlight w:val="none"/>
                <w:lang w:val="zh-CN"/>
              </w:rPr>
              <w:t>东莞实业投资控股集团有限公司-招标采购栏目（http://www.dgsy.com.cn/）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952"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hAnsi="宋体" w:cs="宋体"/>
                <w:color w:val="auto"/>
                <w:sz w:val="21"/>
                <w:szCs w:val="21"/>
                <w:highlight w:val="none"/>
              </w:rPr>
            </w:pPr>
            <w:r>
              <w:rPr>
                <w:rFonts w:hint="eastAsia" w:hAnsi="宋体"/>
                <w:color w:val="auto"/>
                <w:sz w:val="21"/>
                <w:szCs w:val="21"/>
                <w:highlight w:val="none"/>
              </w:rPr>
              <w:t>11</w:t>
            </w:r>
          </w:p>
        </w:tc>
        <w:tc>
          <w:tcPr>
            <w:tcW w:w="2249"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s="宋体"/>
                <w:bCs/>
                <w:color w:val="auto"/>
                <w:sz w:val="21"/>
                <w:szCs w:val="21"/>
                <w:highlight w:val="none"/>
              </w:rPr>
            </w:pPr>
            <w:r>
              <w:rPr>
                <w:rFonts w:hint="eastAsia" w:hAnsi="宋体"/>
                <w:color w:val="auto"/>
                <w:sz w:val="21"/>
                <w:szCs w:val="21"/>
                <w:highlight w:val="none"/>
              </w:rPr>
              <w:t>投标文件</w:t>
            </w:r>
          </w:p>
        </w:tc>
        <w:tc>
          <w:tcPr>
            <w:tcW w:w="6244" w:type="dxa"/>
            <w:tcBorders>
              <w:top w:val="single" w:color="auto" w:sz="4" w:space="0"/>
              <w:left w:val="single" w:color="auto" w:sz="4" w:space="0"/>
              <w:bottom w:val="single" w:color="auto" w:sz="4" w:space="0"/>
              <w:right w:val="double" w:color="auto" w:sz="4" w:space="0"/>
            </w:tcBorders>
            <w:vAlign w:val="center"/>
          </w:tcPr>
          <w:p>
            <w:pPr>
              <w:autoSpaceDE/>
              <w:autoSpaceDN/>
              <w:adjustRightInd/>
              <w:spacing w:line="360" w:lineRule="auto"/>
              <w:jc w:val="both"/>
              <w:rPr>
                <w:rFonts w:hAnsi="宋体"/>
                <w:color w:val="auto"/>
                <w:sz w:val="21"/>
                <w:szCs w:val="21"/>
                <w:highlight w:val="none"/>
              </w:rPr>
            </w:pPr>
            <w:r>
              <w:rPr>
                <w:rFonts w:hint="eastAsia" w:hAnsi="宋体"/>
                <w:color w:val="auto"/>
                <w:sz w:val="21"/>
                <w:szCs w:val="21"/>
                <w:highlight w:val="none"/>
              </w:rPr>
              <w:t>1.投标文件（由价格文件、商务文件、技术文件三部分组成；投标文件价格部分、商务部分、技术部分应分开装订，且商务、技术部分不能出现有关投标报价的内容，）；</w:t>
            </w:r>
          </w:p>
          <w:p>
            <w:pPr>
              <w:autoSpaceDE/>
              <w:autoSpaceDN/>
              <w:adjustRightInd/>
              <w:spacing w:line="360" w:lineRule="auto"/>
              <w:jc w:val="both"/>
              <w:rPr>
                <w:rFonts w:hAnsi="宋体" w:cs="宋体"/>
                <w:color w:val="auto"/>
                <w:kern w:val="2"/>
                <w:sz w:val="21"/>
                <w:szCs w:val="21"/>
                <w:highlight w:val="none"/>
                <w:lang w:val="zh-CN"/>
              </w:rPr>
            </w:pPr>
            <w:r>
              <w:rPr>
                <w:rFonts w:hint="eastAsia" w:hAnsi="宋体"/>
                <w:color w:val="auto"/>
                <w:sz w:val="21"/>
                <w:szCs w:val="21"/>
                <w:highlight w:val="none"/>
              </w:rPr>
              <w:t>2.唱标信封。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2"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hAnsi="宋体" w:cs="宋体"/>
                <w:color w:val="auto"/>
                <w:sz w:val="21"/>
                <w:szCs w:val="21"/>
                <w:highlight w:val="none"/>
              </w:rPr>
            </w:pPr>
            <w:r>
              <w:rPr>
                <w:rFonts w:hint="eastAsia" w:hAnsi="宋体" w:cs="宋体"/>
                <w:color w:val="auto"/>
                <w:sz w:val="21"/>
                <w:szCs w:val="21"/>
                <w:highlight w:val="none"/>
              </w:rPr>
              <w:t>12</w:t>
            </w:r>
          </w:p>
        </w:tc>
        <w:tc>
          <w:tcPr>
            <w:tcW w:w="2249"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s="宋体"/>
                <w:color w:val="auto"/>
                <w:sz w:val="21"/>
                <w:szCs w:val="21"/>
                <w:highlight w:val="none"/>
              </w:rPr>
            </w:pPr>
            <w:r>
              <w:rPr>
                <w:rFonts w:hint="eastAsia" w:hAnsi="宋体" w:cs="宋体"/>
                <w:color w:val="auto"/>
                <w:sz w:val="21"/>
                <w:szCs w:val="21"/>
                <w:highlight w:val="none"/>
              </w:rPr>
              <w:t>投标报价</w:t>
            </w:r>
          </w:p>
        </w:tc>
        <w:tc>
          <w:tcPr>
            <w:tcW w:w="6244" w:type="dxa"/>
            <w:tcBorders>
              <w:top w:val="single" w:color="auto" w:sz="4" w:space="0"/>
              <w:left w:val="single" w:color="auto" w:sz="4" w:space="0"/>
              <w:bottom w:val="single" w:color="auto" w:sz="4" w:space="0"/>
              <w:right w:val="double" w:color="auto" w:sz="4" w:space="0"/>
            </w:tcBorders>
            <w:vAlign w:val="center"/>
          </w:tcPr>
          <w:p>
            <w:pPr>
              <w:autoSpaceDE/>
              <w:autoSpaceDN/>
              <w:adjustRightInd/>
              <w:spacing w:line="360" w:lineRule="auto"/>
              <w:jc w:val="both"/>
              <w:rPr>
                <w:rFonts w:hAnsi="宋体" w:cs="宋体"/>
                <w:b/>
                <w:color w:val="auto"/>
                <w:sz w:val="21"/>
                <w:szCs w:val="21"/>
                <w:highlight w:val="none"/>
              </w:rPr>
            </w:pPr>
            <w:r>
              <w:rPr>
                <w:rFonts w:hint="eastAsia" w:hAnsi="宋体"/>
                <w:b/>
                <w:color w:val="auto"/>
                <w:sz w:val="21"/>
                <w:szCs w:val="21"/>
                <w:highlight w:val="none"/>
              </w:rPr>
              <w:t>投标报价超过采购预算金额的投标无效。</w:t>
            </w:r>
            <w:r>
              <w:rPr>
                <w:rFonts w:hint="eastAsia" w:hAnsi="宋体" w:cs="宋体"/>
                <w:bCs/>
                <w:color w:val="auto"/>
                <w:sz w:val="21"/>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952"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hAnsi="宋体" w:cs="宋体"/>
                <w:color w:val="auto"/>
                <w:sz w:val="21"/>
                <w:szCs w:val="21"/>
                <w:highlight w:val="none"/>
              </w:rPr>
            </w:pPr>
            <w:r>
              <w:rPr>
                <w:rFonts w:hint="eastAsia" w:hAnsi="宋体" w:cs="宋体"/>
                <w:color w:val="auto"/>
                <w:sz w:val="21"/>
                <w:szCs w:val="21"/>
                <w:highlight w:val="none"/>
              </w:rPr>
              <w:t>15</w:t>
            </w:r>
          </w:p>
        </w:tc>
        <w:tc>
          <w:tcPr>
            <w:tcW w:w="2249"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s="宋体"/>
                <w:color w:val="auto"/>
                <w:sz w:val="21"/>
                <w:szCs w:val="21"/>
                <w:highlight w:val="none"/>
              </w:rPr>
            </w:pPr>
            <w:r>
              <w:rPr>
                <w:rFonts w:hint="eastAsia" w:hAnsi="宋体" w:cs="宋体"/>
                <w:color w:val="auto"/>
                <w:sz w:val="21"/>
                <w:szCs w:val="21"/>
                <w:highlight w:val="none"/>
              </w:rPr>
              <w:t>投标保证金</w:t>
            </w:r>
          </w:p>
        </w:tc>
        <w:tc>
          <w:tcPr>
            <w:tcW w:w="6244" w:type="dxa"/>
            <w:tcBorders>
              <w:top w:val="single" w:color="auto" w:sz="4" w:space="0"/>
              <w:left w:val="single" w:color="auto" w:sz="4" w:space="0"/>
              <w:bottom w:val="single" w:color="auto" w:sz="4" w:space="0"/>
              <w:right w:val="double" w:color="auto" w:sz="4" w:space="0"/>
            </w:tcBorders>
            <w:vAlign w:val="center"/>
          </w:tcPr>
          <w:p>
            <w:pPr>
              <w:autoSpaceDE/>
              <w:autoSpaceDN/>
              <w:adjustRightInd/>
              <w:spacing w:line="360" w:lineRule="auto"/>
              <w:ind w:firstLine="422" w:firstLineChars="200"/>
              <w:jc w:val="both"/>
              <w:rPr>
                <w:rFonts w:hAnsi="宋体" w:cs="宋体"/>
                <w:b/>
                <w:color w:val="auto"/>
                <w:sz w:val="21"/>
                <w:szCs w:val="21"/>
                <w:highlight w:val="none"/>
              </w:rPr>
            </w:pPr>
            <w:r>
              <w:rPr>
                <w:rFonts w:hint="eastAsia" w:hAnsi="宋体" w:cs="宋体"/>
                <w:b/>
                <w:color w:val="auto"/>
                <w:sz w:val="21"/>
                <w:szCs w:val="21"/>
                <w:highlight w:val="none"/>
              </w:rPr>
              <w:t>投标保证金金额：</w:t>
            </w:r>
            <w:r>
              <w:rPr>
                <w:rFonts w:hint="eastAsia" w:hAnsi="宋体" w:cs="宋体"/>
                <w:b/>
                <w:color w:val="auto"/>
                <w:sz w:val="21"/>
                <w:szCs w:val="21"/>
                <w:highlight w:val="none"/>
                <w:u w:val="single"/>
              </w:rPr>
              <w:t>人民币</w:t>
            </w:r>
            <w:r>
              <w:rPr>
                <w:rFonts w:hint="eastAsia" w:hAnsi="宋体" w:cs="宋体"/>
                <w:b/>
                <w:color w:val="auto"/>
                <w:sz w:val="21"/>
                <w:szCs w:val="21"/>
                <w:highlight w:val="none"/>
                <w:u w:val="single"/>
                <w:lang w:eastAsia="zh-CN"/>
              </w:rPr>
              <w:t>陆万</w:t>
            </w:r>
            <w:r>
              <w:rPr>
                <w:rFonts w:hint="eastAsia" w:hAnsi="宋体" w:cs="宋体"/>
                <w:b/>
                <w:color w:val="auto"/>
                <w:sz w:val="21"/>
                <w:szCs w:val="21"/>
                <w:highlight w:val="none"/>
                <w:u w:val="single"/>
              </w:rPr>
              <w:t>元整（¥</w:t>
            </w:r>
            <w:r>
              <w:rPr>
                <w:rFonts w:hint="eastAsia" w:hAnsi="宋体" w:cs="宋体"/>
                <w:b/>
                <w:color w:val="auto"/>
                <w:sz w:val="21"/>
                <w:szCs w:val="21"/>
                <w:highlight w:val="none"/>
                <w:u w:val="single"/>
                <w:lang w:val="en-US" w:eastAsia="zh-CN"/>
              </w:rPr>
              <w:t>60</w:t>
            </w:r>
            <w:r>
              <w:rPr>
                <w:rFonts w:hint="eastAsia" w:hAnsi="宋体" w:cs="宋体"/>
                <w:b/>
                <w:color w:val="auto"/>
                <w:sz w:val="21"/>
                <w:szCs w:val="21"/>
                <w:highlight w:val="none"/>
                <w:u w:val="single"/>
              </w:rPr>
              <w:t>000.00元）</w:t>
            </w:r>
            <w:r>
              <w:rPr>
                <w:rFonts w:hint="eastAsia" w:hAnsi="宋体" w:cs="宋体"/>
                <w:b/>
                <w:color w:val="auto"/>
                <w:sz w:val="21"/>
                <w:szCs w:val="21"/>
                <w:highlight w:val="none"/>
              </w:rPr>
              <w:t>。</w:t>
            </w:r>
          </w:p>
          <w:p>
            <w:pPr>
              <w:autoSpaceDE/>
              <w:autoSpaceDN/>
              <w:adjustRightInd/>
              <w:spacing w:line="360" w:lineRule="auto"/>
              <w:ind w:firstLine="422" w:firstLineChars="200"/>
              <w:jc w:val="both"/>
              <w:rPr>
                <w:rFonts w:hAnsi="宋体" w:cs="宋体"/>
                <w:b/>
                <w:color w:val="auto"/>
                <w:sz w:val="21"/>
                <w:szCs w:val="21"/>
                <w:highlight w:val="none"/>
              </w:rPr>
            </w:pPr>
            <w:r>
              <w:rPr>
                <w:rFonts w:hint="eastAsia" w:hAnsi="宋体" w:cs="宋体"/>
                <w:b/>
                <w:color w:val="auto"/>
                <w:sz w:val="21"/>
                <w:szCs w:val="21"/>
                <w:highlight w:val="none"/>
              </w:rPr>
              <w:t>提交保证金时应符合下列规定：</w:t>
            </w:r>
          </w:p>
          <w:p>
            <w:pPr>
              <w:spacing w:line="360" w:lineRule="auto"/>
              <w:ind w:firstLine="420" w:firstLineChars="200"/>
              <w:jc w:val="both"/>
              <w:rPr>
                <w:rFonts w:hAnsi="宋体" w:cs="宋体"/>
                <w:bCs/>
                <w:color w:val="auto"/>
                <w:sz w:val="21"/>
                <w:szCs w:val="21"/>
                <w:highlight w:val="none"/>
                <w:u w:val="single"/>
              </w:rPr>
            </w:pPr>
            <w:r>
              <w:rPr>
                <w:rFonts w:hint="eastAsia" w:hAnsi="宋体" w:cs="宋体"/>
                <w:bCs/>
                <w:color w:val="auto"/>
                <w:sz w:val="21"/>
                <w:szCs w:val="21"/>
                <w:highlight w:val="none"/>
                <w:u w:val="single"/>
              </w:rPr>
              <w:t>投标保证金采用转帐、电汇方式或银行保函方式方式提交，应符合以下要求：采用银行转账、电汇方式提交的，保证金汇入以下投标保证金专用账户，不接收由以投标人分支机构、私人帐户和其他单位转入的保证金。投标保证金必须在投标文件递交截止前到账，投标保证金未按规定时间到达指定账户或提交金额不足的，将被视为无效投标。且在备注或用途中注明本项目的项目编号。采用银行保函方式递交的，请将保函原件于开标当天投标截止时间前递交至采购代理机构。</w:t>
            </w:r>
          </w:p>
          <w:p>
            <w:pPr>
              <w:spacing w:line="360" w:lineRule="auto"/>
              <w:ind w:firstLine="420" w:firstLineChars="200"/>
              <w:jc w:val="both"/>
              <w:rPr>
                <w:rFonts w:hAnsi="宋体" w:cs="宋体"/>
                <w:bCs/>
                <w:color w:val="auto"/>
                <w:sz w:val="21"/>
                <w:szCs w:val="21"/>
                <w:highlight w:val="none"/>
                <w:u w:val="single"/>
              </w:rPr>
            </w:pPr>
            <w:r>
              <w:rPr>
                <w:rFonts w:hint="eastAsia" w:hAnsi="宋体" w:cs="宋体"/>
                <w:bCs/>
                <w:color w:val="auto"/>
                <w:sz w:val="21"/>
                <w:szCs w:val="21"/>
                <w:highlight w:val="none"/>
                <w:u w:val="single"/>
              </w:rPr>
              <w:t>投标保证金专用账户如下：</w:t>
            </w:r>
          </w:p>
          <w:p>
            <w:pPr>
              <w:spacing w:line="360" w:lineRule="auto"/>
              <w:ind w:firstLine="420" w:firstLineChars="200"/>
              <w:jc w:val="both"/>
              <w:rPr>
                <w:rFonts w:hAnsi="宋体" w:cs="宋体"/>
                <w:bCs/>
                <w:color w:val="auto"/>
                <w:sz w:val="21"/>
                <w:szCs w:val="21"/>
                <w:highlight w:val="none"/>
                <w:u w:val="single"/>
              </w:rPr>
            </w:pPr>
            <w:r>
              <w:rPr>
                <w:rFonts w:hint="eastAsia" w:hAnsi="宋体" w:cs="宋体"/>
                <w:bCs/>
                <w:color w:val="auto"/>
                <w:sz w:val="21"/>
                <w:szCs w:val="21"/>
                <w:highlight w:val="none"/>
                <w:u w:val="single"/>
              </w:rPr>
              <w:t>帐户名称：东莞实业投资控股集团有限公司</w:t>
            </w:r>
          </w:p>
          <w:p>
            <w:pPr>
              <w:spacing w:line="360" w:lineRule="auto"/>
              <w:ind w:firstLine="420" w:firstLineChars="200"/>
              <w:jc w:val="both"/>
              <w:rPr>
                <w:rFonts w:hAnsi="宋体" w:cs="宋体"/>
                <w:bCs/>
                <w:color w:val="auto"/>
                <w:sz w:val="21"/>
                <w:szCs w:val="21"/>
                <w:highlight w:val="none"/>
                <w:u w:val="single"/>
              </w:rPr>
            </w:pPr>
            <w:r>
              <w:rPr>
                <w:rFonts w:hint="eastAsia" w:hAnsi="宋体" w:cs="宋体"/>
                <w:bCs/>
                <w:color w:val="auto"/>
                <w:sz w:val="21"/>
                <w:szCs w:val="21"/>
                <w:highlight w:val="none"/>
                <w:u w:val="single"/>
              </w:rPr>
              <w:t>开户银行：中国邮政储蓄银行东莞市分行</w:t>
            </w:r>
          </w:p>
          <w:p>
            <w:pPr>
              <w:spacing w:line="360" w:lineRule="auto"/>
              <w:ind w:firstLine="420" w:firstLineChars="200"/>
              <w:jc w:val="both"/>
              <w:rPr>
                <w:rFonts w:hAnsi="宋体" w:cs="宋体"/>
                <w:bCs/>
                <w:color w:val="auto"/>
                <w:sz w:val="21"/>
                <w:szCs w:val="21"/>
                <w:highlight w:val="none"/>
                <w:u w:val="single"/>
              </w:rPr>
            </w:pPr>
            <w:r>
              <w:rPr>
                <w:rFonts w:hint="eastAsia" w:hAnsi="宋体" w:cs="宋体"/>
                <w:bCs/>
                <w:color w:val="auto"/>
                <w:sz w:val="21"/>
                <w:szCs w:val="21"/>
                <w:highlight w:val="none"/>
                <w:u w:val="single"/>
              </w:rPr>
              <w:t>银行帐号：100899920180018888</w:t>
            </w:r>
          </w:p>
          <w:p>
            <w:pPr>
              <w:ind w:firstLine="422" w:firstLineChars="200"/>
              <w:jc w:val="both"/>
              <w:rPr>
                <w:rFonts w:cs="宋体"/>
                <w:bCs/>
                <w:color w:val="auto"/>
                <w:sz w:val="21"/>
                <w:szCs w:val="21"/>
                <w:highlight w:val="none"/>
              </w:rPr>
            </w:pPr>
            <w:r>
              <w:rPr>
                <w:rFonts w:hint="eastAsia" w:hAnsi="宋体" w:cs="宋体"/>
                <w:b/>
                <w:color w:val="auto"/>
                <w:sz w:val="21"/>
                <w:szCs w:val="21"/>
                <w:highlight w:val="none"/>
              </w:rPr>
              <w:t>（注：各投标人在转帐或电汇时须在用途栏上注明项目编号、包号（如有），否则将影响投标保证金的退款进度）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52"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hAnsi="宋体" w:cs="宋体"/>
                <w:color w:val="auto"/>
                <w:sz w:val="21"/>
                <w:szCs w:val="21"/>
                <w:highlight w:val="none"/>
              </w:rPr>
            </w:pPr>
            <w:r>
              <w:rPr>
                <w:rFonts w:hint="eastAsia" w:hAnsi="宋体" w:cs="宋体"/>
                <w:color w:val="auto"/>
                <w:sz w:val="21"/>
                <w:szCs w:val="21"/>
                <w:highlight w:val="none"/>
              </w:rPr>
              <w:t>16</w:t>
            </w:r>
          </w:p>
        </w:tc>
        <w:tc>
          <w:tcPr>
            <w:tcW w:w="2249"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s="宋体"/>
                <w:color w:val="auto"/>
                <w:sz w:val="21"/>
                <w:szCs w:val="21"/>
                <w:highlight w:val="none"/>
              </w:rPr>
            </w:pPr>
            <w:r>
              <w:rPr>
                <w:rFonts w:hint="eastAsia" w:hAnsi="宋体" w:cs="宋体"/>
                <w:color w:val="auto"/>
                <w:kern w:val="2"/>
                <w:sz w:val="21"/>
                <w:szCs w:val="21"/>
                <w:highlight w:val="none"/>
                <w:lang w:val="zh-CN"/>
              </w:rPr>
              <w:t>投标有效期</w:t>
            </w:r>
          </w:p>
        </w:tc>
        <w:tc>
          <w:tcPr>
            <w:tcW w:w="6244" w:type="dxa"/>
            <w:tcBorders>
              <w:top w:val="single" w:color="auto" w:sz="4" w:space="0"/>
              <w:left w:val="single" w:color="auto" w:sz="4" w:space="0"/>
              <w:bottom w:val="single" w:color="auto" w:sz="4" w:space="0"/>
              <w:right w:val="double" w:color="auto" w:sz="4" w:space="0"/>
            </w:tcBorders>
            <w:vAlign w:val="center"/>
          </w:tcPr>
          <w:p>
            <w:pPr>
              <w:autoSpaceDE/>
              <w:autoSpaceDN/>
              <w:adjustRightInd/>
              <w:spacing w:line="360" w:lineRule="auto"/>
              <w:jc w:val="both"/>
              <w:rPr>
                <w:rFonts w:hAnsi="宋体" w:cs="宋体"/>
                <w:bCs/>
                <w:color w:val="auto"/>
                <w:sz w:val="21"/>
                <w:szCs w:val="21"/>
                <w:highlight w:val="none"/>
              </w:rPr>
            </w:pPr>
            <w:r>
              <w:rPr>
                <w:rFonts w:hint="eastAsia" w:hAnsi="宋体" w:cs="宋体"/>
                <w:bCs/>
                <w:color w:val="auto"/>
                <w:kern w:val="2"/>
                <w:sz w:val="21"/>
                <w:szCs w:val="21"/>
                <w:highlight w:val="none"/>
                <w:lang w:val="zh-CN"/>
              </w:rPr>
              <w:t>递交投标文件截止日后90日内有效。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52"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hAnsi="宋体" w:cs="宋体"/>
                <w:color w:val="auto"/>
                <w:sz w:val="21"/>
                <w:szCs w:val="21"/>
                <w:highlight w:val="none"/>
              </w:rPr>
            </w:pPr>
            <w:r>
              <w:rPr>
                <w:rFonts w:hint="eastAsia" w:hAnsi="宋体" w:cs="宋体"/>
                <w:color w:val="auto"/>
                <w:sz w:val="21"/>
                <w:szCs w:val="21"/>
                <w:highlight w:val="none"/>
              </w:rPr>
              <w:t>17</w:t>
            </w:r>
          </w:p>
        </w:tc>
        <w:tc>
          <w:tcPr>
            <w:tcW w:w="2249"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投标文件份数</w:t>
            </w:r>
          </w:p>
        </w:tc>
        <w:tc>
          <w:tcPr>
            <w:tcW w:w="6244" w:type="dxa"/>
            <w:tcBorders>
              <w:top w:val="single" w:color="auto" w:sz="4" w:space="0"/>
              <w:left w:val="single" w:color="auto" w:sz="4" w:space="0"/>
              <w:bottom w:val="single" w:color="auto" w:sz="4" w:space="0"/>
              <w:right w:val="double" w:color="auto" w:sz="4" w:space="0"/>
            </w:tcBorders>
            <w:vAlign w:val="center"/>
          </w:tcPr>
          <w:p>
            <w:pPr>
              <w:autoSpaceDE/>
              <w:autoSpaceDN/>
              <w:adjustRightInd/>
              <w:spacing w:line="360" w:lineRule="auto"/>
              <w:jc w:val="both"/>
              <w:rPr>
                <w:rFonts w:hAnsi="宋体" w:cs="宋体"/>
                <w:bCs/>
                <w:color w:val="auto"/>
                <w:kern w:val="2"/>
                <w:sz w:val="21"/>
                <w:szCs w:val="21"/>
                <w:highlight w:val="none"/>
                <w:lang w:val="zh-CN"/>
              </w:rPr>
            </w:pPr>
            <w:r>
              <w:rPr>
                <w:rFonts w:hint="eastAsia" w:hAnsi="宋体" w:cs="宋体"/>
                <w:color w:val="auto"/>
                <w:sz w:val="21"/>
                <w:szCs w:val="21"/>
                <w:highlight w:val="none"/>
              </w:rPr>
              <w:t>正本1份；副本</w:t>
            </w:r>
            <w:r>
              <w:rPr>
                <w:rFonts w:hint="eastAsia" w:hAnsi="宋体" w:cs="宋体"/>
                <w:color w:val="auto"/>
                <w:sz w:val="21"/>
                <w:szCs w:val="21"/>
                <w:highlight w:val="none"/>
                <w:u w:val="single"/>
              </w:rPr>
              <w:t xml:space="preserve"> 5 </w:t>
            </w:r>
            <w:r>
              <w:rPr>
                <w:rFonts w:hint="eastAsia" w:hAnsi="宋体" w:cs="宋体"/>
                <w:color w:val="auto"/>
                <w:sz w:val="21"/>
                <w:szCs w:val="21"/>
                <w:highlight w:val="none"/>
              </w:rPr>
              <w:t>份；唱标信封1份；电子文件1份。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52"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hAnsi="宋体" w:cs="宋体"/>
                <w:color w:val="auto"/>
                <w:sz w:val="21"/>
                <w:szCs w:val="21"/>
                <w:highlight w:val="none"/>
              </w:rPr>
            </w:pPr>
            <w:r>
              <w:rPr>
                <w:rFonts w:hint="eastAsia" w:hAnsi="宋体" w:cs="宋体"/>
                <w:color w:val="auto"/>
                <w:sz w:val="21"/>
                <w:szCs w:val="21"/>
                <w:highlight w:val="none"/>
              </w:rPr>
              <w:t>24</w:t>
            </w:r>
          </w:p>
        </w:tc>
        <w:tc>
          <w:tcPr>
            <w:tcW w:w="2249"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s="宋体"/>
                <w:bCs/>
                <w:color w:val="auto"/>
                <w:sz w:val="21"/>
                <w:szCs w:val="21"/>
                <w:highlight w:val="none"/>
              </w:rPr>
            </w:pPr>
            <w:r>
              <w:rPr>
                <w:rFonts w:hint="eastAsia" w:hAnsi="宋体" w:cs="宋体"/>
                <w:bCs/>
                <w:color w:val="auto"/>
                <w:sz w:val="21"/>
                <w:szCs w:val="21"/>
                <w:highlight w:val="none"/>
              </w:rPr>
              <w:t>评标委员会</w:t>
            </w:r>
          </w:p>
        </w:tc>
        <w:tc>
          <w:tcPr>
            <w:tcW w:w="6244" w:type="dxa"/>
            <w:tcBorders>
              <w:top w:val="single" w:color="auto" w:sz="4" w:space="0"/>
              <w:left w:val="single" w:color="auto" w:sz="4" w:space="0"/>
              <w:bottom w:val="single" w:color="auto" w:sz="4" w:space="0"/>
              <w:right w:val="double" w:color="auto" w:sz="4" w:space="0"/>
            </w:tcBorders>
            <w:vAlign w:val="center"/>
          </w:tcPr>
          <w:p>
            <w:pPr>
              <w:spacing w:line="360" w:lineRule="auto"/>
              <w:rPr>
                <w:rFonts w:hAnsi="宋体" w:cs="宋体"/>
                <w:color w:val="auto"/>
                <w:sz w:val="21"/>
                <w:szCs w:val="21"/>
                <w:highlight w:val="none"/>
              </w:rPr>
            </w:pPr>
            <w:r>
              <w:rPr>
                <w:rFonts w:hint="eastAsia" w:hAnsi="宋体" w:cs="宋体"/>
                <w:color w:val="auto"/>
                <w:sz w:val="21"/>
                <w:szCs w:val="21"/>
                <w:highlight w:val="none"/>
              </w:rPr>
              <w:t>评标委员会成员共</w:t>
            </w:r>
            <w:r>
              <w:rPr>
                <w:rFonts w:hint="eastAsia" w:hAnsi="宋体" w:cs="宋体"/>
                <w:color w:val="auto"/>
                <w:sz w:val="21"/>
                <w:szCs w:val="21"/>
                <w:highlight w:val="none"/>
                <w:u w:val="single"/>
              </w:rPr>
              <w:t xml:space="preserve"> 5 </w:t>
            </w:r>
            <w:r>
              <w:rPr>
                <w:rFonts w:hint="eastAsia" w:hAnsi="宋体" w:cs="宋体"/>
                <w:color w:val="auto"/>
                <w:sz w:val="21"/>
                <w:szCs w:val="21"/>
                <w:highlight w:val="none"/>
              </w:rPr>
              <w:t>人：</w:t>
            </w:r>
            <w:r>
              <w:rPr>
                <w:rFonts w:hint="eastAsia" w:hAnsi="宋体" w:cs="宋体"/>
                <w:color w:val="auto"/>
                <w:kern w:val="2"/>
                <w:sz w:val="21"/>
                <w:szCs w:val="21"/>
                <w:highlight w:val="none"/>
                <w:lang w:val="zh-CN"/>
              </w:rPr>
              <w:t>评标委员会由采购人代表和评审专家组成，其中评审专家不得少于成员总数的三分之二。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52"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hAnsi="宋体" w:cs="宋体"/>
                <w:color w:val="auto"/>
                <w:sz w:val="21"/>
                <w:szCs w:val="21"/>
                <w:highlight w:val="none"/>
              </w:rPr>
            </w:pPr>
            <w:r>
              <w:rPr>
                <w:rFonts w:hint="eastAsia" w:hAnsi="宋体" w:cs="宋体"/>
                <w:color w:val="auto"/>
                <w:sz w:val="21"/>
                <w:szCs w:val="21"/>
                <w:highlight w:val="none"/>
              </w:rPr>
              <w:t>28</w:t>
            </w:r>
          </w:p>
        </w:tc>
        <w:tc>
          <w:tcPr>
            <w:tcW w:w="2249"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s="宋体"/>
                <w:bCs/>
                <w:color w:val="auto"/>
                <w:sz w:val="21"/>
                <w:szCs w:val="21"/>
                <w:highlight w:val="none"/>
              </w:rPr>
            </w:pPr>
            <w:r>
              <w:rPr>
                <w:rFonts w:hint="eastAsia" w:hAnsi="宋体" w:cs="宋体"/>
                <w:bCs/>
                <w:color w:val="auto"/>
                <w:sz w:val="21"/>
                <w:szCs w:val="21"/>
                <w:highlight w:val="none"/>
              </w:rPr>
              <w:t>评标方法</w:t>
            </w:r>
          </w:p>
        </w:tc>
        <w:tc>
          <w:tcPr>
            <w:tcW w:w="6244" w:type="dxa"/>
            <w:tcBorders>
              <w:top w:val="single" w:color="auto" w:sz="4" w:space="0"/>
              <w:left w:val="single" w:color="auto" w:sz="4" w:space="0"/>
              <w:bottom w:val="single" w:color="auto" w:sz="4" w:space="0"/>
              <w:right w:val="double" w:color="auto" w:sz="4" w:space="0"/>
            </w:tcBorders>
            <w:vAlign w:val="center"/>
          </w:tcPr>
          <w:p>
            <w:pPr>
              <w:spacing w:line="360" w:lineRule="auto"/>
              <w:rPr>
                <w:rFonts w:hAnsi="宋体" w:cs="宋体"/>
                <w:color w:val="auto"/>
                <w:sz w:val="21"/>
                <w:szCs w:val="21"/>
                <w:highlight w:val="none"/>
              </w:rPr>
            </w:pPr>
            <w:r>
              <w:rPr>
                <w:rFonts w:hint="eastAsia" w:hAnsi="宋体" w:cs="宋体"/>
                <w:color w:val="auto"/>
                <w:sz w:val="21"/>
                <w:szCs w:val="21"/>
                <w:highlight w:val="none"/>
              </w:rPr>
              <w:t>综合评分法。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52"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hAnsi="宋体" w:cs="宋体"/>
                <w:color w:val="auto"/>
                <w:sz w:val="21"/>
                <w:szCs w:val="21"/>
                <w:highlight w:val="none"/>
              </w:rPr>
            </w:pPr>
            <w:r>
              <w:rPr>
                <w:rFonts w:hint="eastAsia" w:hAnsi="宋体" w:cs="宋体"/>
                <w:color w:val="auto"/>
                <w:sz w:val="21"/>
                <w:szCs w:val="21"/>
                <w:highlight w:val="none"/>
              </w:rPr>
              <w:t>36</w:t>
            </w:r>
          </w:p>
        </w:tc>
        <w:tc>
          <w:tcPr>
            <w:tcW w:w="2249" w:type="dxa"/>
            <w:tcBorders>
              <w:top w:val="single" w:color="auto" w:sz="4" w:space="0"/>
              <w:left w:val="single" w:color="auto" w:sz="4" w:space="0"/>
              <w:bottom w:val="single" w:color="auto" w:sz="4" w:space="0"/>
              <w:right w:val="single" w:color="auto" w:sz="4" w:space="0"/>
            </w:tcBorders>
            <w:vAlign w:val="center"/>
          </w:tcPr>
          <w:p>
            <w:pPr>
              <w:spacing w:line="360" w:lineRule="auto"/>
              <w:ind w:right="-43" w:rightChars="-18"/>
              <w:rPr>
                <w:rFonts w:hAnsi="宋体" w:cs="宋体"/>
                <w:bCs/>
                <w:color w:val="auto"/>
                <w:sz w:val="21"/>
                <w:szCs w:val="21"/>
                <w:highlight w:val="none"/>
              </w:rPr>
            </w:pPr>
            <w:r>
              <w:rPr>
                <w:rFonts w:hint="eastAsia" w:hAnsi="宋体" w:cs="宋体"/>
                <w:bCs/>
                <w:color w:val="auto"/>
                <w:sz w:val="21"/>
                <w:szCs w:val="21"/>
                <w:highlight w:val="none"/>
              </w:rPr>
              <w:t>履约保证金</w:t>
            </w:r>
          </w:p>
        </w:tc>
        <w:tc>
          <w:tcPr>
            <w:tcW w:w="6244" w:type="dxa"/>
            <w:tcBorders>
              <w:top w:val="single" w:color="auto" w:sz="4" w:space="0"/>
              <w:left w:val="single" w:color="auto" w:sz="4" w:space="0"/>
              <w:bottom w:val="single" w:color="auto" w:sz="4" w:space="0"/>
              <w:right w:val="double" w:color="auto" w:sz="4" w:space="0"/>
            </w:tcBorders>
            <w:vAlign w:val="center"/>
          </w:tcPr>
          <w:p>
            <w:pPr>
              <w:spacing w:line="360" w:lineRule="auto"/>
              <w:rPr>
                <w:rFonts w:hAnsi="宋体" w:cs="宋体"/>
                <w:bCs/>
                <w:color w:val="auto"/>
                <w:sz w:val="21"/>
                <w:szCs w:val="21"/>
                <w:highlight w:val="none"/>
              </w:rPr>
            </w:pPr>
            <w:bookmarkStart w:id="7" w:name="_Toc7468"/>
            <w:r>
              <w:rPr>
                <w:rFonts w:hint="eastAsia" w:hAnsi="宋体" w:cs="宋体"/>
                <w:bCs/>
                <w:color w:val="auto"/>
                <w:sz w:val="21"/>
                <w:szCs w:val="21"/>
                <w:highlight w:val="none"/>
              </w:rPr>
              <w:t>履约保证金形式：采用银行转账或者由东莞市行政区域内银行支行或以上银行机构开具的保函形式，非东莞市行政区内的银行开具的保函要由银行所在地公证部门出具的公证书。</w:t>
            </w:r>
          </w:p>
          <w:p>
            <w:pPr>
              <w:spacing w:line="360" w:lineRule="auto"/>
              <w:rPr>
                <w:rFonts w:cs="宋体"/>
                <w:color w:val="auto"/>
                <w:kern w:val="2"/>
                <w:sz w:val="21"/>
                <w:szCs w:val="21"/>
                <w:highlight w:val="none"/>
                <w:lang w:val="zh-CN"/>
              </w:rPr>
            </w:pPr>
            <w:bookmarkStart w:id="8" w:name="_Toc23352"/>
            <w:r>
              <w:rPr>
                <w:rFonts w:hint="eastAsia" w:hAnsi="宋体"/>
                <w:b/>
                <w:color w:val="auto"/>
                <w:sz w:val="21"/>
                <w:szCs w:val="21"/>
                <w:highlight w:val="none"/>
              </w:rPr>
              <w:t>履约保证金金额：合同金额的10%</w:t>
            </w:r>
            <w:r>
              <w:rPr>
                <w:rFonts w:hint="eastAsia" w:hAnsi="宋体"/>
                <w:bCs/>
                <w:color w:val="auto"/>
                <w:sz w:val="21"/>
                <w:szCs w:val="21"/>
                <w:highlight w:val="none"/>
              </w:rPr>
              <w:t>。</w:t>
            </w:r>
            <w:bookmarkEnd w:id="7"/>
            <w:bookmarkEnd w:id="8"/>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52"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hAnsi="宋体" w:cs="宋体"/>
                <w:color w:val="auto"/>
                <w:sz w:val="21"/>
                <w:szCs w:val="21"/>
                <w:highlight w:val="none"/>
              </w:rPr>
            </w:pPr>
            <w:r>
              <w:rPr>
                <w:rFonts w:hint="eastAsia" w:hAnsi="宋体" w:cs="宋体"/>
                <w:color w:val="auto"/>
                <w:sz w:val="21"/>
                <w:szCs w:val="21"/>
                <w:highlight w:val="none"/>
              </w:rPr>
              <w:t>37</w:t>
            </w:r>
          </w:p>
        </w:tc>
        <w:tc>
          <w:tcPr>
            <w:tcW w:w="2249" w:type="dxa"/>
            <w:tcBorders>
              <w:top w:val="single" w:color="auto" w:sz="4" w:space="0"/>
              <w:left w:val="single" w:color="auto" w:sz="4" w:space="0"/>
              <w:bottom w:val="single" w:color="auto" w:sz="4" w:space="0"/>
              <w:right w:val="single" w:color="auto" w:sz="4" w:space="0"/>
            </w:tcBorders>
            <w:vAlign w:val="center"/>
          </w:tcPr>
          <w:p>
            <w:pPr>
              <w:spacing w:line="360" w:lineRule="auto"/>
              <w:ind w:right="-43" w:rightChars="-18"/>
              <w:rPr>
                <w:rFonts w:hAnsi="宋体" w:cs="宋体"/>
                <w:bCs/>
                <w:color w:val="auto"/>
                <w:sz w:val="21"/>
                <w:szCs w:val="21"/>
                <w:highlight w:val="none"/>
              </w:rPr>
            </w:pPr>
            <w:r>
              <w:rPr>
                <w:rFonts w:hint="eastAsia" w:hAnsi="宋体" w:cs="宋体"/>
                <w:color w:val="auto"/>
                <w:kern w:val="2"/>
                <w:sz w:val="21"/>
                <w:szCs w:val="21"/>
                <w:highlight w:val="none"/>
                <w:lang w:val="zh-CN"/>
              </w:rPr>
              <w:t>中标服务费</w:t>
            </w:r>
          </w:p>
        </w:tc>
        <w:tc>
          <w:tcPr>
            <w:tcW w:w="6244" w:type="dxa"/>
            <w:tcBorders>
              <w:top w:val="single" w:color="auto" w:sz="4" w:space="0"/>
              <w:left w:val="single" w:color="auto" w:sz="4" w:space="0"/>
              <w:bottom w:val="single" w:color="auto" w:sz="4" w:space="0"/>
              <w:right w:val="double" w:color="auto" w:sz="4" w:space="0"/>
            </w:tcBorders>
            <w:vAlign w:val="center"/>
          </w:tcPr>
          <w:p>
            <w:pPr>
              <w:tabs>
                <w:tab w:val="left" w:pos="567"/>
              </w:tabs>
              <w:spacing w:line="360" w:lineRule="auto"/>
              <w:jc w:val="both"/>
              <w:rPr>
                <w:rFonts w:hAnsi="宋体" w:cs="宋体"/>
                <w:bCs/>
                <w:color w:val="auto"/>
                <w:sz w:val="21"/>
                <w:szCs w:val="21"/>
                <w:highlight w:val="none"/>
              </w:rPr>
            </w:pPr>
            <w:r>
              <w:rPr>
                <w:rFonts w:hint="eastAsia" w:hAnsi="宋体" w:cs="宋体"/>
                <w:bCs/>
                <w:color w:val="auto"/>
                <w:sz w:val="21"/>
                <w:szCs w:val="21"/>
                <w:highlight w:val="none"/>
              </w:rPr>
              <w:t>本项目采购类型为：</w:t>
            </w:r>
            <w:r>
              <w:rPr>
                <w:rFonts w:hint="eastAsia" w:hAnsi="宋体" w:cs="宋体"/>
                <w:color w:val="auto"/>
                <w:sz w:val="21"/>
                <w:szCs w:val="21"/>
                <w:highlight w:val="none"/>
                <w:lang w:val="zh-CN"/>
              </w:rPr>
              <w:t>□</w:t>
            </w:r>
            <w:r>
              <w:rPr>
                <w:rFonts w:hint="eastAsia" w:hAnsi="宋体" w:cs="宋体"/>
                <w:bCs/>
                <w:color w:val="auto"/>
                <w:sz w:val="21"/>
                <w:szCs w:val="21"/>
                <w:highlight w:val="none"/>
              </w:rPr>
              <w:t xml:space="preserve">服务类。   </w:t>
            </w:r>
            <w:r>
              <w:rPr>
                <w:rFonts w:hint="eastAsia" w:hAnsi="宋体" w:cs="宋体"/>
                <w:color w:val="auto"/>
                <w:sz w:val="21"/>
                <w:szCs w:val="21"/>
                <w:highlight w:val="none"/>
                <w:lang w:val="zh-CN"/>
              </w:rPr>
              <w:sym w:font="Wingdings 2" w:char="0052"/>
            </w:r>
            <w:r>
              <w:rPr>
                <w:rFonts w:hint="eastAsia" w:hAnsi="宋体" w:cs="宋体"/>
                <w:color w:val="auto"/>
                <w:sz w:val="21"/>
                <w:szCs w:val="21"/>
                <w:highlight w:val="none"/>
                <w:lang w:val="zh-CN"/>
              </w:rPr>
              <w:t>货物类。</w:t>
            </w:r>
            <w:r>
              <w:rPr>
                <w:rFonts w:hint="eastAsia" w:hAnsi="宋体" w:cs="宋体"/>
                <w:color w:val="auto"/>
                <w:sz w:val="21"/>
                <w:szCs w:val="21"/>
                <w:highlight w:val="none"/>
              </w:rPr>
              <w:t xml:space="preserve">  </w:t>
            </w:r>
            <w:r>
              <w:rPr>
                <w:rFonts w:hint="eastAsia" w:hAnsi="宋体" w:cs="宋体"/>
                <w:color w:val="auto"/>
                <w:sz w:val="21"/>
                <w:szCs w:val="21"/>
                <w:highlight w:val="none"/>
                <w:lang w:val="zh-CN"/>
              </w:rPr>
              <w:t>□工程类。</w:t>
            </w:r>
            <w:r>
              <w:rPr>
                <w:rFonts w:hint="eastAsia" w:hAnsi="宋体" w:cs="宋体"/>
                <w:color w:val="auto"/>
                <w:sz w:val="21"/>
                <w:szCs w:val="21"/>
                <w:highlight w:val="none"/>
              </w:rPr>
              <w:t xml:space="preserve"> </w:t>
            </w:r>
          </w:p>
        </w:tc>
      </w:tr>
    </w:tbl>
    <w:p>
      <w:pPr>
        <w:rPr>
          <w:rFonts w:hAnsi="宋体" w:cs="宋体"/>
          <w:color w:val="auto"/>
          <w:highlight w:val="none"/>
        </w:rPr>
      </w:pPr>
      <w:bookmarkStart w:id="9" w:name="_Toc396137232"/>
      <w:r>
        <w:rPr>
          <w:rFonts w:hint="eastAsia" w:hAnsi="宋体" w:cs="宋体"/>
          <w:color w:val="auto"/>
          <w:sz w:val="21"/>
          <w:szCs w:val="21"/>
          <w:highlight w:val="none"/>
          <w:lang w:val="zh-CN"/>
        </w:rPr>
        <w:t>注：以上“□”内打“</w:t>
      </w:r>
      <w:r>
        <w:rPr>
          <w:rFonts w:ascii="Arial" w:hAnsi="Arial" w:cs="Arial"/>
          <w:color w:val="auto"/>
          <w:sz w:val="21"/>
          <w:szCs w:val="21"/>
          <w:highlight w:val="none"/>
          <w:lang w:val="zh-CN"/>
        </w:rPr>
        <w:t>√</w:t>
      </w:r>
      <w:r>
        <w:rPr>
          <w:rFonts w:hint="eastAsia" w:hAnsi="宋体" w:cs="宋体"/>
          <w:color w:val="auto"/>
          <w:sz w:val="21"/>
          <w:szCs w:val="21"/>
          <w:highlight w:val="none"/>
          <w:lang w:val="zh-CN"/>
        </w:rPr>
        <w:t>”项为适用于本项目的对应内容。</w:t>
      </w:r>
      <w:r>
        <w:rPr>
          <w:rFonts w:hint="eastAsia" w:hAnsi="宋体" w:cs="宋体"/>
          <w:color w:val="auto"/>
          <w:highlight w:val="none"/>
        </w:rPr>
        <w:t xml:space="preserve">                                                                                                                                                                                                                                                                                                                                                                                                                                                                                                                                                                                                                                                                                                                                                                                                                                                                                                                                                                                                                                                                                                                                                                                                                                                                                                                                                        </w:t>
      </w:r>
    </w:p>
    <w:p>
      <w:pPr>
        <w:pStyle w:val="6"/>
        <w:numPr>
          <w:ilvl w:val="0"/>
          <w:numId w:val="14"/>
        </w:numPr>
        <w:rPr>
          <w:rFonts w:cs="宋体"/>
          <w:color w:val="auto"/>
          <w:highlight w:val="none"/>
          <w:lang w:val="zh-CN"/>
        </w:rPr>
      </w:pPr>
      <w:r>
        <w:rPr>
          <w:rFonts w:hint="eastAsia" w:cs="宋体"/>
          <w:color w:val="auto"/>
          <w:highlight w:val="none"/>
          <w:lang w:val="zh-CN"/>
        </w:rPr>
        <w:br w:type="page"/>
      </w:r>
      <w:bookmarkStart w:id="10" w:name="_Toc982"/>
      <w:r>
        <w:rPr>
          <w:rFonts w:hint="eastAsia" w:cs="宋体"/>
          <w:color w:val="auto"/>
          <w:highlight w:val="none"/>
          <w:lang w:val="zh-CN"/>
        </w:rPr>
        <w:t>投标人须知</w:t>
      </w:r>
      <w:bookmarkEnd w:id="9"/>
      <w:r>
        <w:rPr>
          <w:rFonts w:hint="eastAsia" w:cs="宋体"/>
          <w:color w:val="auto"/>
          <w:highlight w:val="none"/>
          <w:lang w:val="zh-CN"/>
        </w:rPr>
        <w:t>通用条款</w:t>
      </w:r>
      <w:bookmarkEnd w:id="10"/>
    </w:p>
    <w:p>
      <w:pPr>
        <w:rPr>
          <w:rFonts w:hAnsi="宋体" w:cs="宋体"/>
          <w:color w:val="auto"/>
          <w:highlight w:val="none"/>
          <w:lang w:val="zh-CN"/>
        </w:rPr>
      </w:pPr>
    </w:p>
    <w:p>
      <w:pPr>
        <w:pStyle w:val="7"/>
        <w:spacing w:line="360" w:lineRule="auto"/>
        <w:rPr>
          <w:rFonts w:hAnsi="宋体" w:cs="宋体"/>
          <w:b/>
          <w:bCs/>
          <w:color w:val="auto"/>
          <w:kern w:val="44"/>
          <w:sz w:val="21"/>
          <w:szCs w:val="21"/>
          <w:highlight w:val="none"/>
          <w:lang w:val="zh-CN"/>
        </w:rPr>
      </w:pPr>
      <w:bookmarkStart w:id="11" w:name="_Toc13126"/>
      <w:bookmarkStart w:id="12" w:name="_Toc396137233"/>
      <w:r>
        <w:rPr>
          <w:rFonts w:hint="eastAsia" w:hAnsi="宋体" w:cs="宋体"/>
          <w:b/>
          <w:bCs/>
          <w:color w:val="auto"/>
          <w:kern w:val="44"/>
          <w:sz w:val="21"/>
          <w:szCs w:val="21"/>
          <w:highlight w:val="none"/>
          <w:lang w:val="zh-CN"/>
        </w:rPr>
        <w:t>（一）总则</w:t>
      </w:r>
      <w:bookmarkEnd w:id="11"/>
      <w:bookmarkEnd w:id="12"/>
    </w:p>
    <w:p>
      <w:pPr>
        <w:tabs>
          <w:tab w:val="left" w:pos="567"/>
        </w:tabs>
        <w:spacing w:line="360" w:lineRule="auto"/>
        <w:ind w:left="567" w:hanging="567"/>
        <w:jc w:val="both"/>
        <w:rPr>
          <w:rFonts w:hAnsi="宋体" w:cs="宋体"/>
          <w:color w:val="auto"/>
          <w:sz w:val="21"/>
          <w:szCs w:val="21"/>
          <w:highlight w:val="none"/>
        </w:rPr>
      </w:pPr>
      <w:r>
        <w:rPr>
          <w:rFonts w:hint="eastAsia" w:hAnsi="宋体" w:cs="宋体"/>
          <w:color w:val="auto"/>
          <w:kern w:val="2"/>
          <w:sz w:val="21"/>
          <w:szCs w:val="21"/>
          <w:highlight w:val="none"/>
          <w:lang w:val="zh-CN"/>
        </w:rPr>
        <w:t>1</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资金来源：</w:t>
      </w:r>
      <w:r>
        <w:rPr>
          <w:rFonts w:hint="eastAsia" w:hAnsi="宋体" w:cs="宋体"/>
          <w:color w:val="auto"/>
          <w:kern w:val="2"/>
          <w:sz w:val="21"/>
          <w:szCs w:val="21"/>
          <w:highlight w:val="none"/>
          <w:u w:val="single"/>
          <w:lang w:val="zh-CN"/>
        </w:rPr>
        <w:t>详见</w:t>
      </w:r>
      <w:r>
        <w:rPr>
          <w:rFonts w:hint="eastAsia" w:hAnsi="宋体" w:cs="宋体"/>
          <w:color w:val="auto"/>
          <w:sz w:val="21"/>
          <w:szCs w:val="21"/>
          <w:highlight w:val="none"/>
          <w:u w:val="single"/>
        </w:rPr>
        <w:t>《投标人须知前附表》</w:t>
      </w:r>
      <w:r>
        <w:rPr>
          <w:rFonts w:hint="eastAsia" w:hAnsi="宋体" w:cs="宋体"/>
          <w:color w:val="auto"/>
          <w:sz w:val="21"/>
          <w:szCs w:val="21"/>
          <w:highlight w:val="none"/>
        </w:rPr>
        <w:t>。</w:t>
      </w:r>
    </w:p>
    <w:p>
      <w:pPr>
        <w:tabs>
          <w:tab w:val="left" w:pos="567"/>
        </w:tabs>
        <w:spacing w:line="360" w:lineRule="auto"/>
        <w:ind w:left="567" w:hanging="567"/>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2    采购适用范围：本采购文件仅适用于本次投标邀请书中所叙述的服务采购。</w:t>
      </w:r>
    </w:p>
    <w:p>
      <w:pPr>
        <w:tabs>
          <w:tab w:val="left" w:pos="567"/>
        </w:tabs>
        <w:spacing w:line="360" w:lineRule="auto"/>
        <w:ind w:left="567" w:hanging="567"/>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3    本采购文件使用的词语有如下定义：</w:t>
      </w:r>
    </w:p>
    <w:p>
      <w:pPr>
        <w:numPr>
          <w:ilvl w:val="0"/>
          <w:numId w:val="15"/>
        </w:numPr>
        <w:tabs>
          <w:tab w:val="left" w:pos="993"/>
          <w:tab w:val="clear" w:pos="840"/>
        </w:tabs>
        <w:spacing w:line="360" w:lineRule="auto"/>
        <w:ind w:left="1134" w:hanging="708"/>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“采购人”系指依法进行采购活动的国家机关、事业单位、团体组织。</w:t>
      </w:r>
    </w:p>
    <w:p>
      <w:pPr>
        <w:numPr>
          <w:ilvl w:val="0"/>
          <w:numId w:val="15"/>
        </w:numPr>
        <w:tabs>
          <w:tab w:val="left" w:pos="993"/>
          <w:tab w:val="clear" w:pos="840"/>
        </w:tabs>
        <w:spacing w:line="360" w:lineRule="auto"/>
        <w:ind w:left="1134" w:hanging="708"/>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“采购代理机构”系指从事采购代理业务的社会中介机构。</w:t>
      </w:r>
    </w:p>
    <w:p>
      <w:pPr>
        <w:numPr>
          <w:ilvl w:val="0"/>
          <w:numId w:val="15"/>
        </w:numPr>
        <w:tabs>
          <w:tab w:val="left" w:pos="993"/>
          <w:tab w:val="clear" w:pos="840"/>
        </w:tabs>
        <w:spacing w:line="360" w:lineRule="auto"/>
        <w:ind w:left="1134" w:hanging="708"/>
        <w:jc w:val="both"/>
        <w:rPr>
          <w:rFonts w:hAnsi="宋体" w:cs="宋体"/>
          <w:color w:val="auto"/>
          <w:kern w:val="2"/>
          <w:sz w:val="21"/>
          <w:szCs w:val="21"/>
          <w:highlight w:val="none"/>
          <w:lang w:val="zh-CN"/>
        </w:rPr>
      </w:pPr>
      <w:r>
        <w:rPr>
          <w:rFonts w:hint="eastAsia" w:hAnsi="宋体" w:cs="宋体"/>
          <w:color w:val="auto"/>
          <w:kern w:val="2"/>
          <w:sz w:val="21"/>
          <w:szCs w:val="21"/>
          <w:highlight w:val="none"/>
        </w:rPr>
        <w:t>“供应商”系指向采购人提供货物、工程或者服务的法人、非法人组织或者自然人。</w:t>
      </w:r>
    </w:p>
    <w:p>
      <w:pPr>
        <w:numPr>
          <w:ilvl w:val="0"/>
          <w:numId w:val="15"/>
        </w:numPr>
        <w:tabs>
          <w:tab w:val="left" w:pos="993"/>
          <w:tab w:val="clear" w:pos="840"/>
        </w:tabs>
        <w:spacing w:line="360" w:lineRule="auto"/>
        <w:ind w:left="1134" w:hanging="708"/>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“投标人”系指响应采购、参加投标竞争并且已向采购人（或采购代理机构）递交投标文件的供应商。</w:t>
      </w:r>
    </w:p>
    <w:p>
      <w:pPr>
        <w:numPr>
          <w:ilvl w:val="0"/>
          <w:numId w:val="15"/>
        </w:numPr>
        <w:tabs>
          <w:tab w:val="left" w:pos="993"/>
          <w:tab w:val="clear" w:pos="840"/>
        </w:tabs>
        <w:spacing w:line="360" w:lineRule="auto"/>
        <w:ind w:left="1134" w:hanging="708"/>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“中标人”系指由评标委员会评审推荐，经法定程序确定获得本项目中标资格的投标人。</w:t>
      </w:r>
    </w:p>
    <w:p>
      <w:pPr>
        <w:numPr>
          <w:ilvl w:val="0"/>
          <w:numId w:val="15"/>
        </w:numPr>
        <w:tabs>
          <w:tab w:val="left" w:pos="993"/>
          <w:tab w:val="clear" w:pos="840"/>
        </w:tabs>
        <w:spacing w:line="360" w:lineRule="auto"/>
        <w:ind w:left="1134" w:hanging="708"/>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“评标委员会”系指依法组建，负责本次采购的评标工作机构。</w:t>
      </w:r>
    </w:p>
    <w:p>
      <w:pPr>
        <w:numPr>
          <w:ilvl w:val="0"/>
          <w:numId w:val="15"/>
        </w:numPr>
        <w:tabs>
          <w:tab w:val="left" w:pos="993"/>
          <w:tab w:val="clear" w:pos="840"/>
        </w:tabs>
        <w:spacing w:line="360" w:lineRule="auto"/>
        <w:ind w:left="1134" w:hanging="708"/>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“甲方”系指在合同条款中指明的采购人。</w:t>
      </w:r>
    </w:p>
    <w:p>
      <w:pPr>
        <w:numPr>
          <w:ilvl w:val="0"/>
          <w:numId w:val="15"/>
        </w:numPr>
        <w:tabs>
          <w:tab w:val="left" w:pos="993"/>
          <w:tab w:val="clear" w:pos="840"/>
        </w:tabs>
        <w:spacing w:line="360" w:lineRule="auto"/>
        <w:ind w:left="1134" w:hanging="708"/>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“乙方”系指在合同条款中指明的本合同项下提供服务的公司或实体。</w:t>
      </w:r>
    </w:p>
    <w:p>
      <w:pPr>
        <w:numPr>
          <w:ilvl w:val="0"/>
          <w:numId w:val="15"/>
        </w:numPr>
        <w:tabs>
          <w:tab w:val="left" w:pos="993"/>
          <w:tab w:val="clear" w:pos="840"/>
        </w:tabs>
        <w:spacing w:line="360" w:lineRule="auto"/>
        <w:ind w:left="1134" w:hanging="708"/>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“采购文件”系指由采购代理机构发出的本采购文件，包括全部章节和附件。</w:t>
      </w:r>
    </w:p>
    <w:p>
      <w:pPr>
        <w:numPr>
          <w:ilvl w:val="0"/>
          <w:numId w:val="15"/>
        </w:numPr>
        <w:tabs>
          <w:tab w:val="left" w:pos="993"/>
          <w:tab w:val="clear" w:pos="840"/>
        </w:tabs>
        <w:spacing w:line="360" w:lineRule="auto"/>
        <w:ind w:left="1134" w:hanging="708"/>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“投标文件”系指投标人根据本采购文件向采购代理机构提交的全部文件。</w:t>
      </w:r>
    </w:p>
    <w:p>
      <w:pPr>
        <w:numPr>
          <w:ilvl w:val="0"/>
          <w:numId w:val="15"/>
        </w:numPr>
        <w:tabs>
          <w:tab w:val="left" w:pos="993"/>
          <w:tab w:val="clear" w:pos="840"/>
        </w:tabs>
        <w:spacing w:line="360" w:lineRule="auto"/>
        <w:ind w:left="1134" w:hanging="708"/>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“书面函件”系统手写、打字或印刷的函件，包括电传、电报和传真。</w:t>
      </w:r>
    </w:p>
    <w:p>
      <w:pPr>
        <w:numPr>
          <w:ilvl w:val="0"/>
          <w:numId w:val="15"/>
        </w:numPr>
        <w:tabs>
          <w:tab w:val="left" w:pos="993"/>
          <w:tab w:val="clear" w:pos="840"/>
        </w:tabs>
        <w:spacing w:line="360" w:lineRule="auto"/>
        <w:ind w:left="1134" w:hanging="708"/>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“合同”系统由本次采购所产生的合同或合约文件。</w:t>
      </w:r>
    </w:p>
    <w:p>
      <w:pPr>
        <w:numPr>
          <w:ilvl w:val="0"/>
          <w:numId w:val="15"/>
        </w:numPr>
        <w:tabs>
          <w:tab w:val="left" w:pos="993"/>
          <w:tab w:val="clear" w:pos="840"/>
        </w:tabs>
        <w:spacing w:line="360" w:lineRule="auto"/>
        <w:ind w:left="1134" w:hanging="708"/>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“日期”系指公历日。</w:t>
      </w:r>
    </w:p>
    <w:p>
      <w:pPr>
        <w:numPr>
          <w:ilvl w:val="0"/>
          <w:numId w:val="15"/>
        </w:numPr>
        <w:tabs>
          <w:tab w:val="left" w:pos="993"/>
          <w:tab w:val="clear" w:pos="840"/>
        </w:tabs>
        <w:spacing w:line="360" w:lineRule="auto"/>
        <w:ind w:left="1134" w:hanging="708"/>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“时间”系指北京时间。</w:t>
      </w:r>
    </w:p>
    <w:p>
      <w:pPr>
        <w:numPr>
          <w:ilvl w:val="0"/>
          <w:numId w:val="15"/>
        </w:numPr>
        <w:tabs>
          <w:tab w:val="left" w:pos="993"/>
          <w:tab w:val="clear" w:pos="840"/>
        </w:tabs>
        <w:spacing w:line="360" w:lineRule="auto"/>
        <w:ind w:left="1134" w:hanging="708"/>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货币单位均为人民币元。</w:t>
      </w:r>
    </w:p>
    <w:p>
      <w:pPr>
        <w:numPr>
          <w:ilvl w:val="0"/>
          <w:numId w:val="15"/>
        </w:numPr>
        <w:tabs>
          <w:tab w:val="left" w:pos="993"/>
          <w:tab w:val="clear" w:pos="840"/>
        </w:tabs>
        <w:spacing w:line="360" w:lineRule="auto"/>
        <w:ind w:left="1134" w:hanging="708"/>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盖章：一般情况指盖投标人的法定公章，除采购文件特别说明外，使用财务专用章、合同章、投标专用章等非公章的盖章，均作无效盖章处理。</w:t>
      </w:r>
    </w:p>
    <w:p>
      <w:pPr>
        <w:numPr>
          <w:ilvl w:val="0"/>
          <w:numId w:val="15"/>
        </w:numPr>
        <w:tabs>
          <w:tab w:val="left" w:pos="993"/>
          <w:tab w:val="clear" w:pos="840"/>
        </w:tabs>
        <w:spacing w:line="360" w:lineRule="auto"/>
        <w:ind w:left="1134" w:hanging="708"/>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签署：一般情况指亲笔签字或使用盖私章方式，除采购文件特别说明外，其他方式均作无效签署处理。</w:t>
      </w:r>
    </w:p>
    <w:p>
      <w:pPr>
        <w:numPr>
          <w:ilvl w:val="0"/>
          <w:numId w:val="15"/>
        </w:numPr>
        <w:tabs>
          <w:tab w:val="left" w:pos="993"/>
          <w:tab w:val="clear" w:pos="840"/>
        </w:tabs>
        <w:spacing w:line="360" w:lineRule="auto"/>
        <w:ind w:left="1134" w:hanging="708"/>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“服务”系指投标人须向采购人提供的符合采购文件要求的服务。</w:t>
      </w:r>
    </w:p>
    <w:p>
      <w:pPr>
        <w:numPr>
          <w:ilvl w:val="0"/>
          <w:numId w:val="15"/>
        </w:numPr>
        <w:tabs>
          <w:tab w:val="left" w:pos="993"/>
          <w:tab w:val="clear" w:pos="840"/>
        </w:tabs>
        <w:spacing w:line="360" w:lineRule="auto"/>
        <w:ind w:left="1134" w:hanging="708"/>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货物”系指投标人须向采购人提供的符合采购文件要求的货物等，其来源地均应为中华人民共和国或与中华人民共和国有官方贸易关系的国家或地区。采购文件中没有提及采购货物来源地的，优先采购自主创新、节能、环保产品。投标的货物必须是合法生产的符合国家有关标准要求的全新原厂生产的产品，并满足采购文件规定的规格、参数、质量、价格、有效期、售后服务等要求。所有国内制造的货物必须具备出厂合格证和相关检测报告；所有进口货物必须均为合法正当渠道进口的且具备原产地证明、中国商检证明及合法进货渠道全套单证。在验收货物时，中标人必须提供上述全部相关资料及证明文件。</w:t>
      </w:r>
    </w:p>
    <w:p>
      <w:pPr>
        <w:numPr>
          <w:ilvl w:val="0"/>
          <w:numId w:val="15"/>
        </w:numPr>
        <w:tabs>
          <w:tab w:val="left" w:pos="993"/>
          <w:tab w:val="clear" w:pos="840"/>
        </w:tabs>
        <w:spacing w:line="360" w:lineRule="auto"/>
        <w:ind w:left="1134" w:hanging="708"/>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“实质性响应”系对于采购文件中明确要求必须满足的内容（不响应即被认定为无效投标的条款），承诺符合要求，即为实质性响应。</w:t>
      </w:r>
    </w:p>
    <w:p>
      <w:pPr>
        <w:numPr>
          <w:ilvl w:val="0"/>
          <w:numId w:val="15"/>
        </w:numPr>
        <w:tabs>
          <w:tab w:val="left" w:pos="993"/>
          <w:tab w:val="clear" w:pos="840"/>
        </w:tabs>
        <w:spacing w:line="360" w:lineRule="auto"/>
        <w:ind w:left="1134" w:hanging="708"/>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“重大偏离或保留”系指影响到采购文件规定的范围、质量和性能或限制了采购人的权力和投标人义务的规定，而纠正这些偏离将影响到其它投标人的公平竞争地位。</w:t>
      </w:r>
    </w:p>
    <w:p>
      <w:pPr>
        <w:tabs>
          <w:tab w:val="left" w:pos="567"/>
        </w:tabs>
        <w:spacing w:line="360" w:lineRule="auto"/>
        <w:ind w:left="567" w:hanging="567"/>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4</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合格的投标人</w:t>
      </w:r>
    </w:p>
    <w:p>
      <w:pPr>
        <w:tabs>
          <w:tab w:val="left" w:pos="567"/>
        </w:tabs>
        <w:spacing w:line="360" w:lineRule="auto"/>
        <w:ind w:left="567" w:hanging="567"/>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4.1</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合格投标人的条件详</w:t>
      </w:r>
      <w:r>
        <w:rPr>
          <w:rFonts w:hint="eastAsia" w:hAnsi="宋体" w:cs="宋体"/>
          <w:color w:val="auto"/>
          <w:sz w:val="21"/>
          <w:szCs w:val="21"/>
          <w:highlight w:val="none"/>
          <w:lang w:val="zh-CN"/>
        </w:rPr>
        <w:t>见本采购文件第一篇投标邀请书</w:t>
      </w:r>
      <w:r>
        <w:rPr>
          <w:rFonts w:hint="eastAsia" w:hAnsi="宋体" w:cs="宋体"/>
          <w:color w:val="auto"/>
          <w:kern w:val="2"/>
          <w:sz w:val="21"/>
          <w:szCs w:val="21"/>
          <w:highlight w:val="none"/>
          <w:lang w:val="zh-CN"/>
        </w:rPr>
        <w:t>。</w:t>
      </w:r>
    </w:p>
    <w:p>
      <w:pPr>
        <w:tabs>
          <w:tab w:val="left" w:pos="567"/>
        </w:tabs>
        <w:spacing w:line="360" w:lineRule="auto"/>
        <w:ind w:left="567" w:hanging="567"/>
        <w:jc w:val="both"/>
        <w:rPr>
          <w:rFonts w:hAnsi="宋体" w:cs="宋体"/>
          <w:color w:val="auto"/>
          <w:sz w:val="21"/>
          <w:szCs w:val="21"/>
          <w:highlight w:val="none"/>
          <w:lang w:val="zh-CN"/>
        </w:rPr>
      </w:pPr>
      <w:r>
        <w:rPr>
          <w:rFonts w:hint="eastAsia" w:hAnsi="宋体" w:cs="宋体"/>
          <w:color w:val="auto"/>
          <w:kern w:val="2"/>
          <w:sz w:val="21"/>
          <w:szCs w:val="21"/>
          <w:highlight w:val="none"/>
          <w:lang w:val="zh-CN"/>
        </w:rPr>
        <w:t>4.2</w:t>
      </w:r>
      <w:r>
        <w:rPr>
          <w:rFonts w:hint="eastAsia" w:hAnsi="宋体" w:cs="宋体"/>
          <w:color w:val="auto"/>
          <w:kern w:val="2"/>
          <w:sz w:val="21"/>
          <w:szCs w:val="21"/>
          <w:highlight w:val="none"/>
          <w:lang w:val="zh-CN"/>
        </w:rPr>
        <w:tab/>
      </w:r>
      <w:r>
        <w:rPr>
          <w:rFonts w:hint="eastAsia" w:hAnsi="宋体" w:cs="宋体"/>
          <w:color w:val="auto"/>
          <w:sz w:val="21"/>
          <w:szCs w:val="21"/>
          <w:highlight w:val="none"/>
          <w:lang w:val="zh-CN"/>
        </w:rPr>
        <w:t>如</w:t>
      </w:r>
      <w:r>
        <w:rPr>
          <w:rFonts w:hint="eastAsia" w:hAnsi="宋体" w:cs="宋体"/>
          <w:color w:val="auto"/>
          <w:sz w:val="21"/>
          <w:szCs w:val="21"/>
          <w:highlight w:val="none"/>
          <w:u w:val="single"/>
          <w:lang w:val="zh-CN"/>
        </w:rPr>
        <w:t>《投标人须知前附表》</w:t>
      </w:r>
      <w:r>
        <w:rPr>
          <w:rFonts w:hint="eastAsia" w:hAnsi="宋体" w:cs="宋体"/>
          <w:color w:val="auto"/>
          <w:sz w:val="21"/>
          <w:szCs w:val="21"/>
          <w:highlight w:val="none"/>
          <w:lang w:val="zh-CN"/>
        </w:rPr>
        <w:t>中允许联合体投标，对联合体规定如下：</w:t>
      </w:r>
    </w:p>
    <w:p>
      <w:pPr>
        <w:tabs>
          <w:tab w:val="left" w:pos="567"/>
        </w:tabs>
        <w:spacing w:line="360" w:lineRule="auto"/>
        <w:ind w:left="567" w:hanging="567"/>
        <w:jc w:val="both"/>
        <w:rPr>
          <w:rFonts w:hAnsi="宋体"/>
          <w:color w:val="auto"/>
          <w:sz w:val="21"/>
          <w:szCs w:val="21"/>
          <w:highlight w:val="none"/>
        </w:rPr>
      </w:pPr>
      <w:r>
        <w:rPr>
          <w:rFonts w:hint="eastAsia" w:hAnsi="宋体"/>
          <w:color w:val="auto"/>
          <w:sz w:val="21"/>
          <w:szCs w:val="21"/>
          <w:highlight w:val="none"/>
        </w:rPr>
        <w:t xml:space="preserve">4.2.1 </w:t>
      </w:r>
      <w:r>
        <w:rPr>
          <w:rFonts w:hint="eastAsia" w:hAnsi="宋体"/>
          <w:color w:val="auto"/>
          <w:kern w:val="2"/>
          <w:sz w:val="21"/>
          <w:szCs w:val="21"/>
          <w:highlight w:val="none"/>
          <w:lang w:val="zh-CN"/>
        </w:rPr>
        <w:t>联合体所有成员数量不得超过</w:t>
      </w:r>
      <w:r>
        <w:rPr>
          <w:rFonts w:hint="eastAsia" w:hAnsi="宋体" w:cs="宋体"/>
          <w:color w:val="auto"/>
          <w:sz w:val="21"/>
          <w:szCs w:val="21"/>
          <w:highlight w:val="none"/>
          <w:u w:val="single"/>
          <w:lang w:val="zh-CN"/>
        </w:rPr>
        <w:t>《投标人须知前附表》</w:t>
      </w:r>
      <w:r>
        <w:rPr>
          <w:rFonts w:hint="eastAsia" w:hAnsi="宋体"/>
          <w:color w:val="auto"/>
          <w:kern w:val="2"/>
          <w:sz w:val="21"/>
          <w:szCs w:val="21"/>
          <w:highlight w:val="none"/>
          <w:lang w:val="zh-CN"/>
        </w:rPr>
        <w:t>规定的数量；联合体各方均应当符合投标人合格条件。</w:t>
      </w:r>
    </w:p>
    <w:p>
      <w:pPr>
        <w:tabs>
          <w:tab w:val="left" w:pos="567"/>
        </w:tabs>
        <w:spacing w:line="360" w:lineRule="auto"/>
        <w:ind w:left="567" w:hanging="567"/>
        <w:jc w:val="both"/>
        <w:rPr>
          <w:rFonts w:hAnsi="宋体"/>
          <w:color w:val="auto"/>
          <w:sz w:val="21"/>
          <w:szCs w:val="21"/>
          <w:highlight w:val="none"/>
        </w:rPr>
      </w:pPr>
      <w:r>
        <w:rPr>
          <w:rFonts w:hint="eastAsia" w:hAnsi="宋体"/>
          <w:color w:val="auto"/>
          <w:kern w:val="2"/>
          <w:sz w:val="21"/>
          <w:szCs w:val="21"/>
          <w:highlight w:val="none"/>
          <w:lang w:val="zh-CN"/>
        </w:rPr>
        <w:t>4.2</w:t>
      </w:r>
      <w:r>
        <w:rPr>
          <w:rFonts w:hint="eastAsia" w:hAnsi="宋体"/>
          <w:color w:val="auto"/>
          <w:kern w:val="2"/>
          <w:sz w:val="21"/>
          <w:szCs w:val="21"/>
          <w:highlight w:val="none"/>
        </w:rPr>
        <w:t>.2</w:t>
      </w:r>
      <w:r>
        <w:rPr>
          <w:rFonts w:hint="eastAsia" w:hAnsi="宋体"/>
          <w:color w:val="auto"/>
          <w:sz w:val="21"/>
          <w:szCs w:val="21"/>
          <w:highlight w:val="none"/>
        </w:rPr>
        <w:t xml:space="preserve"> 联合体组成后不得再发生变化，联合体各方应签订共同投标协议，明确约定各方拟承担的工作和责任，并将该共同投标协议随投标文件一并提交。</w:t>
      </w:r>
    </w:p>
    <w:p>
      <w:pPr>
        <w:tabs>
          <w:tab w:val="left" w:pos="567"/>
        </w:tabs>
        <w:spacing w:line="360" w:lineRule="auto"/>
        <w:ind w:left="567" w:hanging="567"/>
        <w:jc w:val="both"/>
        <w:rPr>
          <w:rFonts w:hAnsi="宋体"/>
          <w:color w:val="auto"/>
          <w:sz w:val="21"/>
          <w:szCs w:val="21"/>
          <w:highlight w:val="none"/>
        </w:rPr>
      </w:pPr>
      <w:r>
        <w:rPr>
          <w:rFonts w:hint="eastAsia" w:hAnsi="宋体"/>
          <w:color w:val="auto"/>
          <w:kern w:val="2"/>
          <w:sz w:val="21"/>
          <w:szCs w:val="21"/>
          <w:highlight w:val="none"/>
          <w:lang w:val="zh-CN"/>
        </w:rPr>
        <w:t>4.</w:t>
      </w:r>
      <w:r>
        <w:rPr>
          <w:rFonts w:hint="eastAsia" w:hAnsi="宋体"/>
          <w:color w:val="auto"/>
          <w:kern w:val="2"/>
          <w:sz w:val="21"/>
          <w:szCs w:val="21"/>
          <w:highlight w:val="none"/>
        </w:rPr>
        <w:t>2.3</w:t>
      </w:r>
      <w:r>
        <w:rPr>
          <w:rFonts w:hint="eastAsia" w:hAnsi="宋体"/>
          <w:color w:val="auto"/>
          <w:sz w:val="21"/>
          <w:szCs w:val="21"/>
          <w:highlight w:val="none"/>
        </w:rPr>
        <w:t xml:space="preserve"> 成员各方应当共同推荐一名联合体牵头人，由联合体各方提交一份授权书。证明其牵头人资格，该授权书作为投标文件的组成部分一并提交；尽管委任了联合体牵头人，但联合体各成员在资格审查、投标、签约与履行合同过程中，仍负有连带的和各自的法律责任。</w:t>
      </w:r>
    </w:p>
    <w:p>
      <w:pPr>
        <w:tabs>
          <w:tab w:val="left" w:pos="567"/>
        </w:tabs>
        <w:spacing w:line="360" w:lineRule="auto"/>
        <w:ind w:left="567" w:hanging="567"/>
        <w:jc w:val="both"/>
        <w:rPr>
          <w:rFonts w:hAnsi="宋体"/>
          <w:color w:val="auto"/>
          <w:sz w:val="21"/>
          <w:szCs w:val="21"/>
          <w:highlight w:val="none"/>
        </w:rPr>
      </w:pPr>
      <w:r>
        <w:rPr>
          <w:rFonts w:hint="eastAsia" w:hAnsi="宋体"/>
          <w:color w:val="auto"/>
          <w:kern w:val="2"/>
          <w:sz w:val="21"/>
          <w:szCs w:val="21"/>
          <w:highlight w:val="none"/>
          <w:lang w:val="zh-CN"/>
        </w:rPr>
        <w:t>4.</w:t>
      </w:r>
      <w:r>
        <w:rPr>
          <w:rFonts w:hint="eastAsia" w:hAnsi="宋体"/>
          <w:color w:val="auto"/>
          <w:kern w:val="2"/>
          <w:sz w:val="21"/>
          <w:szCs w:val="21"/>
          <w:highlight w:val="none"/>
        </w:rPr>
        <w:t>2.4</w:t>
      </w:r>
      <w:r>
        <w:rPr>
          <w:rFonts w:hint="eastAsia" w:hAnsi="宋体"/>
          <w:color w:val="auto"/>
          <w:sz w:val="21"/>
          <w:szCs w:val="21"/>
          <w:highlight w:val="none"/>
        </w:rPr>
        <w:t xml:space="preserve"> 采购文件根据采购项目的特殊要求规定投标人特定条件的，联合体各方中至少应当有一方符合采购人规定的特定条件；</w:t>
      </w:r>
      <w:r>
        <w:rPr>
          <w:rFonts w:hint="eastAsia" w:hAnsi="宋体"/>
          <w:color w:val="auto"/>
          <w:kern w:val="2"/>
          <w:sz w:val="21"/>
          <w:szCs w:val="21"/>
          <w:highlight w:val="none"/>
          <w:lang w:val="zh-CN"/>
        </w:rPr>
        <w:t>由同一专业的单位组成的联合体，按照资质等级较低的单位确定资质等级。</w:t>
      </w:r>
    </w:p>
    <w:p>
      <w:pPr>
        <w:tabs>
          <w:tab w:val="left" w:pos="567"/>
        </w:tabs>
        <w:spacing w:line="360" w:lineRule="auto"/>
        <w:ind w:left="567" w:hanging="567"/>
        <w:jc w:val="both"/>
        <w:rPr>
          <w:rFonts w:hAnsi="宋体"/>
          <w:color w:val="auto"/>
          <w:sz w:val="21"/>
          <w:szCs w:val="21"/>
          <w:highlight w:val="none"/>
        </w:rPr>
      </w:pPr>
      <w:r>
        <w:rPr>
          <w:rFonts w:hint="eastAsia" w:hAnsi="宋体"/>
          <w:color w:val="auto"/>
          <w:kern w:val="2"/>
          <w:sz w:val="21"/>
          <w:szCs w:val="21"/>
          <w:highlight w:val="none"/>
          <w:lang w:val="zh-CN"/>
        </w:rPr>
        <w:t>4.</w:t>
      </w:r>
      <w:r>
        <w:rPr>
          <w:rFonts w:hint="eastAsia" w:hAnsi="宋体"/>
          <w:color w:val="auto"/>
          <w:kern w:val="2"/>
          <w:sz w:val="21"/>
          <w:szCs w:val="21"/>
          <w:highlight w:val="none"/>
        </w:rPr>
        <w:t>2.5</w:t>
      </w:r>
      <w:r>
        <w:rPr>
          <w:rFonts w:hint="eastAsia" w:hAnsi="宋体"/>
          <w:color w:val="auto"/>
          <w:sz w:val="21"/>
          <w:szCs w:val="21"/>
          <w:highlight w:val="none"/>
        </w:rPr>
        <w:t xml:space="preserve"> 联合体各方不得再以自己的名义单独投标，也不得同时参加两个或两个以上的联合体投标，出现上述情况者，其投标和与此有关的联合体的投标</w:t>
      </w:r>
      <w:r>
        <w:rPr>
          <w:rFonts w:hint="eastAsia" w:hAnsi="宋体" w:cs="宋体"/>
          <w:color w:val="auto"/>
          <w:kern w:val="2"/>
          <w:sz w:val="21"/>
          <w:szCs w:val="21"/>
          <w:highlight w:val="none"/>
          <w:lang w:val="zh-CN"/>
        </w:rPr>
        <w:t>将被认定为</w:t>
      </w:r>
      <w:r>
        <w:rPr>
          <w:rFonts w:hint="eastAsia" w:hAnsi="宋体" w:cs="宋体"/>
          <w:b/>
          <w:bCs/>
          <w:color w:val="auto"/>
          <w:kern w:val="2"/>
          <w:sz w:val="21"/>
          <w:szCs w:val="21"/>
          <w:highlight w:val="none"/>
          <w:lang w:val="zh-CN"/>
        </w:rPr>
        <w:t>无效投标</w:t>
      </w:r>
      <w:r>
        <w:rPr>
          <w:rFonts w:hint="eastAsia" w:hAnsi="宋体"/>
          <w:color w:val="auto"/>
          <w:sz w:val="21"/>
          <w:szCs w:val="21"/>
          <w:highlight w:val="none"/>
        </w:rPr>
        <w:t>。</w:t>
      </w:r>
    </w:p>
    <w:p>
      <w:pPr>
        <w:tabs>
          <w:tab w:val="left" w:pos="567"/>
        </w:tabs>
        <w:spacing w:line="360" w:lineRule="auto"/>
        <w:ind w:left="567" w:hanging="567"/>
        <w:jc w:val="both"/>
        <w:rPr>
          <w:rFonts w:hAnsi="宋体"/>
          <w:color w:val="auto"/>
          <w:sz w:val="21"/>
          <w:szCs w:val="21"/>
          <w:highlight w:val="none"/>
        </w:rPr>
      </w:pPr>
      <w:r>
        <w:rPr>
          <w:rFonts w:hint="eastAsia" w:hAnsi="宋体"/>
          <w:color w:val="auto"/>
          <w:kern w:val="2"/>
          <w:sz w:val="21"/>
          <w:szCs w:val="21"/>
          <w:highlight w:val="none"/>
          <w:lang w:val="zh-CN"/>
        </w:rPr>
        <w:t>4.</w:t>
      </w:r>
      <w:r>
        <w:rPr>
          <w:rFonts w:hint="eastAsia" w:hAnsi="宋体"/>
          <w:color w:val="auto"/>
          <w:kern w:val="2"/>
          <w:sz w:val="21"/>
          <w:szCs w:val="21"/>
          <w:highlight w:val="none"/>
        </w:rPr>
        <w:t>2.6</w:t>
      </w:r>
      <w:r>
        <w:rPr>
          <w:rFonts w:hint="eastAsia" w:hAnsi="宋体"/>
          <w:color w:val="auto"/>
          <w:sz w:val="21"/>
          <w:szCs w:val="21"/>
          <w:highlight w:val="none"/>
        </w:rPr>
        <w:t xml:space="preserve"> 联合体中标后，联合体各方应当共同与采购人签订合同，为履行合同向采购人承担连带责任。</w:t>
      </w:r>
    </w:p>
    <w:p>
      <w:pPr>
        <w:autoSpaceDE/>
        <w:autoSpaceDN/>
        <w:adjustRightInd/>
        <w:spacing w:line="360" w:lineRule="auto"/>
        <w:ind w:left="525" w:right="480" w:rightChars="200" w:hanging="525" w:hangingChars="250"/>
        <w:jc w:val="both"/>
        <w:rPr>
          <w:rFonts w:hAnsi="宋体"/>
          <w:color w:val="auto"/>
          <w:kern w:val="2"/>
          <w:sz w:val="21"/>
          <w:szCs w:val="21"/>
          <w:highlight w:val="none"/>
          <w:lang w:val="zh-CN"/>
        </w:rPr>
      </w:pPr>
      <w:r>
        <w:rPr>
          <w:rFonts w:hint="eastAsia" w:hAnsi="宋体"/>
          <w:color w:val="auto"/>
          <w:sz w:val="21"/>
          <w:szCs w:val="21"/>
          <w:highlight w:val="none"/>
        </w:rPr>
        <w:t xml:space="preserve">4.2.7 </w:t>
      </w:r>
      <w:r>
        <w:rPr>
          <w:rFonts w:hint="eastAsia" w:hAnsi="宋体"/>
          <w:color w:val="auto"/>
          <w:kern w:val="2"/>
          <w:sz w:val="21"/>
          <w:szCs w:val="21"/>
          <w:highlight w:val="none"/>
          <w:lang w:val="zh-CN"/>
        </w:rPr>
        <w:t>除联合体协议明确授权盖章单位外，联合体投标时投标文件中所有要求盖章的地方均须加盖联合体所有组成成员的公章，否则该处盖章无效。</w:t>
      </w:r>
    </w:p>
    <w:p>
      <w:pPr>
        <w:tabs>
          <w:tab w:val="left" w:pos="567"/>
        </w:tabs>
        <w:spacing w:line="360" w:lineRule="auto"/>
        <w:ind w:left="567" w:hanging="567"/>
        <w:jc w:val="both"/>
        <w:rPr>
          <w:rFonts w:hAnsi="宋体"/>
          <w:color w:val="auto"/>
          <w:kern w:val="2"/>
          <w:sz w:val="21"/>
          <w:szCs w:val="21"/>
          <w:highlight w:val="none"/>
          <w:lang w:val="zh-CN"/>
        </w:rPr>
      </w:pPr>
      <w:r>
        <w:rPr>
          <w:rFonts w:hint="eastAsia" w:hAnsi="宋体"/>
          <w:color w:val="auto"/>
          <w:kern w:val="2"/>
          <w:sz w:val="21"/>
          <w:szCs w:val="21"/>
          <w:highlight w:val="none"/>
        </w:rPr>
        <w:t xml:space="preserve">4.2.8 </w:t>
      </w:r>
      <w:r>
        <w:rPr>
          <w:rFonts w:hint="eastAsia" w:hAnsi="宋体"/>
          <w:color w:val="auto"/>
          <w:kern w:val="2"/>
          <w:sz w:val="21"/>
          <w:szCs w:val="21"/>
          <w:highlight w:val="none"/>
          <w:lang w:val="zh-CN"/>
        </w:rPr>
        <w:t>联合体中标后，联合体各方应当共同与采购人签订合同，为履行合同向采购人承担连带责任</w:t>
      </w:r>
      <w:r>
        <w:rPr>
          <w:rFonts w:hint="eastAsia" w:hAnsi="宋体"/>
          <w:color w:val="auto"/>
          <w:sz w:val="21"/>
          <w:szCs w:val="21"/>
          <w:highlight w:val="none"/>
        </w:rPr>
        <w:t>；未经采购人书面同意，联合体的成员结构、相互关系及出资比例均不得变动。</w:t>
      </w:r>
      <w:r>
        <w:rPr>
          <w:rFonts w:hint="eastAsia" w:hAnsi="宋体"/>
          <w:color w:val="auto"/>
          <w:kern w:val="2"/>
          <w:sz w:val="21"/>
          <w:szCs w:val="21"/>
          <w:highlight w:val="none"/>
          <w:lang w:val="zh-CN"/>
        </w:rPr>
        <w:t>联合体各方承担的连带责任包括但不限于以下内容：</w:t>
      </w:r>
    </w:p>
    <w:p>
      <w:pPr>
        <w:tabs>
          <w:tab w:val="left" w:pos="567"/>
        </w:tabs>
        <w:spacing w:line="360" w:lineRule="auto"/>
        <w:ind w:left="1005" w:leftChars="200" w:right="480" w:rightChars="200" w:hanging="525" w:hangingChars="250"/>
        <w:jc w:val="both"/>
        <w:rPr>
          <w:rFonts w:hAnsi="宋体"/>
          <w:color w:val="auto"/>
          <w:kern w:val="2"/>
          <w:sz w:val="21"/>
          <w:szCs w:val="21"/>
          <w:highlight w:val="none"/>
          <w:lang w:val="zh-CN"/>
        </w:rPr>
      </w:pPr>
      <w:r>
        <w:rPr>
          <w:rFonts w:hint="eastAsia" w:hAnsi="宋体"/>
          <w:color w:val="auto"/>
          <w:kern w:val="2"/>
          <w:sz w:val="21"/>
          <w:szCs w:val="21"/>
          <w:highlight w:val="none"/>
          <w:lang w:val="zh-CN"/>
        </w:rPr>
        <w:t>（1）中标的联合体各方需共同承担与采购人所签合同中规定承包方责任及费用。</w:t>
      </w:r>
    </w:p>
    <w:p>
      <w:pPr>
        <w:tabs>
          <w:tab w:val="left" w:pos="567"/>
        </w:tabs>
        <w:spacing w:line="360" w:lineRule="auto"/>
        <w:ind w:left="1005" w:leftChars="200" w:right="480" w:rightChars="200" w:hanging="525" w:hangingChars="250"/>
        <w:jc w:val="both"/>
        <w:rPr>
          <w:rFonts w:hAnsi="宋体"/>
          <w:color w:val="auto"/>
          <w:kern w:val="2"/>
          <w:sz w:val="21"/>
          <w:szCs w:val="21"/>
          <w:highlight w:val="none"/>
          <w:lang w:val="zh-CN"/>
        </w:rPr>
      </w:pPr>
      <w:r>
        <w:rPr>
          <w:rFonts w:hint="eastAsia" w:hAnsi="宋体"/>
          <w:color w:val="auto"/>
          <w:kern w:val="2"/>
          <w:sz w:val="21"/>
          <w:szCs w:val="21"/>
          <w:highlight w:val="none"/>
          <w:lang w:val="zh-CN"/>
        </w:rPr>
        <w:t>（2）联合体在接到中标通知书未与采购人签订合同前，除不可抗力外，联合体放弃中标项目的，其已提交的投标保证担保不予退还，给采购人造成的损失超过投标担保数额的，还应当对超过部分承担连带赔偿责任。</w:t>
      </w:r>
    </w:p>
    <w:p>
      <w:pPr>
        <w:tabs>
          <w:tab w:val="left" w:pos="567"/>
        </w:tabs>
        <w:spacing w:line="360" w:lineRule="auto"/>
        <w:ind w:left="1005" w:leftChars="200" w:right="480" w:rightChars="200" w:hanging="525" w:hangingChars="250"/>
        <w:jc w:val="both"/>
        <w:rPr>
          <w:rFonts w:hAnsi="宋体"/>
          <w:color w:val="auto"/>
          <w:kern w:val="2"/>
          <w:sz w:val="21"/>
          <w:szCs w:val="21"/>
          <w:highlight w:val="none"/>
          <w:lang w:val="zh-CN"/>
        </w:rPr>
      </w:pPr>
      <w:r>
        <w:rPr>
          <w:rFonts w:hint="eastAsia" w:hAnsi="宋体"/>
          <w:color w:val="auto"/>
          <w:kern w:val="2"/>
          <w:sz w:val="21"/>
          <w:szCs w:val="21"/>
          <w:highlight w:val="none"/>
          <w:lang w:val="zh-CN"/>
        </w:rPr>
        <w:t>（3）中标的联合体除不可抗力外，不履行与采购人签订的合同时，履约保证金不予退还，给采购人造成的损失超过履约保证金数额的，还应当对超过部分承担连带索赔责任。</w:t>
      </w:r>
    </w:p>
    <w:p>
      <w:pPr>
        <w:tabs>
          <w:tab w:val="left" w:pos="567"/>
        </w:tabs>
        <w:spacing w:line="360" w:lineRule="auto"/>
        <w:ind w:left="567" w:hanging="567"/>
        <w:jc w:val="both"/>
        <w:rPr>
          <w:rFonts w:hAnsi="宋体"/>
          <w:color w:val="auto"/>
          <w:kern w:val="2"/>
          <w:sz w:val="21"/>
          <w:szCs w:val="21"/>
          <w:highlight w:val="none"/>
          <w:lang w:val="zh-CN"/>
        </w:rPr>
      </w:pPr>
      <w:r>
        <w:rPr>
          <w:rFonts w:hint="eastAsia" w:hAnsi="宋体"/>
          <w:color w:val="auto"/>
          <w:kern w:val="2"/>
          <w:sz w:val="21"/>
          <w:szCs w:val="21"/>
          <w:highlight w:val="none"/>
          <w:lang w:val="zh-CN"/>
        </w:rPr>
        <w:t>4.</w:t>
      </w:r>
      <w:r>
        <w:rPr>
          <w:rFonts w:hint="eastAsia" w:hAnsi="宋体"/>
          <w:color w:val="auto"/>
          <w:kern w:val="2"/>
          <w:sz w:val="21"/>
          <w:szCs w:val="21"/>
          <w:highlight w:val="none"/>
        </w:rPr>
        <w:t xml:space="preserve">2.9 </w:t>
      </w:r>
      <w:r>
        <w:rPr>
          <w:rFonts w:hint="eastAsia" w:hAnsi="宋体"/>
          <w:color w:val="auto"/>
          <w:kern w:val="2"/>
          <w:sz w:val="21"/>
          <w:szCs w:val="21"/>
          <w:highlight w:val="none"/>
          <w:lang w:val="zh-CN"/>
        </w:rPr>
        <w:t>除非另有规定或说明，本须知中“投标人”一词也包括联合体各方成员。</w:t>
      </w:r>
    </w:p>
    <w:p>
      <w:pPr>
        <w:tabs>
          <w:tab w:val="left" w:pos="567"/>
        </w:tabs>
        <w:spacing w:line="360" w:lineRule="auto"/>
        <w:ind w:left="567" w:hanging="567"/>
        <w:jc w:val="both"/>
        <w:rPr>
          <w:rFonts w:hAnsi="宋体"/>
          <w:color w:val="auto"/>
          <w:kern w:val="2"/>
          <w:sz w:val="21"/>
          <w:szCs w:val="21"/>
          <w:highlight w:val="none"/>
          <w:lang w:val="zh-CN"/>
        </w:rPr>
      </w:pPr>
      <w:r>
        <w:rPr>
          <w:rFonts w:hint="eastAsia" w:hAnsi="宋体"/>
          <w:color w:val="auto"/>
          <w:kern w:val="2"/>
          <w:sz w:val="21"/>
          <w:szCs w:val="21"/>
          <w:highlight w:val="none"/>
          <w:lang w:val="zh-CN"/>
        </w:rPr>
        <w:t>4.2.10投标人的投标文件及中标后签署的合同协议书对联合体各方均具法律约束力。</w:t>
      </w:r>
    </w:p>
    <w:p>
      <w:pPr>
        <w:tabs>
          <w:tab w:val="left" w:pos="567"/>
        </w:tabs>
        <w:spacing w:line="360" w:lineRule="auto"/>
        <w:ind w:left="567" w:hanging="567"/>
        <w:jc w:val="both"/>
        <w:rPr>
          <w:rFonts w:hAnsi="宋体"/>
          <w:color w:val="auto"/>
          <w:kern w:val="2"/>
          <w:sz w:val="21"/>
          <w:szCs w:val="21"/>
          <w:highlight w:val="none"/>
          <w:lang w:val="zh-CN"/>
        </w:rPr>
      </w:pPr>
      <w:r>
        <w:rPr>
          <w:rFonts w:hint="eastAsia" w:hAnsi="宋体"/>
          <w:color w:val="auto"/>
          <w:kern w:val="2"/>
          <w:sz w:val="21"/>
          <w:szCs w:val="21"/>
          <w:highlight w:val="none"/>
        </w:rPr>
        <w:t>4.3</w:t>
      </w:r>
      <w:bookmarkStart w:id="13" w:name="_Toc16571"/>
      <w:r>
        <w:rPr>
          <w:rFonts w:hint="eastAsia" w:hAnsi="宋体"/>
          <w:color w:val="auto"/>
          <w:kern w:val="2"/>
          <w:sz w:val="21"/>
          <w:szCs w:val="21"/>
          <w:highlight w:val="none"/>
        </w:rPr>
        <w:t xml:space="preserve">   </w:t>
      </w:r>
      <w:r>
        <w:rPr>
          <w:rFonts w:hint="eastAsia" w:hAnsi="宋体"/>
          <w:color w:val="auto"/>
          <w:kern w:val="2"/>
          <w:sz w:val="21"/>
          <w:szCs w:val="21"/>
          <w:highlight w:val="none"/>
          <w:lang w:val="zh-CN"/>
        </w:rPr>
        <w:t>关于分支机构投标</w:t>
      </w:r>
      <w:bookmarkEnd w:id="13"/>
    </w:p>
    <w:p>
      <w:pPr>
        <w:spacing w:line="360" w:lineRule="auto"/>
        <w:ind w:left="528" w:leftChars="220" w:firstLine="315" w:firstLineChars="150"/>
        <w:rPr>
          <w:rFonts w:hAnsi="宋体" w:cs="宋体"/>
          <w:color w:val="auto"/>
          <w:sz w:val="21"/>
          <w:szCs w:val="21"/>
          <w:highlight w:val="none"/>
          <w:lang w:val="zh-CN"/>
        </w:rPr>
      </w:pPr>
      <w:bookmarkStart w:id="14" w:name="EB389f116341dd4693875bc7987e7327f3"/>
      <w:r>
        <w:rPr>
          <w:rFonts w:hint="eastAsia" w:hAnsi="宋体" w:cs="宋体"/>
          <w:color w:val="auto"/>
          <w:sz w:val="21"/>
          <w:szCs w:val="21"/>
          <w:highlight w:val="none"/>
          <w:lang w:val="zh-CN"/>
        </w:rPr>
        <w:t>对可接受分支机构投标的项目，分支机构投标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14"/>
    </w:p>
    <w:p>
      <w:pPr>
        <w:tabs>
          <w:tab w:val="left" w:pos="567"/>
        </w:tabs>
        <w:spacing w:line="360" w:lineRule="auto"/>
        <w:ind w:left="567" w:hanging="567"/>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5</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纪律与保密事项</w:t>
      </w:r>
    </w:p>
    <w:p>
      <w:pPr>
        <w:autoSpaceDE/>
        <w:autoSpaceDN/>
        <w:adjustRightInd/>
        <w:spacing w:line="360" w:lineRule="auto"/>
        <w:ind w:left="525" w:hanging="525" w:hangingChars="25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5.1  投标人不得相互串通投标报价，或以不正当的手段妨碍、排挤其他投标人，扰乱采购市场，破坏公平竞争原则，不得损害采购人或其他投标人的合法权益，投标人不得以向采购人、评标委员会成员行贿或者采取其他不正当手段谋取中标。</w:t>
      </w:r>
    </w:p>
    <w:p>
      <w:pPr>
        <w:autoSpaceDE/>
        <w:autoSpaceDN/>
        <w:adjustRightInd/>
        <w:spacing w:line="360" w:lineRule="auto"/>
        <w:ind w:left="525" w:hanging="525" w:hangingChars="25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5.2  获得本采购文件者，应对文件进行保密，不得用作本次投标以外的任何用途。若有要求，开标后，投标人应归还采购文件中保密的文件和资料。</w:t>
      </w:r>
    </w:p>
    <w:p>
      <w:pPr>
        <w:tabs>
          <w:tab w:val="left" w:pos="720"/>
          <w:tab w:val="left" w:pos="3460"/>
        </w:tabs>
        <w:autoSpaceDE/>
        <w:autoSpaceDN/>
        <w:adjustRightInd/>
        <w:spacing w:line="360" w:lineRule="auto"/>
        <w:ind w:left="525" w:hanging="525" w:hangingChars="25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5.3  由采购人向投标人提供的图纸、详细资料、样品、模型、模件和所有其他资料，被视为保密资料，仅被用于它所规定的用途。除非得到采购人的同意，不能向任何第三方透露。开标结束后，应采购人要求，投标人应归还所有从采购人处获得的保密资料。</w:t>
      </w:r>
    </w:p>
    <w:p>
      <w:pPr>
        <w:tabs>
          <w:tab w:val="left" w:pos="720"/>
          <w:tab w:val="left" w:pos="3460"/>
        </w:tabs>
        <w:autoSpaceDE/>
        <w:autoSpaceDN/>
        <w:adjustRightInd/>
        <w:spacing w:line="360" w:lineRule="auto"/>
        <w:ind w:left="525" w:hanging="525" w:hangingChars="25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5.4  除投标人被要求对投标文件进行澄清外，在确定中标人之前，投标人不得与采购人就投标价格、投标方案等实质性内容进行谈判，也不得私下接触评标委员会成员。</w:t>
      </w:r>
    </w:p>
    <w:p>
      <w:pPr>
        <w:tabs>
          <w:tab w:val="left" w:pos="567"/>
        </w:tabs>
        <w:spacing w:line="360" w:lineRule="auto"/>
        <w:ind w:left="567" w:hanging="567"/>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6    投标费用</w:t>
      </w:r>
    </w:p>
    <w:p>
      <w:pPr>
        <w:tabs>
          <w:tab w:val="left" w:pos="567"/>
        </w:tabs>
        <w:spacing w:line="360" w:lineRule="auto"/>
        <w:ind w:left="567" w:hanging="567" w:hangingChars="27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6.1  不论投标结果如何，投标人应承担自身因投标文件编制、递交及其他参加本采购活动所涉及的一切费用，采购人对上述费用不负任何责任。</w:t>
      </w:r>
    </w:p>
    <w:p>
      <w:pPr>
        <w:tabs>
          <w:tab w:val="left" w:pos="567"/>
          <w:tab w:val="left" w:pos="927"/>
        </w:tabs>
        <w:spacing w:line="360" w:lineRule="auto"/>
        <w:ind w:left="630" w:hanging="630" w:hangingChars="30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7    踏勘现场或者召开开标前答疑会</w:t>
      </w:r>
    </w:p>
    <w:p>
      <w:pPr>
        <w:tabs>
          <w:tab w:val="left" w:pos="567"/>
        </w:tabs>
        <w:spacing w:line="360" w:lineRule="auto"/>
        <w:ind w:left="567" w:hanging="567" w:hangingChars="270"/>
        <w:jc w:val="both"/>
        <w:rPr>
          <w:rFonts w:hAnsi="宋体" w:cs="宋体"/>
          <w:color w:val="auto"/>
          <w:kern w:val="2"/>
          <w:sz w:val="21"/>
          <w:szCs w:val="21"/>
          <w:highlight w:val="none"/>
          <w:lang w:val="zh-CN"/>
        </w:rPr>
      </w:pPr>
      <w:r>
        <w:rPr>
          <w:rFonts w:hint="eastAsia" w:hAnsi="宋体" w:cs="宋体"/>
          <w:color w:val="auto"/>
          <w:kern w:val="2"/>
          <w:sz w:val="21"/>
          <w:szCs w:val="21"/>
          <w:highlight w:val="none"/>
        </w:rPr>
        <w:t xml:space="preserve">7.1  </w:t>
      </w:r>
      <w:r>
        <w:rPr>
          <w:rFonts w:hint="eastAsia" w:hAnsi="宋体" w:cs="宋体"/>
          <w:color w:val="auto"/>
          <w:kern w:val="2"/>
          <w:sz w:val="21"/>
          <w:szCs w:val="21"/>
          <w:highlight w:val="none"/>
          <w:lang w:val="zh-CN"/>
        </w:rPr>
        <w:t>除《</w:t>
      </w:r>
      <w:r>
        <w:rPr>
          <w:rFonts w:hint="eastAsia" w:hAnsi="宋体" w:cs="宋体"/>
          <w:color w:val="auto"/>
          <w:kern w:val="2"/>
          <w:sz w:val="21"/>
          <w:szCs w:val="21"/>
          <w:highlight w:val="none"/>
          <w:u w:val="single"/>
          <w:lang w:val="zh-CN"/>
        </w:rPr>
        <w:t>投标人须知前附表</w:t>
      </w:r>
      <w:r>
        <w:rPr>
          <w:rFonts w:hint="eastAsia" w:hAnsi="宋体" w:cs="宋体"/>
          <w:color w:val="auto"/>
          <w:kern w:val="2"/>
          <w:sz w:val="21"/>
          <w:szCs w:val="21"/>
          <w:highlight w:val="none"/>
          <w:lang w:val="zh-CN"/>
        </w:rPr>
        <w:t>》中另有规定，否则不举行项目现场考察或者召开开标前答疑会，如举行现场考察或者召开开标前答疑会的，则按以下规定：</w:t>
      </w:r>
    </w:p>
    <w:p>
      <w:pPr>
        <w:tabs>
          <w:tab w:val="left" w:pos="567"/>
        </w:tabs>
        <w:spacing w:line="360" w:lineRule="auto"/>
        <w:ind w:left="567" w:hanging="567" w:hangingChars="27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7.</w:t>
      </w:r>
      <w:r>
        <w:rPr>
          <w:rFonts w:hint="eastAsia" w:hAnsi="宋体" w:cs="宋体"/>
          <w:color w:val="auto"/>
          <w:kern w:val="2"/>
          <w:sz w:val="21"/>
          <w:szCs w:val="21"/>
          <w:highlight w:val="none"/>
        </w:rPr>
        <w:t>2</w:t>
      </w:r>
      <w:r>
        <w:rPr>
          <w:rFonts w:hint="eastAsia" w:hAnsi="宋体" w:cs="宋体"/>
          <w:color w:val="auto"/>
          <w:kern w:val="2"/>
          <w:sz w:val="21"/>
          <w:szCs w:val="21"/>
          <w:highlight w:val="none"/>
          <w:lang w:val="zh-CN"/>
        </w:rPr>
        <w:t xml:space="preserve">  投标人应按</w:t>
      </w:r>
      <w:r>
        <w:rPr>
          <w:rFonts w:hint="eastAsia" w:hAnsi="宋体" w:cs="宋体"/>
          <w:color w:val="auto"/>
          <w:kern w:val="2"/>
          <w:sz w:val="21"/>
          <w:szCs w:val="21"/>
          <w:highlight w:val="none"/>
          <w:u w:val="single"/>
          <w:lang w:val="zh-CN"/>
        </w:rPr>
        <w:t>《投标人须知前附表》</w:t>
      </w:r>
      <w:r>
        <w:rPr>
          <w:rFonts w:hint="eastAsia" w:hAnsi="宋体" w:cs="宋体"/>
          <w:color w:val="auto"/>
          <w:kern w:val="2"/>
          <w:sz w:val="21"/>
          <w:szCs w:val="21"/>
          <w:highlight w:val="none"/>
          <w:lang w:val="zh-CN"/>
        </w:rPr>
        <w:t>所述时间和要求对工程现场及周围环境进行踏勘或者召开开标前答疑会；供应商对本项目提出的疑问，可在现场考察或者召开开标前答疑会召开日前至少一个工作日将问题清单以书面形式（加盖公章）提交至采购代理机构。</w:t>
      </w:r>
    </w:p>
    <w:p>
      <w:pPr>
        <w:tabs>
          <w:tab w:val="left" w:pos="567"/>
        </w:tabs>
        <w:spacing w:line="360" w:lineRule="auto"/>
        <w:ind w:left="567" w:hanging="567" w:hangingChars="270"/>
        <w:jc w:val="both"/>
        <w:rPr>
          <w:rFonts w:hAnsi="宋体" w:cs="宋体"/>
          <w:color w:val="auto"/>
          <w:kern w:val="2"/>
          <w:sz w:val="21"/>
          <w:szCs w:val="21"/>
          <w:highlight w:val="none"/>
          <w:lang w:val="zh-CN"/>
        </w:rPr>
      </w:pPr>
      <w:r>
        <w:rPr>
          <w:rFonts w:hint="eastAsia" w:hAnsi="宋体" w:cs="宋体"/>
          <w:color w:val="auto"/>
          <w:kern w:val="2"/>
          <w:sz w:val="21"/>
          <w:szCs w:val="21"/>
          <w:highlight w:val="none"/>
        </w:rPr>
        <w:t xml:space="preserve">7.3  </w:t>
      </w:r>
      <w:r>
        <w:rPr>
          <w:rFonts w:hint="eastAsia" w:hAnsi="宋体" w:cs="宋体"/>
          <w:color w:val="auto"/>
          <w:kern w:val="2"/>
          <w:sz w:val="21"/>
          <w:szCs w:val="21"/>
          <w:highlight w:val="none"/>
          <w:lang w:val="zh-CN"/>
        </w:rPr>
        <w:t>投标人应充分重视和仔细地进行这种考察，以便获取那些须投标人自己负责的有关编制投标文件和签署合同所涉及现场所有的资料。一旦中标，这种考察即被认为其结果已在中标文件中得到充分反映。考察现场的费用由投标人自己承担。</w:t>
      </w:r>
    </w:p>
    <w:p>
      <w:pPr>
        <w:tabs>
          <w:tab w:val="left" w:pos="567"/>
        </w:tabs>
        <w:spacing w:line="360" w:lineRule="auto"/>
        <w:ind w:left="567" w:hanging="567" w:hangingChars="27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7.</w:t>
      </w:r>
      <w:r>
        <w:rPr>
          <w:rFonts w:hint="eastAsia" w:hAnsi="宋体" w:cs="宋体"/>
          <w:color w:val="auto"/>
          <w:kern w:val="2"/>
          <w:sz w:val="21"/>
          <w:szCs w:val="21"/>
          <w:highlight w:val="none"/>
        </w:rPr>
        <w:t>4</w:t>
      </w:r>
      <w:r>
        <w:rPr>
          <w:rFonts w:hint="eastAsia" w:hAnsi="宋体" w:cs="宋体"/>
          <w:color w:val="auto"/>
          <w:kern w:val="2"/>
          <w:sz w:val="21"/>
          <w:szCs w:val="21"/>
          <w:highlight w:val="none"/>
          <w:lang w:val="zh-CN"/>
        </w:rPr>
        <w:t xml:space="preserve">  采购人向投标人提供的有关现场的数据和资料，是采购人现有的能被投标人利用的资料，采购人对投标人做出的任何推论、理解和结论均不负责任。</w:t>
      </w:r>
    </w:p>
    <w:p>
      <w:pPr>
        <w:tabs>
          <w:tab w:val="left" w:pos="567"/>
        </w:tabs>
        <w:spacing w:line="360" w:lineRule="auto"/>
        <w:ind w:left="567" w:hanging="567" w:hangingChars="27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7.3  经采购人允许，投标人可为踏勘目的进入采购人的项目现场。在考察过程中，投标人及其代表必须承担那些进入现场后，由于他们的行为所造成的人身伤害（不管是否致命）、财产损失或损坏，以及其他任何原因造成的损失、损坏或费用，投标人不得因此使采购人承担有关的责任和蒙受损失。</w:t>
      </w:r>
    </w:p>
    <w:p>
      <w:pPr>
        <w:pStyle w:val="7"/>
        <w:spacing w:line="360" w:lineRule="auto"/>
        <w:rPr>
          <w:rFonts w:hAnsi="宋体" w:cs="宋体"/>
          <w:b/>
          <w:color w:val="auto"/>
          <w:kern w:val="2"/>
          <w:sz w:val="21"/>
          <w:szCs w:val="21"/>
          <w:highlight w:val="none"/>
          <w:lang w:val="zh-CN"/>
        </w:rPr>
      </w:pPr>
      <w:bookmarkStart w:id="15" w:name="_Toc396137234"/>
      <w:bookmarkStart w:id="16" w:name="_Toc4686"/>
      <w:r>
        <w:rPr>
          <w:rFonts w:hint="eastAsia" w:hAnsi="宋体" w:cs="宋体"/>
          <w:b/>
          <w:color w:val="auto"/>
          <w:kern w:val="2"/>
          <w:sz w:val="21"/>
          <w:szCs w:val="21"/>
          <w:highlight w:val="none"/>
          <w:lang w:val="zh-CN"/>
        </w:rPr>
        <w:t>（二）</w:t>
      </w:r>
      <w:bookmarkEnd w:id="15"/>
      <w:r>
        <w:rPr>
          <w:rFonts w:hint="eastAsia" w:hAnsi="宋体" w:cs="宋体"/>
          <w:b/>
          <w:color w:val="auto"/>
          <w:kern w:val="2"/>
          <w:sz w:val="21"/>
          <w:szCs w:val="21"/>
          <w:highlight w:val="none"/>
          <w:lang w:val="zh-CN"/>
        </w:rPr>
        <w:t>采购文件</w:t>
      </w:r>
      <w:bookmarkEnd w:id="16"/>
    </w:p>
    <w:p>
      <w:pPr>
        <w:tabs>
          <w:tab w:val="left" w:pos="567"/>
        </w:tabs>
        <w:spacing w:line="360" w:lineRule="auto"/>
        <w:ind w:left="567" w:hanging="567"/>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8</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采购文件的构成</w:t>
      </w:r>
    </w:p>
    <w:p>
      <w:pPr>
        <w:tabs>
          <w:tab w:val="left" w:pos="567"/>
        </w:tabs>
        <w:spacing w:line="360" w:lineRule="auto"/>
        <w:ind w:left="567" w:hanging="567"/>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8.1</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采购文件包括：</w:t>
      </w:r>
    </w:p>
    <w:p>
      <w:pPr>
        <w:tabs>
          <w:tab w:val="left" w:pos="1560"/>
        </w:tabs>
        <w:spacing w:line="360" w:lineRule="auto"/>
        <w:ind w:left="1890" w:hanging="1323"/>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第一篇</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投标邀请书</w:t>
      </w:r>
    </w:p>
    <w:p>
      <w:pPr>
        <w:tabs>
          <w:tab w:val="left" w:pos="1560"/>
        </w:tabs>
        <w:spacing w:line="360" w:lineRule="auto"/>
        <w:ind w:left="1890" w:hanging="1323"/>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第二篇</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投标人须知</w:t>
      </w:r>
    </w:p>
    <w:p>
      <w:pPr>
        <w:tabs>
          <w:tab w:val="left" w:pos="1560"/>
        </w:tabs>
        <w:spacing w:line="360" w:lineRule="auto"/>
        <w:ind w:left="1890" w:hanging="1323"/>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第三篇</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用户需求书</w:t>
      </w:r>
    </w:p>
    <w:p>
      <w:pPr>
        <w:tabs>
          <w:tab w:val="left" w:pos="1560"/>
        </w:tabs>
        <w:spacing w:line="360" w:lineRule="auto"/>
        <w:ind w:left="1890" w:hanging="1323"/>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第四篇</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评标工作大纲</w:t>
      </w:r>
    </w:p>
    <w:p>
      <w:pPr>
        <w:tabs>
          <w:tab w:val="left" w:pos="1560"/>
        </w:tabs>
        <w:spacing w:line="360" w:lineRule="auto"/>
        <w:ind w:left="1890" w:hanging="1323"/>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第五篇</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合同条款格式</w:t>
      </w:r>
    </w:p>
    <w:p>
      <w:pPr>
        <w:tabs>
          <w:tab w:val="left" w:pos="1560"/>
        </w:tabs>
        <w:spacing w:line="360" w:lineRule="auto"/>
        <w:ind w:left="1890" w:hanging="1323"/>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第六篇</w:t>
      </w:r>
      <w:r>
        <w:rPr>
          <w:rFonts w:hint="eastAsia" w:hAnsi="宋体" w:cs="宋体"/>
          <w:color w:val="auto"/>
          <w:kern w:val="2"/>
          <w:sz w:val="21"/>
          <w:szCs w:val="21"/>
          <w:highlight w:val="none"/>
        </w:rPr>
        <w:t xml:space="preserve">   </w:t>
      </w:r>
      <w:r>
        <w:rPr>
          <w:rFonts w:hint="eastAsia" w:hAnsi="宋体" w:cs="宋体"/>
          <w:color w:val="auto"/>
          <w:kern w:val="2"/>
          <w:sz w:val="21"/>
          <w:szCs w:val="21"/>
          <w:highlight w:val="none"/>
          <w:lang w:val="zh-CN"/>
        </w:rPr>
        <w:t>投标文件格式</w:t>
      </w:r>
    </w:p>
    <w:p>
      <w:pPr>
        <w:spacing w:line="360" w:lineRule="auto"/>
        <w:ind w:left="420" w:hanging="420" w:hangingChars="20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8.2</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投标人应认真阅读、并充分理解采购文件的全部内容（包括所有的补充、修改内容、重要事项、格式、条款和技术规范、参数及要求等）。投标人没有按照采购文件要求提交全部资料，或者投标没有对采购文件在各方面都做出实质性响应是投标人的风险，有可能导致其投标被拒绝，或被认定为无效投标或被确定为投标无效。</w:t>
      </w:r>
    </w:p>
    <w:p>
      <w:pPr>
        <w:spacing w:line="360" w:lineRule="auto"/>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8.</w:t>
      </w:r>
      <w:r>
        <w:rPr>
          <w:rFonts w:hint="eastAsia" w:hAnsi="宋体" w:cs="宋体"/>
          <w:color w:val="auto"/>
          <w:kern w:val="2"/>
          <w:sz w:val="21"/>
          <w:szCs w:val="21"/>
          <w:highlight w:val="none"/>
        </w:rPr>
        <w:t>3</w:t>
      </w:r>
      <w:r>
        <w:rPr>
          <w:rFonts w:hint="eastAsia" w:hAnsi="宋体" w:cs="宋体"/>
          <w:color w:val="auto"/>
          <w:kern w:val="2"/>
          <w:sz w:val="21"/>
          <w:szCs w:val="21"/>
          <w:highlight w:val="none"/>
          <w:lang w:val="zh-CN"/>
        </w:rPr>
        <w:t xml:space="preserve"> 知识产权</w:t>
      </w:r>
    </w:p>
    <w:p>
      <w:pPr>
        <w:spacing w:line="360" w:lineRule="auto"/>
        <w:ind w:left="528" w:leftChars="220" w:firstLine="315" w:firstLineChars="150"/>
        <w:rPr>
          <w:rFonts w:hAnsi="宋体" w:cs="宋体"/>
          <w:color w:val="auto"/>
          <w:sz w:val="21"/>
          <w:szCs w:val="21"/>
          <w:highlight w:val="none"/>
          <w:lang w:val="en-GB"/>
        </w:rPr>
      </w:pPr>
      <w:r>
        <w:rPr>
          <w:rFonts w:hint="eastAsia" w:hAnsi="宋体" w:cs="宋体"/>
          <w:color w:val="auto"/>
          <w:sz w:val="21"/>
          <w:szCs w:val="21"/>
          <w:highlight w:val="none"/>
          <w:lang w:val="en-GB"/>
        </w:rPr>
        <w:t>投标人必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w:t>
      </w:r>
    </w:p>
    <w:p>
      <w:pPr>
        <w:tabs>
          <w:tab w:val="left" w:pos="567"/>
        </w:tabs>
        <w:spacing w:line="360" w:lineRule="auto"/>
        <w:ind w:left="567" w:hanging="567"/>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9</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采购文件的澄清或修改</w:t>
      </w:r>
    </w:p>
    <w:p>
      <w:pPr>
        <w:tabs>
          <w:tab w:val="left" w:pos="567"/>
        </w:tabs>
        <w:spacing w:line="360" w:lineRule="auto"/>
        <w:ind w:left="567" w:hanging="567"/>
        <w:jc w:val="both"/>
        <w:rPr>
          <w:rFonts w:hAnsi="宋体" w:cs="宋体"/>
          <w:bCs/>
          <w:color w:val="auto"/>
          <w:kern w:val="2"/>
          <w:sz w:val="21"/>
          <w:szCs w:val="21"/>
          <w:highlight w:val="none"/>
          <w:lang w:val="zh-CN"/>
        </w:rPr>
      </w:pPr>
      <w:r>
        <w:rPr>
          <w:rFonts w:hint="eastAsia" w:hAnsi="宋体" w:cs="宋体"/>
          <w:color w:val="auto"/>
          <w:kern w:val="2"/>
          <w:sz w:val="21"/>
          <w:szCs w:val="21"/>
          <w:highlight w:val="none"/>
          <w:lang w:val="zh-CN"/>
        </w:rPr>
        <w:t>9.1</w:t>
      </w:r>
      <w:r>
        <w:rPr>
          <w:rFonts w:hint="eastAsia" w:hAnsi="宋体" w:cs="宋体"/>
          <w:color w:val="auto"/>
          <w:kern w:val="2"/>
          <w:sz w:val="21"/>
          <w:szCs w:val="21"/>
          <w:highlight w:val="none"/>
          <w:lang w:val="zh-CN"/>
        </w:rPr>
        <w:tab/>
      </w:r>
      <w:r>
        <w:rPr>
          <w:rFonts w:hint="eastAsia" w:hAnsi="宋体" w:cs="宋体"/>
          <w:bCs/>
          <w:color w:val="auto"/>
          <w:kern w:val="2"/>
          <w:sz w:val="21"/>
          <w:szCs w:val="21"/>
          <w:highlight w:val="none"/>
          <w:lang w:val="zh-CN"/>
        </w:rPr>
        <w:t>采购人或采购代理机构可以对已发出的采购文件进行必要的澄清或者修改。澄清或者修改的内容可能影响投标文件编制的，采购代理机构将在投标截止时间至少15日前，以书面形式通知所有领购采购文件的潜在投标人；不足15日的，采购代理机构将顺延提交投标文件的截止时间。并在采购文件载明的发布媒体上发布更正公告。</w:t>
      </w:r>
    </w:p>
    <w:p>
      <w:pPr>
        <w:tabs>
          <w:tab w:val="left" w:pos="567"/>
        </w:tabs>
        <w:spacing w:line="360" w:lineRule="auto"/>
        <w:ind w:left="567" w:hanging="567"/>
        <w:jc w:val="both"/>
        <w:rPr>
          <w:rFonts w:hAnsi="宋体" w:cs="宋体"/>
          <w:bCs/>
          <w:color w:val="auto"/>
          <w:kern w:val="2"/>
          <w:sz w:val="21"/>
          <w:szCs w:val="21"/>
          <w:highlight w:val="none"/>
          <w:lang w:val="zh-CN"/>
        </w:rPr>
      </w:pPr>
      <w:r>
        <w:rPr>
          <w:rFonts w:hint="eastAsia" w:hAnsi="宋体" w:cs="宋体"/>
          <w:bCs/>
          <w:color w:val="auto"/>
          <w:kern w:val="2"/>
          <w:sz w:val="21"/>
          <w:szCs w:val="21"/>
          <w:highlight w:val="none"/>
          <w:lang w:val="zh-CN"/>
        </w:rPr>
        <w:t>9.2</w:t>
      </w:r>
      <w:r>
        <w:rPr>
          <w:rFonts w:hint="eastAsia" w:hAnsi="宋体" w:cs="宋体"/>
          <w:bCs/>
          <w:color w:val="auto"/>
          <w:kern w:val="2"/>
          <w:sz w:val="21"/>
          <w:szCs w:val="21"/>
          <w:highlight w:val="none"/>
          <w:lang w:val="zh-CN"/>
        </w:rPr>
        <w:tab/>
      </w:r>
      <w:r>
        <w:rPr>
          <w:rFonts w:hint="eastAsia" w:hAnsi="宋体" w:cs="宋体"/>
          <w:bCs/>
          <w:color w:val="auto"/>
          <w:kern w:val="2"/>
          <w:sz w:val="21"/>
          <w:szCs w:val="21"/>
          <w:highlight w:val="none"/>
          <w:lang w:val="zh-CN"/>
        </w:rPr>
        <w:t>采购人或采购代理机构可以视采购具体情况，延长投标截止时间和开标时间，但至少应当在采购文件要求提交投标文件的截止时间3日前，将更变时间书面通知所有采购文件收受人，并在采购文件载明的发布媒体上发布变更公告。</w:t>
      </w:r>
    </w:p>
    <w:p>
      <w:pPr>
        <w:tabs>
          <w:tab w:val="left" w:pos="567"/>
        </w:tabs>
        <w:spacing w:line="360" w:lineRule="auto"/>
        <w:ind w:left="567" w:hanging="567"/>
        <w:jc w:val="both"/>
        <w:rPr>
          <w:rFonts w:hAnsi="宋体" w:cs="宋体"/>
          <w:bCs/>
          <w:color w:val="auto"/>
          <w:kern w:val="2"/>
          <w:sz w:val="21"/>
          <w:szCs w:val="21"/>
          <w:highlight w:val="none"/>
          <w:lang w:val="zh-CN"/>
        </w:rPr>
      </w:pPr>
      <w:r>
        <w:rPr>
          <w:rFonts w:hint="eastAsia" w:hAnsi="宋体" w:cs="宋体"/>
          <w:bCs/>
          <w:color w:val="auto"/>
          <w:kern w:val="2"/>
          <w:sz w:val="21"/>
          <w:szCs w:val="21"/>
          <w:highlight w:val="none"/>
          <w:lang w:val="zh-CN"/>
        </w:rPr>
        <w:t>9.3  采购文件的澄清或者修改内容作为采购文件的组成部分，并对投标人具有约束力。当采购文件、采购文件的澄清或修改在同一内容的表述上不一致时，以最后发出的文件内容为准。</w:t>
      </w:r>
    </w:p>
    <w:p>
      <w:pPr>
        <w:pStyle w:val="7"/>
        <w:spacing w:line="360" w:lineRule="auto"/>
        <w:rPr>
          <w:rFonts w:hAnsi="宋体" w:cs="宋体"/>
          <w:b/>
          <w:bCs/>
          <w:color w:val="auto"/>
          <w:kern w:val="44"/>
          <w:sz w:val="21"/>
          <w:szCs w:val="21"/>
          <w:highlight w:val="none"/>
          <w:lang w:val="zh-CN"/>
        </w:rPr>
      </w:pPr>
      <w:bookmarkStart w:id="17" w:name="_Toc12705"/>
      <w:bookmarkStart w:id="18" w:name="_Toc396137235"/>
      <w:r>
        <w:rPr>
          <w:rFonts w:hint="eastAsia" w:hAnsi="宋体" w:cs="宋体"/>
          <w:b/>
          <w:bCs/>
          <w:color w:val="auto"/>
          <w:kern w:val="44"/>
          <w:sz w:val="21"/>
          <w:szCs w:val="21"/>
          <w:highlight w:val="none"/>
          <w:lang w:val="zh-CN"/>
        </w:rPr>
        <w:t>（三）投标文件的编制</w:t>
      </w:r>
      <w:bookmarkEnd w:id="17"/>
      <w:bookmarkEnd w:id="18"/>
    </w:p>
    <w:p>
      <w:pPr>
        <w:tabs>
          <w:tab w:val="left" w:pos="567"/>
        </w:tabs>
        <w:spacing w:line="360" w:lineRule="auto"/>
        <w:ind w:left="567" w:hanging="567"/>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10</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投标使用的文字及度量衡单位。</w:t>
      </w:r>
    </w:p>
    <w:p>
      <w:pPr>
        <w:spacing w:line="360" w:lineRule="auto"/>
        <w:ind w:left="525" w:hanging="525" w:hangingChars="25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10.1 投标人应仔细阅读采购文件的所有内容，并按采购文件的规定及附件要求的内容和格式，提交完整的投标文件，并保证所提供全部资料的真实性。</w:t>
      </w:r>
    </w:p>
    <w:p>
      <w:pPr>
        <w:spacing w:line="360" w:lineRule="auto"/>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10.2 投标文件使用的度量衡单位采用中华人民共和国法定计量单位。</w:t>
      </w:r>
    </w:p>
    <w:p>
      <w:pPr>
        <w:spacing w:line="360" w:lineRule="auto"/>
        <w:ind w:left="525" w:hanging="525" w:hangingChars="25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10.3 投标人提交的投标文件以及投标人与采购代理机构就有关投标的所有来往函电均应使用中文。投标人提交的支持文件或印刷的资料可以用另一种语言，但相应内容应附有中文翻译本，对不同文字文本投标文件的解释发生异议的，以中文文本为准。对中文翻译有异议的，以权威机构的译本为准。</w:t>
      </w:r>
    </w:p>
    <w:p>
      <w:pPr>
        <w:tabs>
          <w:tab w:val="left" w:pos="720"/>
          <w:tab w:val="left" w:pos="3460"/>
        </w:tabs>
        <w:spacing w:line="360" w:lineRule="auto"/>
        <w:ind w:left="525" w:hanging="525" w:hangingChars="25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10.4 采购文件中，如标有“★”的条款均为必须完全满足指标，投标人须进行实质性响应，投标人若有一项带“★”的条款未响应或不满足，将被认定为</w:t>
      </w:r>
      <w:r>
        <w:rPr>
          <w:rFonts w:hint="eastAsia" w:hAnsi="宋体" w:cs="宋体"/>
          <w:b/>
          <w:bCs/>
          <w:color w:val="auto"/>
          <w:kern w:val="2"/>
          <w:sz w:val="21"/>
          <w:szCs w:val="21"/>
          <w:highlight w:val="none"/>
          <w:lang w:val="zh-CN"/>
        </w:rPr>
        <w:t>无效投标</w:t>
      </w:r>
      <w:r>
        <w:rPr>
          <w:rFonts w:hint="eastAsia" w:hAnsi="宋体" w:cs="宋体"/>
          <w:color w:val="auto"/>
          <w:kern w:val="2"/>
          <w:sz w:val="21"/>
          <w:szCs w:val="21"/>
          <w:highlight w:val="none"/>
          <w:lang w:val="zh-CN"/>
        </w:rPr>
        <w:t>。</w:t>
      </w:r>
    </w:p>
    <w:p>
      <w:pPr>
        <w:tabs>
          <w:tab w:val="left" w:pos="720"/>
          <w:tab w:val="left" w:pos="3460"/>
        </w:tabs>
        <w:spacing w:line="360" w:lineRule="auto"/>
        <w:ind w:left="525" w:hanging="525" w:hangingChars="25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10.5 采购文件中，如标有“▲”的条款均为评审的重要评分指标，投标人若有部分“▲”条款未响应或不满足，将导致其响应性评审严重扣分。</w:t>
      </w:r>
    </w:p>
    <w:p>
      <w:pPr>
        <w:tabs>
          <w:tab w:val="left" w:pos="720"/>
          <w:tab w:val="left" w:pos="3460"/>
        </w:tabs>
        <w:spacing w:line="360" w:lineRule="auto"/>
        <w:ind w:left="525" w:hanging="525" w:hangingChars="25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10.</w:t>
      </w:r>
      <w:r>
        <w:rPr>
          <w:rFonts w:hint="eastAsia" w:hAnsi="宋体" w:cs="宋体"/>
          <w:color w:val="auto"/>
          <w:kern w:val="2"/>
          <w:sz w:val="21"/>
          <w:szCs w:val="21"/>
          <w:highlight w:val="none"/>
        </w:rPr>
        <w:t>6</w:t>
      </w:r>
      <w:r>
        <w:rPr>
          <w:rFonts w:hint="eastAsia" w:hAnsi="宋体" w:cs="宋体"/>
          <w:color w:val="auto"/>
          <w:kern w:val="2"/>
          <w:sz w:val="21"/>
          <w:szCs w:val="21"/>
          <w:highlight w:val="none"/>
          <w:lang w:val="zh-CN"/>
        </w:rPr>
        <w:t xml:space="preserve"> 投标人响应采购需求应具体、明确，含糊不清、不确切、直接复制采购文件中技术规格或参数要求的，或伪造、变造证明材料的，按照不完全响应或完全不响应处理。构成提供虚假材料的，移送监管部门查处。</w:t>
      </w:r>
    </w:p>
    <w:p>
      <w:pPr>
        <w:tabs>
          <w:tab w:val="left" w:pos="720"/>
          <w:tab w:val="left" w:pos="3460"/>
        </w:tabs>
        <w:spacing w:line="360" w:lineRule="auto"/>
        <w:ind w:left="525" w:hanging="525" w:hangingChars="25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10.</w:t>
      </w:r>
      <w:r>
        <w:rPr>
          <w:rFonts w:hint="eastAsia" w:hAnsi="宋体" w:cs="宋体"/>
          <w:color w:val="auto"/>
          <w:kern w:val="2"/>
          <w:sz w:val="21"/>
          <w:szCs w:val="21"/>
          <w:highlight w:val="none"/>
        </w:rPr>
        <w:t>7</w:t>
      </w:r>
      <w:r>
        <w:rPr>
          <w:rFonts w:hint="eastAsia" w:hAnsi="宋体" w:cs="宋体"/>
          <w:color w:val="auto"/>
          <w:kern w:val="2"/>
          <w:sz w:val="21"/>
          <w:szCs w:val="21"/>
          <w:highlight w:val="none"/>
          <w:lang w:val="zh-CN"/>
        </w:rPr>
        <w:t xml:space="preserve"> 投标人对采购文件的商务合同不允许实质性偏离，否则将视为不响应。</w:t>
      </w:r>
    </w:p>
    <w:p>
      <w:pPr>
        <w:tabs>
          <w:tab w:val="left" w:pos="720"/>
          <w:tab w:val="left" w:pos="3460"/>
        </w:tabs>
        <w:spacing w:line="360" w:lineRule="auto"/>
        <w:ind w:left="525" w:hanging="525" w:hangingChars="25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10.</w:t>
      </w:r>
      <w:r>
        <w:rPr>
          <w:rFonts w:hint="eastAsia" w:hAnsi="宋体" w:cs="宋体"/>
          <w:color w:val="auto"/>
          <w:kern w:val="2"/>
          <w:sz w:val="21"/>
          <w:szCs w:val="21"/>
          <w:highlight w:val="none"/>
        </w:rPr>
        <w:t>8</w:t>
      </w:r>
      <w:r>
        <w:rPr>
          <w:rFonts w:hint="eastAsia" w:hAnsi="宋体" w:cs="宋体"/>
          <w:color w:val="auto"/>
          <w:kern w:val="2"/>
          <w:sz w:val="21"/>
          <w:szCs w:val="21"/>
          <w:highlight w:val="none"/>
          <w:lang w:val="zh-CN"/>
        </w:rPr>
        <w:t xml:space="preserve"> 资格证明文件视为投标文件不可分割的一部份，投标人应提供相关证件、证明文件的复印件，否则，采购人或采购代理机构有权不予采信。投标人的相关证件、证明文件、合同和其他文件的原件、复印件没有按采购文件规定提交或提交的原件与复印件不一致的，将被认定为</w:t>
      </w:r>
      <w:r>
        <w:rPr>
          <w:rFonts w:hint="eastAsia" w:hAnsi="宋体" w:cs="宋体"/>
          <w:b/>
          <w:bCs/>
          <w:color w:val="auto"/>
          <w:kern w:val="2"/>
          <w:sz w:val="21"/>
          <w:szCs w:val="21"/>
          <w:highlight w:val="none"/>
          <w:lang w:val="zh-CN"/>
        </w:rPr>
        <w:t>无效投标</w:t>
      </w:r>
      <w:r>
        <w:rPr>
          <w:rFonts w:hint="eastAsia" w:hAnsi="宋体" w:cs="宋体"/>
          <w:color w:val="auto"/>
          <w:kern w:val="2"/>
          <w:sz w:val="21"/>
          <w:szCs w:val="21"/>
          <w:highlight w:val="none"/>
          <w:lang w:val="zh-CN"/>
        </w:rPr>
        <w:t>。</w:t>
      </w:r>
    </w:p>
    <w:p>
      <w:pPr>
        <w:tabs>
          <w:tab w:val="left" w:pos="720"/>
          <w:tab w:val="left" w:pos="3460"/>
        </w:tabs>
        <w:spacing w:line="360" w:lineRule="auto"/>
        <w:ind w:left="525" w:hanging="525" w:hangingChars="25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10.</w:t>
      </w:r>
      <w:r>
        <w:rPr>
          <w:rFonts w:hint="eastAsia" w:hAnsi="宋体" w:cs="宋体"/>
          <w:color w:val="auto"/>
          <w:kern w:val="2"/>
          <w:sz w:val="21"/>
          <w:szCs w:val="21"/>
          <w:highlight w:val="none"/>
        </w:rPr>
        <w:t>9</w:t>
      </w:r>
      <w:r>
        <w:rPr>
          <w:rFonts w:hint="eastAsia" w:hAnsi="宋体" w:cs="宋体"/>
          <w:color w:val="auto"/>
          <w:kern w:val="2"/>
          <w:sz w:val="21"/>
          <w:szCs w:val="21"/>
          <w:highlight w:val="none"/>
          <w:lang w:val="zh-CN"/>
        </w:rPr>
        <w:t xml:space="preserve"> 投标文件按规定加盖的投标人公章必须为企业法人公章，且与投标人名称一致，不能以其它业务章或附属机构章代替。</w:t>
      </w:r>
    </w:p>
    <w:p>
      <w:pPr>
        <w:tabs>
          <w:tab w:val="left" w:pos="567"/>
        </w:tabs>
        <w:spacing w:line="360" w:lineRule="auto"/>
        <w:ind w:left="567" w:hanging="567"/>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11</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投标文件的组成</w:t>
      </w:r>
      <w:r>
        <w:rPr>
          <w:rFonts w:hint="eastAsia" w:hAnsi="宋体" w:cs="宋体"/>
          <w:color w:val="auto"/>
          <w:sz w:val="21"/>
          <w:szCs w:val="21"/>
          <w:highlight w:val="none"/>
          <w:lang w:val="zh-CN"/>
        </w:rPr>
        <w:t>（格式见第六篇投标文件格式）</w:t>
      </w:r>
    </w:p>
    <w:p>
      <w:pPr>
        <w:spacing w:line="360" w:lineRule="auto"/>
        <w:ind w:left="630" w:hanging="630" w:hangingChars="300"/>
        <w:jc w:val="both"/>
        <w:rPr>
          <w:rFonts w:hAnsi="宋体" w:cs="宋体"/>
          <w:bCs/>
          <w:color w:val="auto"/>
          <w:sz w:val="21"/>
          <w:szCs w:val="21"/>
          <w:highlight w:val="none"/>
        </w:rPr>
      </w:pPr>
      <w:r>
        <w:rPr>
          <w:rFonts w:hint="eastAsia" w:hAnsi="宋体" w:cs="宋体"/>
          <w:color w:val="auto"/>
          <w:kern w:val="2"/>
          <w:sz w:val="21"/>
          <w:szCs w:val="21"/>
          <w:highlight w:val="none"/>
        </w:rPr>
        <w:t xml:space="preserve">11.1 </w:t>
      </w:r>
      <w:r>
        <w:rPr>
          <w:rFonts w:hint="eastAsia" w:hAnsi="宋体" w:cs="宋体"/>
          <w:color w:val="auto"/>
          <w:kern w:val="2"/>
          <w:sz w:val="21"/>
          <w:szCs w:val="21"/>
          <w:highlight w:val="none"/>
          <w:lang w:val="zh-CN"/>
        </w:rPr>
        <w:t>投标文件包含商务、技术等内容。</w:t>
      </w:r>
    </w:p>
    <w:p>
      <w:pPr>
        <w:spacing w:line="360" w:lineRule="auto"/>
        <w:jc w:val="both"/>
        <w:rPr>
          <w:rFonts w:hAnsi="宋体" w:cs="宋体"/>
          <w:bCs/>
          <w:color w:val="auto"/>
          <w:kern w:val="2"/>
          <w:sz w:val="21"/>
          <w:szCs w:val="21"/>
          <w:highlight w:val="none"/>
          <w:lang w:val="zh-CN"/>
        </w:rPr>
      </w:pPr>
      <w:r>
        <w:rPr>
          <w:rFonts w:hint="eastAsia" w:hAnsi="宋体" w:cs="宋体"/>
          <w:color w:val="auto"/>
          <w:sz w:val="21"/>
          <w:szCs w:val="21"/>
          <w:highlight w:val="none"/>
        </w:rPr>
        <w:t>11</w:t>
      </w:r>
      <w:r>
        <w:rPr>
          <w:rFonts w:hint="eastAsia" w:hAnsi="宋体" w:cs="宋体"/>
          <w:bCs/>
          <w:color w:val="auto"/>
          <w:kern w:val="2"/>
          <w:sz w:val="21"/>
          <w:szCs w:val="21"/>
          <w:highlight w:val="none"/>
          <w:lang w:val="zh-CN"/>
        </w:rPr>
        <w:t>.</w:t>
      </w:r>
      <w:r>
        <w:rPr>
          <w:rFonts w:hint="eastAsia" w:hAnsi="宋体" w:cs="宋体"/>
          <w:bCs/>
          <w:color w:val="auto"/>
          <w:kern w:val="2"/>
          <w:sz w:val="21"/>
          <w:szCs w:val="21"/>
          <w:highlight w:val="none"/>
        </w:rPr>
        <w:t>2</w:t>
      </w:r>
      <w:r>
        <w:rPr>
          <w:rFonts w:hint="eastAsia" w:hAnsi="宋体" w:cs="宋体"/>
          <w:bCs/>
          <w:color w:val="auto"/>
          <w:kern w:val="2"/>
          <w:sz w:val="21"/>
          <w:szCs w:val="21"/>
          <w:highlight w:val="none"/>
          <w:lang w:val="zh-CN"/>
        </w:rPr>
        <w:t xml:space="preserve"> 唱标信封</w:t>
      </w:r>
    </w:p>
    <w:p>
      <w:pPr>
        <w:spacing w:line="360" w:lineRule="auto"/>
        <w:rPr>
          <w:rFonts w:hAnsi="宋体" w:cs="宋体"/>
          <w:color w:val="auto"/>
          <w:sz w:val="21"/>
          <w:szCs w:val="21"/>
          <w:highlight w:val="none"/>
        </w:rPr>
      </w:pPr>
      <w:r>
        <w:rPr>
          <w:rFonts w:hint="eastAsia" w:hAnsi="宋体" w:cs="宋体"/>
          <w:color w:val="auto"/>
          <w:sz w:val="21"/>
          <w:szCs w:val="21"/>
          <w:highlight w:val="none"/>
          <w:lang w:val="zh-CN"/>
        </w:rPr>
        <w:t>11.</w:t>
      </w:r>
      <w:r>
        <w:rPr>
          <w:rFonts w:hint="eastAsia" w:hAnsi="宋体" w:cs="宋体"/>
          <w:color w:val="auto"/>
          <w:sz w:val="21"/>
          <w:szCs w:val="21"/>
          <w:highlight w:val="none"/>
        </w:rPr>
        <w:t>3</w:t>
      </w:r>
      <w:r>
        <w:rPr>
          <w:rFonts w:hint="eastAsia" w:hAnsi="宋体" w:cs="宋体"/>
          <w:color w:val="auto"/>
          <w:sz w:val="21"/>
          <w:szCs w:val="21"/>
          <w:highlight w:val="none"/>
          <w:lang w:val="zh-CN"/>
        </w:rPr>
        <w:t xml:space="preserve"> 投标人编制投标文件必须包括但不限于</w:t>
      </w:r>
      <w:r>
        <w:rPr>
          <w:rFonts w:hint="eastAsia" w:hAnsi="宋体" w:cs="宋体"/>
          <w:color w:val="auto"/>
          <w:sz w:val="21"/>
          <w:szCs w:val="21"/>
          <w:highlight w:val="none"/>
          <w:u w:val="single"/>
          <w:lang w:val="zh-CN"/>
        </w:rPr>
        <w:t>第六篇投标文件格式</w:t>
      </w:r>
      <w:r>
        <w:rPr>
          <w:rFonts w:hint="eastAsia" w:hAnsi="宋体" w:cs="宋体"/>
          <w:color w:val="auto"/>
          <w:sz w:val="21"/>
          <w:szCs w:val="21"/>
          <w:highlight w:val="none"/>
          <w:lang w:val="zh-CN"/>
        </w:rPr>
        <w:t>内容。</w:t>
      </w:r>
    </w:p>
    <w:p>
      <w:pPr>
        <w:tabs>
          <w:tab w:val="left" w:pos="567"/>
        </w:tabs>
        <w:spacing w:line="360" w:lineRule="auto"/>
        <w:ind w:left="567" w:hanging="567"/>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12</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投标报价</w:t>
      </w:r>
    </w:p>
    <w:p>
      <w:pPr>
        <w:tabs>
          <w:tab w:val="left" w:pos="567"/>
        </w:tabs>
        <w:spacing w:line="360" w:lineRule="auto"/>
        <w:ind w:left="567" w:hanging="567"/>
        <w:jc w:val="both"/>
        <w:rPr>
          <w:rFonts w:hAnsi="宋体" w:cs="宋体"/>
          <w:b/>
          <w:bCs/>
          <w:color w:val="auto"/>
          <w:kern w:val="2"/>
          <w:sz w:val="21"/>
          <w:szCs w:val="21"/>
          <w:highlight w:val="none"/>
          <w:lang w:val="zh-CN"/>
        </w:rPr>
      </w:pPr>
      <w:r>
        <w:rPr>
          <w:rFonts w:hint="eastAsia" w:hAnsi="宋体" w:cs="宋体"/>
          <w:color w:val="auto"/>
          <w:kern w:val="2"/>
          <w:sz w:val="21"/>
          <w:szCs w:val="21"/>
          <w:highlight w:val="none"/>
        </w:rPr>
        <w:t xml:space="preserve">12.1 </w:t>
      </w:r>
      <w:r>
        <w:rPr>
          <w:rFonts w:hint="eastAsia" w:hAnsi="宋体" w:cs="宋体"/>
          <w:color w:val="auto"/>
          <w:kern w:val="2"/>
          <w:sz w:val="21"/>
          <w:szCs w:val="21"/>
          <w:highlight w:val="none"/>
          <w:lang w:val="zh-CN"/>
        </w:rPr>
        <w:t>本次采购，投标人必须就采购文件用户需求书中所有服务内容进行报价，少报无效。本项目预算详见第一篇投标邀请书，投标人报价超出预算视为非实质性响应投标，将被认定为</w:t>
      </w:r>
      <w:r>
        <w:rPr>
          <w:rFonts w:hint="eastAsia" w:hAnsi="宋体" w:cs="宋体"/>
          <w:b/>
          <w:bCs/>
          <w:color w:val="auto"/>
          <w:kern w:val="2"/>
          <w:sz w:val="21"/>
          <w:szCs w:val="21"/>
          <w:highlight w:val="none"/>
          <w:lang w:val="zh-CN"/>
        </w:rPr>
        <w:t>无效投标</w:t>
      </w:r>
      <w:r>
        <w:rPr>
          <w:rFonts w:hint="eastAsia" w:hAnsi="宋体" w:cs="宋体"/>
          <w:color w:val="auto"/>
          <w:kern w:val="2"/>
          <w:sz w:val="21"/>
          <w:szCs w:val="21"/>
          <w:highlight w:val="none"/>
          <w:lang w:val="zh-CN"/>
        </w:rPr>
        <w:t>。</w:t>
      </w:r>
    </w:p>
    <w:p>
      <w:pPr>
        <w:tabs>
          <w:tab w:val="left" w:pos="567"/>
        </w:tabs>
        <w:spacing w:line="360" w:lineRule="auto"/>
        <w:ind w:left="567" w:hanging="567"/>
        <w:jc w:val="both"/>
        <w:rPr>
          <w:rFonts w:hAnsi="宋体" w:cs="宋体"/>
          <w:color w:val="auto"/>
          <w:kern w:val="2"/>
          <w:sz w:val="21"/>
          <w:szCs w:val="21"/>
          <w:highlight w:val="none"/>
          <w:lang w:val="zh-CN"/>
        </w:rPr>
      </w:pPr>
      <w:r>
        <w:rPr>
          <w:rFonts w:hint="eastAsia" w:hAnsi="宋体" w:cs="宋体"/>
          <w:color w:val="auto"/>
          <w:kern w:val="2"/>
          <w:sz w:val="21"/>
          <w:szCs w:val="21"/>
          <w:highlight w:val="none"/>
        </w:rPr>
        <w:t xml:space="preserve">12.2 </w:t>
      </w:r>
      <w:r>
        <w:rPr>
          <w:rFonts w:hint="eastAsia" w:hAnsi="宋体" w:cs="宋体"/>
          <w:color w:val="auto"/>
          <w:kern w:val="2"/>
          <w:sz w:val="21"/>
          <w:szCs w:val="21"/>
          <w:highlight w:val="none"/>
          <w:lang w:val="zh-CN"/>
        </w:rPr>
        <w:t>投标总报价包括采购文件要求全部货物及服务所需的费用、履行合同所有相关内容所需的费用、国家规定的所有税费及其他一切隐含或不可预见的费用。</w:t>
      </w:r>
    </w:p>
    <w:p>
      <w:pPr>
        <w:tabs>
          <w:tab w:val="left" w:pos="567"/>
        </w:tabs>
        <w:spacing w:line="360" w:lineRule="auto"/>
        <w:ind w:left="567" w:hanging="567"/>
        <w:jc w:val="both"/>
        <w:rPr>
          <w:rFonts w:hAnsi="宋体" w:cs="宋体"/>
          <w:color w:val="auto"/>
          <w:kern w:val="2"/>
          <w:sz w:val="21"/>
          <w:szCs w:val="21"/>
          <w:highlight w:val="none"/>
          <w:lang w:val="zh-CN"/>
        </w:rPr>
      </w:pPr>
      <w:r>
        <w:rPr>
          <w:rFonts w:hint="eastAsia" w:hAnsi="宋体" w:cs="宋体"/>
          <w:color w:val="auto"/>
          <w:kern w:val="2"/>
          <w:sz w:val="21"/>
          <w:szCs w:val="21"/>
          <w:highlight w:val="none"/>
        </w:rPr>
        <w:t xml:space="preserve">12.3 </w:t>
      </w:r>
      <w:r>
        <w:rPr>
          <w:rFonts w:hint="eastAsia" w:hAnsi="宋体" w:cs="宋体"/>
          <w:color w:val="auto"/>
          <w:kern w:val="2"/>
          <w:sz w:val="21"/>
          <w:szCs w:val="21"/>
          <w:highlight w:val="none"/>
          <w:lang w:val="zh-CN"/>
        </w:rPr>
        <w:t>投标人应以人民币为结算单位。</w:t>
      </w:r>
    </w:p>
    <w:p>
      <w:pPr>
        <w:tabs>
          <w:tab w:val="left" w:pos="720"/>
          <w:tab w:val="left" w:pos="3460"/>
        </w:tabs>
        <w:spacing w:line="360" w:lineRule="auto"/>
        <w:ind w:left="525" w:hanging="525" w:hangingChars="25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12.</w:t>
      </w:r>
      <w:r>
        <w:rPr>
          <w:rFonts w:hint="eastAsia" w:hAnsi="宋体" w:cs="宋体"/>
          <w:color w:val="auto"/>
          <w:kern w:val="2"/>
          <w:sz w:val="21"/>
          <w:szCs w:val="21"/>
          <w:highlight w:val="none"/>
        </w:rPr>
        <w:t>4</w:t>
      </w:r>
      <w:r>
        <w:rPr>
          <w:rFonts w:hint="eastAsia" w:hAnsi="宋体" w:cs="宋体"/>
          <w:color w:val="auto"/>
          <w:kern w:val="2"/>
          <w:sz w:val="21"/>
          <w:szCs w:val="21"/>
          <w:highlight w:val="none"/>
          <w:lang w:val="zh-CN"/>
        </w:rPr>
        <w:t xml:space="preserve"> 投标人投标总报价是以投标人可独立完成本项目，并在通过准确核算后，可满足预期实施效果、验收标准和符合自身合法利益的前提下所作出的综合性合理最终含税报价，对在投标文件和合同书中未有明确列述、投标方案设计遗漏失误、市场剧变、汇率、利率因素和不可预见的费用等均视为已完全考虑到并包括在投标总报价之内。投标人应自行增加项目正常、合法、安全运行及使用所必需但采购文件没有列明或包含的内容及费用，并在投标文件中加以详细说明，如果投标人在中标并签署合同后，在提供采购范围内的服务工作中出现的任何遗漏，均由中标人免费提供，采购人将不再支付任何费用。对超出常规、具有特别意义或会引起竞争非议的报价须作出特别说明。</w:t>
      </w:r>
    </w:p>
    <w:p>
      <w:pPr>
        <w:tabs>
          <w:tab w:val="left" w:pos="720"/>
          <w:tab w:val="left" w:pos="3460"/>
        </w:tabs>
        <w:spacing w:line="360" w:lineRule="auto"/>
        <w:ind w:left="525" w:hanging="525" w:hangingChars="25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12.</w:t>
      </w:r>
      <w:r>
        <w:rPr>
          <w:rFonts w:hint="eastAsia" w:hAnsi="宋体" w:cs="宋体"/>
          <w:color w:val="auto"/>
          <w:kern w:val="2"/>
          <w:sz w:val="21"/>
          <w:szCs w:val="21"/>
          <w:highlight w:val="none"/>
        </w:rPr>
        <w:t>5</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投标报价不是唯一的或不是固定不变的投标文件将被作为非响应性投标而被认定为</w:t>
      </w:r>
      <w:r>
        <w:rPr>
          <w:rFonts w:hint="eastAsia" w:hAnsi="宋体" w:cs="宋体"/>
          <w:b/>
          <w:bCs/>
          <w:color w:val="auto"/>
          <w:kern w:val="2"/>
          <w:sz w:val="21"/>
          <w:szCs w:val="21"/>
          <w:highlight w:val="none"/>
          <w:lang w:val="zh-CN"/>
        </w:rPr>
        <w:t>无效投标</w:t>
      </w:r>
      <w:r>
        <w:rPr>
          <w:rFonts w:hint="eastAsia" w:hAnsi="宋体" w:cs="宋体"/>
          <w:color w:val="auto"/>
          <w:kern w:val="2"/>
          <w:sz w:val="21"/>
          <w:szCs w:val="21"/>
          <w:highlight w:val="none"/>
          <w:lang w:val="zh-CN"/>
        </w:rPr>
        <w:t>。投标人所报的投标价在合同执行期间是固定不变的，投标人不得以任何理由予以变更。</w:t>
      </w:r>
    </w:p>
    <w:p>
      <w:pPr>
        <w:tabs>
          <w:tab w:val="left" w:pos="567"/>
        </w:tabs>
        <w:spacing w:line="360" w:lineRule="auto"/>
        <w:ind w:left="567" w:hanging="567"/>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13</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证明投标人的合格性的证明文件</w:t>
      </w:r>
    </w:p>
    <w:p>
      <w:pPr>
        <w:tabs>
          <w:tab w:val="left" w:pos="567"/>
        </w:tabs>
        <w:spacing w:line="360" w:lineRule="auto"/>
        <w:ind w:left="567" w:hanging="567"/>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13.1</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根据</w:t>
      </w:r>
      <w:r>
        <w:rPr>
          <w:color w:val="auto"/>
          <w:highlight w:val="none"/>
        </w:rPr>
        <w:fldChar w:fldCharType="begin"/>
      </w:r>
      <w:r>
        <w:rPr>
          <w:color w:val="auto"/>
          <w:highlight w:val="none"/>
        </w:rPr>
        <w:instrText xml:space="preserve"> HYPERLINK "file:///E:\\wechat-data\\WeChat%20Files\\tastefan\\FileStorage\\File\\Documents\\WeChat%20Files\\qiao779994\\FileStorage\\File\\Documents\\WeChat%20Files\\qiao779994\\FileStorage\\AppData\\Roaming\\Foxmail7\\Temp-19204-20210317083708\\l" </w:instrText>
      </w:r>
      <w:r>
        <w:rPr>
          <w:color w:val="auto"/>
          <w:highlight w:val="none"/>
        </w:rPr>
        <w:fldChar w:fldCharType="separate"/>
      </w:r>
      <w:r>
        <w:rPr>
          <w:rFonts w:hint="eastAsia" w:hAnsi="宋体" w:cs="宋体"/>
          <w:color w:val="auto"/>
          <w:kern w:val="2"/>
          <w:sz w:val="21"/>
          <w:szCs w:val="21"/>
          <w:highlight w:val="none"/>
          <w:lang w:val="zh-CN"/>
        </w:rPr>
        <w:t>第13.2款</w:t>
      </w:r>
      <w:r>
        <w:rPr>
          <w:rFonts w:hint="eastAsia" w:hAnsi="宋体" w:cs="宋体"/>
          <w:color w:val="auto"/>
          <w:kern w:val="2"/>
          <w:sz w:val="21"/>
          <w:szCs w:val="21"/>
          <w:highlight w:val="none"/>
          <w:lang w:val="zh-CN"/>
        </w:rPr>
        <w:fldChar w:fldCharType="end"/>
      </w:r>
      <w:r>
        <w:rPr>
          <w:rFonts w:hint="eastAsia" w:hAnsi="宋体" w:cs="宋体"/>
          <w:color w:val="auto"/>
          <w:kern w:val="2"/>
          <w:sz w:val="21"/>
          <w:szCs w:val="21"/>
          <w:highlight w:val="none"/>
          <w:lang w:val="zh-CN"/>
        </w:rPr>
        <w:t>规定，投标人须提交证明其有资格进行投标和有能力履行合同的文件，作为投标文件的一部分。</w:t>
      </w:r>
    </w:p>
    <w:p>
      <w:pPr>
        <w:spacing w:line="360" w:lineRule="auto"/>
        <w:ind w:left="567" w:hanging="567"/>
        <w:jc w:val="both"/>
        <w:rPr>
          <w:rFonts w:hAnsi="宋体" w:cs="宋体"/>
          <w:color w:val="auto"/>
          <w:kern w:val="2"/>
          <w:sz w:val="21"/>
          <w:szCs w:val="21"/>
          <w:highlight w:val="none"/>
          <w:vertAlign w:val="superscript"/>
          <w:lang w:val="zh-CN"/>
        </w:rPr>
      </w:pPr>
      <w:r>
        <w:rPr>
          <w:rFonts w:hint="eastAsia" w:hAnsi="宋体" w:cs="宋体"/>
          <w:color w:val="auto"/>
          <w:kern w:val="2"/>
          <w:sz w:val="21"/>
          <w:szCs w:val="21"/>
          <w:highlight w:val="none"/>
          <w:lang w:val="zh-CN"/>
        </w:rPr>
        <w:t>13.2</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投标人提供的履行合同的资格证明文件</w:t>
      </w:r>
      <w:r>
        <w:rPr>
          <w:rFonts w:hint="eastAsia" w:hAnsi="宋体" w:cs="宋体"/>
          <w:color w:val="auto"/>
          <w:sz w:val="21"/>
          <w:szCs w:val="21"/>
          <w:highlight w:val="none"/>
        </w:rPr>
        <w:t>：详</w:t>
      </w:r>
      <w:r>
        <w:rPr>
          <w:rFonts w:hint="eastAsia" w:hAnsi="宋体" w:cs="宋体"/>
          <w:color w:val="auto"/>
          <w:kern w:val="2"/>
          <w:sz w:val="21"/>
          <w:szCs w:val="21"/>
          <w:highlight w:val="none"/>
          <w:lang w:val="zh-CN"/>
        </w:rPr>
        <w:t>见</w:t>
      </w:r>
      <w:r>
        <w:rPr>
          <w:rFonts w:hint="eastAsia" w:hAnsi="宋体" w:cs="宋体"/>
          <w:color w:val="auto"/>
          <w:sz w:val="21"/>
          <w:szCs w:val="21"/>
          <w:highlight w:val="none"/>
        </w:rPr>
        <w:t>《投标文件格式》。</w:t>
      </w:r>
    </w:p>
    <w:p>
      <w:pPr>
        <w:tabs>
          <w:tab w:val="left" w:pos="567"/>
        </w:tabs>
        <w:spacing w:line="360" w:lineRule="auto"/>
        <w:ind w:left="567" w:hanging="567"/>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14</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证明货物和服务的合格性并符合采购文件规定的声明文件</w:t>
      </w:r>
    </w:p>
    <w:p>
      <w:pPr>
        <w:tabs>
          <w:tab w:val="left" w:pos="567"/>
        </w:tabs>
        <w:spacing w:line="360" w:lineRule="auto"/>
        <w:ind w:left="567" w:hanging="567"/>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14.1</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投标人须提交证明其所提供的货物和服务的合格性并符合采购文件规定的声明文件，作为投标文件的一部分。</w:t>
      </w:r>
    </w:p>
    <w:p>
      <w:pPr>
        <w:tabs>
          <w:tab w:val="left" w:pos="567"/>
        </w:tabs>
        <w:spacing w:line="360" w:lineRule="auto"/>
        <w:ind w:left="567" w:hanging="567"/>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14.2 证明货物和服务与采购文件的要求相一致的文件可以是文字资料、图纸和数据资料。</w:t>
      </w:r>
    </w:p>
    <w:p>
      <w:pPr>
        <w:tabs>
          <w:tab w:val="left" w:pos="567"/>
        </w:tabs>
        <w:spacing w:line="360" w:lineRule="auto"/>
        <w:ind w:left="567" w:hanging="567"/>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 xml:space="preserve">14.3 为说明第14.1款的规定，投标人应注意本采购文件在《用户需求书》中对服务、技术要求所描述的特征或说明等仅系说明并非进行限制，投标人按行业技术和以往的服务经验，投标人可提出替代方案，但该替代方案应相当于或优胜于《用户需求书》中的规定，合格优质的完成采购内容和包含的全部实际工序及服务，以使采购人满意。 </w:t>
      </w:r>
    </w:p>
    <w:p>
      <w:pPr>
        <w:tabs>
          <w:tab w:val="left" w:pos="567"/>
        </w:tabs>
        <w:spacing w:line="360" w:lineRule="auto"/>
        <w:ind w:left="567" w:hanging="567"/>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15</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投标保证金</w:t>
      </w:r>
    </w:p>
    <w:p>
      <w:pPr>
        <w:tabs>
          <w:tab w:val="left" w:pos="567"/>
        </w:tabs>
        <w:spacing w:line="360" w:lineRule="auto"/>
        <w:ind w:left="567" w:hanging="567"/>
        <w:rPr>
          <w:rFonts w:hAnsi="宋体" w:cs="宋体"/>
          <w:b/>
          <w:color w:val="auto"/>
          <w:sz w:val="21"/>
          <w:szCs w:val="21"/>
          <w:highlight w:val="none"/>
        </w:rPr>
      </w:pPr>
      <w:r>
        <w:rPr>
          <w:rFonts w:hint="eastAsia" w:hAnsi="宋体" w:cs="宋体"/>
          <w:b/>
          <w:color w:val="auto"/>
          <w:kern w:val="2"/>
          <w:sz w:val="21"/>
          <w:szCs w:val="21"/>
          <w:highlight w:val="none"/>
          <w:lang w:val="zh-CN"/>
        </w:rPr>
        <w:t xml:space="preserve">15.1 </w:t>
      </w:r>
      <w:r>
        <w:rPr>
          <w:rFonts w:hint="eastAsia" w:hAnsi="宋体" w:cs="宋体"/>
          <w:b/>
          <w:color w:val="auto"/>
          <w:sz w:val="21"/>
          <w:szCs w:val="21"/>
          <w:highlight w:val="none"/>
        </w:rPr>
        <w:t>投标保证金金额及账户信息及方式：详</w:t>
      </w:r>
      <w:r>
        <w:rPr>
          <w:rFonts w:hint="eastAsia" w:hAnsi="宋体" w:cs="宋体"/>
          <w:b/>
          <w:color w:val="auto"/>
          <w:kern w:val="2"/>
          <w:sz w:val="21"/>
          <w:szCs w:val="21"/>
          <w:highlight w:val="none"/>
          <w:lang w:val="zh-CN"/>
        </w:rPr>
        <w:t>见</w:t>
      </w:r>
      <w:r>
        <w:rPr>
          <w:rFonts w:hint="eastAsia" w:hAnsi="宋体" w:cs="宋体"/>
          <w:b/>
          <w:color w:val="auto"/>
          <w:sz w:val="21"/>
          <w:szCs w:val="21"/>
          <w:highlight w:val="none"/>
        </w:rPr>
        <w:t>《投标人须知前附表》。</w:t>
      </w:r>
    </w:p>
    <w:p>
      <w:pPr>
        <w:tabs>
          <w:tab w:val="left" w:pos="567"/>
        </w:tabs>
        <w:spacing w:line="360" w:lineRule="auto"/>
        <w:ind w:left="567" w:hanging="567" w:hangingChars="270"/>
        <w:rPr>
          <w:rFonts w:hAnsi="宋体" w:cs="宋体"/>
          <w:color w:val="auto"/>
          <w:sz w:val="21"/>
          <w:szCs w:val="21"/>
          <w:highlight w:val="none"/>
        </w:rPr>
      </w:pPr>
      <w:r>
        <w:rPr>
          <w:rFonts w:hint="eastAsia" w:hAnsi="宋体" w:cs="宋体"/>
          <w:bCs/>
          <w:color w:val="auto"/>
          <w:kern w:val="2"/>
          <w:sz w:val="21"/>
          <w:szCs w:val="21"/>
          <w:highlight w:val="none"/>
          <w:lang w:val="zh-CN"/>
        </w:rPr>
        <w:t>15.2</w:t>
      </w:r>
      <w:r>
        <w:rPr>
          <w:rFonts w:hint="eastAsia" w:hAnsi="宋体" w:cs="宋体"/>
          <w:b/>
          <w:bCs/>
          <w:color w:val="auto"/>
          <w:kern w:val="2"/>
          <w:sz w:val="21"/>
          <w:szCs w:val="21"/>
          <w:highlight w:val="none"/>
          <w:lang w:val="zh-CN"/>
        </w:rPr>
        <w:t xml:space="preserve"> </w:t>
      </w:r>
      <w:r>
        <w:rPr>
          <w:rFonts w:hint="eastAsia" w:hAnsi="宋体" w:cs="宋体"/>
          <w:color w:val="auto"/>
          <w:sz w:val="21"/>
          <w:szCs w:val="21"/>
          <w:highlight w:val="none"/>
        </w:rPr>
        <w:t>投标保证金是用于保护本次采购免受投标人的行为而引起的风险，采购人在因投标人的行为受到损害时可根据第15.7款规定，予以没收投标保证金。</w:t>
      </w:r>
    </w:p>
    <w:p>
      <w:pPr>
        <w:tabs>
          <w:tab w:val="left" w:pos="567"/>
        </w:tabs>
        <w:spacing w:line="360" w:lineRule="auto"/>
        <w:ind w:left="567" w:hanging="567"/>
        <w:rPr>
          <w:rFonts w:hAnsi="宋体" w:cs="宋体"/>
          <w:b/>
          <w:bCs/>
          <w:color w:val="auto"/>
          <w:sz w:val="21"/>
          <w:szCs w:val="21"/>
          <w:highlight w:val="none"/>
        </w:rPr>
      </w:pPr>
      <w:r>
        <w:rPr>
          <w:rFonts w:hint="eastAsia" w:hAnsi="宋体" w:cs="宋体"/>
          <w:bCs/>
          <w:color w:val="auto"/>
          <w:kern w:val="2"/>
          <w:sz w:val="21"/>
          <w:szCs w:val="21"/>
          <w:highlight w:val="none"/>
          <w:lang w:val="zh-CN"/>
        </w:rPr>
        <w:t>15.</w:t>
      </w:r>
      <w:r>
        <w:rPr>
          <w:rFonts w:hint="eastAsia" w:hAnsi="宋体" w:cs="宋体"/>
          <w:bCs/>
          <w:color w:val="auto"/>
          <w:kern w:val="2"/>
          <w:sz w:val="21"/>
          <w:szCs w:val="21"/>
          <w:highlight w:val="none"/>
        </w:rPr>
        <w:t>3</w:t>
      </w:r>
      <w:r>
        <w:rPr>
          <w:rFonts w:hint="eastAsia" w:hAnsi="宋体" w:cs="宋体"/>
          <w:bCs/>
          <w:color w:val="auto"/>
          <w:kern w:val="2"/>
          <w:sz w:val="21"/>
          <w:szCs w:val="21"/>
          <w:highlight w:val="none"/>
          <w:lang w:val="zh-CN"/>
        </w:rPr>
        <w:t xml:space="preserve"> </w:t>
      </w:r>
      <w:r>
        <w:rPr>
          <w:rFonts w:hint="eastAsia" w:hAnsi="宋体" w:cs="宋体"/>
          <w:b/>
          <w:bCs/>
          <w:color w:val="auto"/>
          <w:sz w:val="21"/>
          <w:szCs w:val="21"/>
          <w:highlight w:val="none"/>
        </w:rPr>
        <w:t>投标保证金缴纳方式及注意事项：</w:t>
      </w:r>
    </w:p>
    <w:p>
      <w:pPr>
        <w:pStyle w:val="66"/>
        <w:widowControl/>
        <w:spacing w:line="360" w:lineRule="auto"/>
        <w:ind w:firstLine="422" w:firstLineChars="200"/>
        <w:jc w:val="left"/>
        <w:rPr>
          <w:rFonts w:ascii="宋体" w:eastAsia="宋体" w:cs="宋体"/>
          <w:b/>
          <w:color w:val="auto"/>
          <w:sz w:val="21"/>
          <w:szCs w:val="21"/>
          <w:highlight w:val="none"/>
        </w:rPr>
      </w:pPr>
      <w:r>
        <w:rPr>
          <w:rFonts w:hint="eastAsia" w:ascii="宋体" w:eastAsia="宋体" w:cs="宋体"/>
          <w:b/>
          <w:color w:val="auto"/>
          <w:sz w:val="21"/>
          <w:szCs w:val="21"/>
          <w:highlight w:val="none"/>
        </w:rPr>
        <w:t>（1）采用银行转账、电汇方式提交的，应符合下列规定：</w:t>
      </w:r>
    </w:p>
    <w:p>
      <w:pPr>
        <w:tabs>
          <w:tab w:val="left" w:pos="567"/>
        </w:tabs>
        <w:spacing w:line="360" w:lineRule="auto"/>
        <w:ind w:left="738" w:leftChars="220" w:hanging="210" w:hangingChars="100"/>
        <w:rPr>
          <w:rFonts w:hAnsi="宋体" w:cs="宋体"/>
          <w:color w:val="auto"/>
          <w:sz w:val="21"/>
          <w:szCs w:val="21"/>
          <w:highlight w:val="none"/>
        </w:rPr>
      </w:pPr>
      <w:r>
        <w:rPr>
          <w:rFonts w:hint="eastAsia" w:hAnsi="宋体" w:cs="宋体"/>
          <w:color w:val="auto"/>
          <w:sz w:val="21"/>
          <w:szCs w:val="21"/>
          <w:highlight w:val="none"/>
        </w:rPr>
        <w:t>①投标保证金必须投标人自有对公账户转出，不允许代缴，不接受银行柜台</w:t>
      </w:r>
      <w:r>
        <w:rPr>
          <w:rFonts w:hint="eastAsia" w:hAnsi="宋体" w:cs="宋体"/>
          <w:bCs/>
          <w:color w:val="auto"/>
          <w:sz w:val="21"/>
          <w:szCs w:val="21"/>
          <w:highlight w:val="none"/>
        </w:rPr>
        <w:t>交纳</w:t>
      </w:r>
      <w:r>
        <w:rPr>
          <w:rFonts w:hint="eastAsia" w:hAnsi="宋体" w:cs="宋体"/>
          <w:color w:val="auto"/>
          <w:sz w:val="21"/>
          <w:szCs w:val="21"/>
          <w:highlight w:val="none"/>
        </w:rPr>
        <w:t>现金方式，投标保证金必须以投标人的名称（以分公司或子公司转账无效）。</w:t>
      </w:r>
    </w:p>
    <w:p>
      <w:pPr>
        <w:tabs>
          <w:tab w:val="left" w:pos="567"/>
        </w:tabs>
        <w:spacing w:line="360" w:lineRule="auto"/>
        <w:ind w:left="738" w:leftChars="220" w:hanging="210" w:hangingChars="100"/>
        <w:rPr>
          <w:rFonts w:hAnsi="宋体" w:cs="宋体"/>
          <w:color w:val="auto"/>
          <w:sz w:val="21"/>
          <w:szCs w:val="21"/>
          <w:highlight w:val="none"/>
        </w:rPr>
      </w:pPr>
      <w:r>
        <w:rPr>
          <w:rFonts w:hint="eastAsia" w:hAnsi="宋体" w:cs="宋体"/>
          <w:color w:val="auto"/>
          <w:sz w:val="21"/>
          <w:szCs w:val="21"/>
          <w:highlight w:val="none"/>
        </w:rPr>
        <w:t>②如对多个包进行投标的，投标人须对应所投包分别提交投标保证金。</w:t>
      </w:r>
    </w:p>
    <w:p>
      <w:pPr>
        <w:tabs>
          <w:tab w:val="left" w:pos="567"/>
        </w:tabs>
        <w:spacing w:line="360" w:lineRule="auto"/>
        <w:ind w:left="738" w:leftChars="220" w:hanging="210" w:hangingChars="100"/>
        <w:rPr>
          <w:rFonts w:hAnsi="宋体" w:cs="宋体"/>
          <w:bCs/>
          <w:color w:val="auto"/>
          <w:sz w:val="21"/>
          <w:szCs w:val="21"/>
          <w:highlight w:val="none"/>
        </w:rPr>
      </w:pPr>
      <w:r>
        <w:rPr>
          <w:rFonts w:hint="eastAsia" w:hAnsi="宋体" w:cs="宋体"/>
          <w:color w:val="auto"/>
          <w:sz w:val="21"/>
          <w:szCs w:val="21"/>
          <w:highlight w:val="none"/>
        </w:rPr>
        <w:t>③联合体投标的，应当以联合体各方或者联合体中牵头人的名义提交投标保证金。以联合体中牵头人名义提交的投标保证金，对联合体各成员具有约束力。</w:t>
      </w:r>
    </w:p>
    <w:p>
      <w:pPr>
        <w:tabs>
          <w:tab w:val="left" w:pos="567"/>
        </w:tabs>
        <w:spacing w:line="360" w:lineRule="auto"/>
        <w:ind w:left="738" w:leftChars="220" w:hanging="210" w:hangingChars="100"/>
        <w:rPr>
          <w:rFonts w:hAnsi="宋体" w:cs="宋体"/>
          <w:color w:val="auto"/>
          <w:sz w:val="21"/>
          <w:szCs w:val="21"/>
          <w:highlight w:val="none"/>
        </w:rPr>
      </w:pPr>
      <w:r>
        <w:rPr>
          <w:rFonts w:hint="eastAsia" w:hAnsi="宋体" w:cs="宋体"/>
          <w:color w:val="auto"/>
          <w:sz w:val="21"/>
          <w:szCs w:val="21"/>
          <w:highlight w:val="none"/>
        </w:rPr>
        <w:t>④</w:t>
      </w:r>
      <w:r>
        <w:rPr>
          <w:rFonts w:hint="eastAsia" w:hAnsi="宋体" w:cs="宋体"/>
          <w:bCs/>
          <w:color w:val="auto"/>
          <w:sz w:val="21"/>
          <w:szCs w:val="21"/>
          <w:highlight w:val="none"/>
        </w:rPr>
        <w:t>投标保证金未按规定时间到达指定账户或提交金额不足的，将被视为无效投标。</w:t>
      </w:r>
    </w:p>
    <w:p>
      <w:pPr>
        <w:tabs>
          <w:tab w:val="left" w:pos="567"/>
        </w:tabs>
        <w:spacing w:line="360" w:lineRule="auto"/>
        <w:ind w:left="577" w:leftChars="121" w:hanging="287" w:hangingChars="136"/>
        <w:rPr>
          <w:rFonts w:hAnsi="宋体" w:cs="宋体"/>
          <w:b/>
          <w:color w:val="auto"/>
          <w:sz w:val="21"/>
          <w:szCs w:val="21"/>
          <w:highlight w:val="none"/>
        </w:rPr>
      </w:pPr>
      <w:r>
        <w:rPr>
          <w:rFonts w:hint="eastAsia" w:hAnsi="宋体" w:cs="宋体"/>
          <w:b/>
          <w:color w:val="auto"/>
          <w:sz w:val="21"/>
          <w:szCs w:val="21"/>
          <w:highlight w:val="none"/>
        </w:rPr>
        <w:t>（2）采用《投标担保函》提交的，应符合下列规定：</w:t>
      </w:r>
    </w:p>
    <w:p>
      <w:pPr>
        <w:tabs>
          <w:tab w:val="left" w:pos="567"/>
        </w:tabs>
        <w:spacing w:line="360" w:lineRule="auto"/>
        <w:ind w:left="738" w:leftChars="220" w:hanging="210" w:hangingChars="100"/>
        <w:rPr>
          <w:rFonts w:hAnsi="宋体" w:cs="宋体"/>
          <w:color w:val="auto"/>
          <w:sz w:val="21"/>
          <w:szCs w:val="21"/>
          <w:highlight w:val="none"/>
        </w:rPr>
      </w:pPr>
      <w:r>
        <w:rPr>
          <w:rFonts w:hint="eastAsia" w:hAnsi="宋体" w:cs="宋体"/>
          <w:color w:val="auto"/>
          <w:sz w:val="21"/>
          <w:szCs w:val="21"/>
          <w:highlight w:val="none"/>
        </w:rPr>
        <w:t>①投标保证金可以以专业担保机构或金融机构出具的担保函的方式提交；</w:t>
      </w:r>
    </w:p>
    <w:p>
      <w:pPr>
        <w:tabs>
          <w:tab w:val="left" w:pos="567"/>
        </w:tabs>
        <w:spacing w:line="360" w:lineRule="auto"/>
        <w:ind w:firstLine="525" w:firstLineChars="250"/>
        <w:rPr>
          <w:rFonts w:hAnsi="宋体" w:cs="宋体"/>
          <w:color w:val="auto"/>
          <w:sz w:val="21"/>
          <w:szCs w:val="21"/>
          <w:highlight w:val="none"/>
        </w:rPr>
      </w:pPr>
      <w:r>
        <w:rPr>
          <w:rFonts w:hint="eastAsia" w:hAnsi="宋体" w:cs="宋体"/>
          <w:color w:val="auto"/>
          <w:sz w:val="21"/>
          <w:szCs w:val="21"/>
          <w:highlight w:val="none"/>
        </w:rPr>
        <w:t>②投标担保函有效期应与投标有效期一致；</w:t>
      </w:r>
    </w:p>
    <w:p>
      <w:pPr>
        <w:tabs>
          <w:tab w:val="left" w:pos="567"/>
        </w:tabs>
        <w:spacing w:line="360" w:lineRule="auto"/>
        <w:ind w:left="738" w:leftChars="220" w:hanging="210" w:hangingChars="100"/>
        <w:rPr>
          <w:rFonts w:hAnsi="宋体" w:cs="宋体"/>
          <w:color w:val="auto"/>
          <w:sz w:val="21"/>
          <w:szCs w:val="21"/>
          <w:highlight w:val="none"/>
        </w:rPr>
      </w:pPr>
      <w:r>
        <w:rPr>
          <w:rFonts w:hint="eastAsia" w:hAnsi="宋体" w:cs="宋体"/>
          <w:color w:val="auto"/>
          <w:sz w:val="21"/>
          <w:szCs w:val="21"/>
          <w:highlight w:val="none"/>
        </w:rPr>
        <w:t>③投标担保金额不得少于本项目的投标保证金；</w:t>
      </w:r>
    </w:p>
    <w:p>
      <w:pPr>
        <w:tabs>
          <w:tab w:val="left" w:pos="567"/>
        </w:tabs>
        <w:spacing w:line="360" w:lineRule="auto"/>
        <w:ind w:left="738" w:leftChars="220" w:hanging="210" w:hangingChars="100"/>
        <w:rPr>
          <w:rFonts w:hAnsi="宋体" w:cs="宋体"/>
          <w:color w:val="auto"/>
          <w:sz w:val="21"/>
          <w:szCs w:val="21"/>
          <w:highlight w:val="none"/>
        </w:rPr>
      </w:pPr>
      <w:r>
        <w:rPr>
          <w:rFonts w:hint="eastAsia" w:hAnsi="宋体" w:cs="宋体"/>
          <w:color w:val="auto"/>
          <w:sz w:val="21"/>
          <w:szCs w:val="21"/>
          <w:highlight w:val="none"/>
        </w:rPr>
        <w:t>④未按要求提交《投标担保函》的，将被视为无效投标。</w:t>
      </w:r>
    </w:p>
    <w:p>
      <w:pPr>
        <w:tabs>
          <w:tab w:val="left" w:pos="567"/>
        </w:tabs>
        <w:spacing w:line="360" w:lineRule="auto"/>
        <w:rPr>
          <w:rFonts w:hAnsi="宋体" w:cs="宋体"/>
          <w:color w:val="auto"/>
          <w:sz w:val="21"/>
          <w:szCs w:val="21"/>
          <w:highlight w:val="none"/>
        </w:rPr>
      </w:pPr>
      <w:r>
        <w:rPr>
          <w:rFonts w:hint="eastAsia" w:hAnsi="宋体" w:cs="宋体"/>
          <w:color w:val="auto"/>
          <w:sz w:val="21"/>
          <w:szCs w:val="21"/>
          <w:highlight w:val="none"/>
          <w:lang w:val="zh-CN"/>
        </w:rPr>
        <w:t>15.</w:t>
      </w:r>
      <w:r>
        <w:rPr>
          <w:rFonts w:hint="eastAsia" w:hAnsi="宋体" w:cs="宋体"/>
          <w:color w:val="auto"/>
          <w:sz w:val="21"/>
          <w:szCs w:val="21"/>
          <w:highlight w:val="none"/>
        </w:rPr>
        <w:t>4</w:t>
      </w:r>
      <w:r>
        <w:rPr>
          <w:rFonts w:hint="eastAsia" w:hAnsi="宋体" w:cs="宋体"/>
          <w:color w:val="auto"/>
          <w:sz w:val="21"/>
          <w:szCs w:val="21"/>
          <w:highlight w:val="none"/>
          <w:lang w:val="zh-CN"/>
        </w:rPr>
        <w:t xml:space="preserve"> </w:t>
      </w:r>
      <w:r>
        <w:rPr>
          <w:rFonts w:hint="eastAsia" w:hAnsi="宋体" w:cs="宋体"/>
          <w:color w:val="auto"/>
          <w:sz w:val="21"/>
          <w:szCs w:val="21"/>
          <w:highlight w:val="none"/>
        </w:rPr>
        <w:t>凡没有根据本须知的规定提交投标保证金的投标，将被视为非响应性投标</w:t>
      </w:r>
      <w:r>
        <w:rPr>
          <w:rFonts w:hint="eastAsia" w:hAnsi="宋体" w:cs="宋体"/>
          <w:color w:val="auto"/>
          <w:kern w:val="2"/>
          <w:sz w:val="21"/>
          <w:szCs w:val="21"/>
          <w:highlight w:val="none"/>
          <w:lang w:val="zh-CN"/>
        </w:rPr>
        <w:t>作无效投标处理</w:t>
      </w:r>
      <w:r>
        <w:rPr>
          <w:rFonts w:hint="eastAsia" w:hAnsi="宋体" w:cs="宋体"/>
          <w:color w:val="auto"/>
          <w:sz w:val="21"/>
          <w:szCs w:val="21"/>
          <w:highlight w:val="none"/>
        </w:rPr>
        <w:t>。</w:t>
      </w:r>
    </w:p>
    <w:p>
      <w:pPr>
        <w:tabs>
          <w:tab w:val="left" w:pos="567"/>
        </w:tabs>
        <w:spacing w:line="360" w:lineRule="auto"/>
        <w:ind w:left="567" w:hanging="567" w:hangingChars="270"/>
        <w:rPr>
          <w:rFonts w:hAnsi="宋体" w:cs="宋体"/>
          <w:color w:val="auto"/>
          <w:sz w:val="21"/>
          <w:szCs w:val="21"/>
          <w:highlight w:val="none"/>
        </w:rPr>
      </w:pPr>
      <w:r>
        <w:rPr>
          <w:rFonts w:hint="eastAsia" w:hAnsi="宋体" w:cs="宋体"/>
          <w:bCs/>
          <w:color w:val="auto"/>
          <w:kern w:val="2"/>
          <w:sz w:val="21"/>
          <w:szCs w:val="21"/>
          <w:highlight w:val="none"/>
          <w:lang w:val="zh-CN"/>
        </w:rPr>
        <w:t>15.</w:t>
      </w:r>
      <w:r>
        <w:rPr>
          <w:rFonts w:hint="eastAsia" w:hAnsi="宋体" w:cs="宋体"/>
          <w:bCs/>
          <w:color w:val="auto"/>
          <w:kern w:val="2"/>
          <w:sz w:val="21"/>
          <w:szCs w:val="21"/>
          <w:highlight w:val="none"/>
        </w:rPr>
        <w:t>5</w:t>
      </w:r>
      <w:r>
        <w:rPr>
          <w:rFonts w:hint="eastAsia" w:hAnsi="宋体" w:cs="宋体"/>
          <w:bCs/>
          <w:color w:val="auto"/>
          <w:kern w:val="2"/>
          <w:sz w:val="21"/>
          <w:szCs w:val="21"/>
          <w:highlight w:val="none"/>
          <w:lang w:val="zh-CN"/>
        </w:rPr>
        <w:t xml:space="preserve"> </w:t>
      </w:r>
      <w:r>
        <w:rPr>
          <w:rFonts w:hint="eastAsia" w:hAnsi="宋体" w:cs="宋体"/>
          <w:color w:val="auto"/>
          <w:sz w:val="21"/>
          <w:szCs w:val="21"/>
          <w:highlight w:val="none"/>
        </w:rPr>
        <w:t>未中标的投标人的投标保证金将在本项目《中标通知书》发出之日起5个工作日内由采购代理机构协助办理退还手续（不计利息）。采用</w:t>
      </w:r>
      <w:r>
        <w:rPr>
          <w:rFonts w:hint="eastAsia" w:hAnsi="宋体" w:cs="宋体"/>
          <w:bCs/>
          <w:color w:val="auto"/>
          <w:sz w:val="21"/>
          <w:szCs w:val="21"/>
          <w:highlight w:val="none"/>
          <w:lang w:val="zh-CN"/>
        </w:rPr>
        <w:t>投标保函方式递交投标保证金的投标人，在</w:t>
      </w:r>
      <w:r>
        <w:rPr>
          <w:rFonts w:hint="eastAsia" w:hAnsi="宋体" w:cs="宋体"/>
          <w:color w:val="auto"/>
          <w:sz w:val="21"/>
          <w:szCs w:val="21"/>
          <w:highlight w:val="none"/>
        </w:rPr>
        <w:t>《中标通知书》发出之日起5个工作日内，凭《投标担保函送达回执单》前往采购代理机构办理退还投标保函。</w:t>
      </w:r>
    </w:p>
    <w:p>
      <w:pPr>
        <w:tabs>
          <w:tab w:val="left" w:pos="567"/>
        </w:tabs>
        <w:spacing w:line="360" w:lineRule="auto"/>
        <w:ind w:left="567" w:hanging="567" w:hangingChars="270"/>
        <w:rPr>
          <w:rFonts w:hAnsi="宋体" w:cs="宋体"/>
          <w:color w:val="auto"/>
          <w:sz w:val="21"/>
          <w:szCs w:val="21"/>
          <w:highlight w:val="none"/>
        </w:rPr>
      </w:pPr>
      <w:r>
        <w:rPr>
          <w:rFonts w:hint="eastAsia" w:hAnsi="宋体" w:cs="宋体"/>
          <w:bCs/>
          <w:color w:val="auto"/>
          <w:kern w:val="2"/>
          <w:sz w:val="21"/>
          <w:szCs w:val="21"/>
          <w:highlight w:val="none"/>
          <w:lang w:val="zh-CN"/>
        </w:rPr>
        <w:t>15.</w:t>
      </w:r>
      <w:r>
        <w:rPr>
          <w:rFonts w:hint="eastAsia" w:hAnsi="宋体" w:cs="宋体"/>
          <w:bCs/>
          <w:color w:val="auto"/>
          <w:kern w:val="2"/>
          <w:sz w:val="21"/>
          <w:szCs w:val="21"/>
          <w:highlight w:val="none"/>
        </w:rPr>
        <w:t>6</w:t>
      </w:r>
      <w:r>
        <w:rPr>
          <w:rFonts w:hint="eastAsia" w:hAnsi="宋体" w:cs="宋体"/>
          <w:bCs/>
          <w:color w:val="auto"/>
          <w:kern w:val="2"/>
          <w:sz w:val="21"/>
          <w:szCs w:val="21"/>
          <w:highlight w:val="none"/>
          <w:lang w:val="zh-CN"/>
        </w:rPr>
        <w:t xml:space="preserve"> </w:t>
      </w:r>
      <w:r>
        <w:rPr>
          <w:rFonts w:hint="eastAsia" w:hAnsi="宋体" w:cs="宋体"/>
          <w:color w:val="auto"/>
          <w:sz w:val="21"/>
          <w:szCs w:val="21"/>
          <w:highlight w:val="none"/>
        </w:rPr>
        <w:t>中标人的投标保证金的退还必须同时满足以下要求，合同签订之日起5个工作日内提供合同原件一份到采购代理机构处，由采购代理机构协助办理退还投标保证金（不计利息），采用投标保函的同时提供《投标担保函送达回执单》。逾期办理的，采购代理机构不承担迟延退款责任。</w:t>
      </w:r>
    </w:p>
    <w:p>
      <w:pPr>
        <w:tabs>
          <w:tab w:val="left" w:pos="567"/>
        </w:tabs>
        <w:spacing w:line="360" w:lineRule="auto"/>
        <w:ind w:left="567" w:hanging="567"/>
        <w:rPr>
          <w:rFonts w:hAnsi="宋体" w:cs="宋体"/>
          <w:color w:val="auto"/>
          <w:sz w:val="21"/>
          <w:szCs w:val="21"/>
          <w:highlight w:val="none"/>
        </w:rPr>
      </w:pPr>
      <w:r>
        <w:rPr>
          <w:rFonts w:hint="eastAsia" w:hAnsi="宋体" w:cs="宋体"/>
          <w:bCs/>
          <w:color w:val="auto"/>
          <w:kern w:val="2"/>
          <w:sz w:val="21"/>
          <w:szCs w:val="21"/>
          <w:highlight w:val="none"/>
          <w:lang w:val="zh-CN"/>
        </w:rPr>
        <w:t>15.</w:t>
      </w:r>
      <w:r>
        <w:rPr>
          <w:rFonts w:hint="eastAsia" w:hAnsi="宋体" w:cs="宋体"/>
          <w:bCs/>
          <w:color w:val="auto"/>
          <w:kern w:val="2"/>
          <w:sz w:val="21"/>
          <w:szCs w:val="21"/>
          <w:highlight w:val="none"/>
        </w:rPr>
        <w:t>7</w:t>
      </w:r>
      <w:r>
        <w:rPr>
          <w:rFonts w:hint="eastAsia" w:hAnsi="宋体" w:cs="宋体"/>
          <w:bCs/>
          <w:color w:val="auto"/>
          <w:kern w:val="2"/>
          <w:sz w:val="21"/>
          <w:szCs w:val="21"/>
          <w:highlight w:val="none"/>
          <w:lang w:val="zh-CN"/>
        </w:rPr>
        <w:t xml:space="preserve"> </w:t>
      </w:r>
      <w:r>
        <w:rPr>
          <w:rFonts w:hint="eastAsia" w:hAnsi="宋体" w:cs="宋体"/>
          <w:color w:val="auto"/>
          <w:sz w:val="21"/>
          <w:szCs w:val="21"/>
          <w:highlight w:val="none"/>
        </w:rPr>
        <w:t>下列任何一种情况发生时，投标保证金将不予退还，因此而造成采购人的损失须由投标人承担：</w:t>
      </w:r>
    </w:p>
    <w:p>
      <w:pPr>
        <w:tabs>
          <w:tab w:val="left" w:pos="567"/>
        </w:tabs>
        <w:spacing w:line="360" w:lineRule="auto"/>
        <w:ind w:left="571" w:leftChars="238"/>
        <w:rPr>
          <w:rFonts w:hAnsi="宋体" w:cs="宋体"/>
          <w:color w:val="auto"/>
          <w:sz w:val="21"/>
          <w:szCs w:val="21"/>
          <w:highlight w:val="none"/>
        </w:rPr>
      </w:pPr>
      <w:r>
        <w:rPr>
          <w:rFonts w:hint="eastAsia" w:hAnsi="宋体" w:cs="宋体"/>
          <w:color w:val="auto"/>
          <w:sz w:val="21"/>
          <w:szCs w:val="21"/>
          <w:highlight w:val="none"/>
        </w:rPr>
        <w:t>15.7.1投标人在采购文件规定的投标有效期内撤销其投标的。</w:t>
      </w:r>
    </w:p>
    <w:p>
      <w:pPr>
        <w:tabs>
          <w:tab w:val="left" w:pos="567"/>
        </w:tabs>
        <w:spacing w:line="360" w:lineRule="auto"/>
        <w:ind w:left="571" w:leftChars="238"/>
        <w:rPr>
          <w:rFonts w:hAnsi="宋体" w:cs="宋体"/>
          <w:color w:val="auto"/>
          <w:sz w:val="21"/>
          <w:szCs w:val="21"/>
          <w:highlight w:val="none"/>
        </w:rPr>
      </w:pPr>
      <w:r>
        <w:rPr>
          <w:rFonts w:hint="eastAsia" w:hAnsi="宋体" w:cs="宋体"/>
          <w:color w:val="auto"/>
          <w:sz w:val="21"/>
          <w:szCs w:val="21"/>
          <w:highlight w:val="none"/>
        </w:rPr>
        <w:t>15.7.2经监督管理部门审查认定投标人有违反有关法规的行为。</w:t>
      </w:r>
    </w:p>
    <w:p>
      <w:pPr>
        <w:tabs>
          <w:tab w:val="left" w:pos="567"/>
        </w:tabs>
        <w:spacing w:line="360" w:lineRule="auto"/>
        <w:ind w:left="571" w:leftChars="238"/>
        <w:rPr>
          <w:rFonts w:hAnsi="宋体" w:cs="宋体"/>
          <w:color w:val="auto"/>
          <w:sz w:val="21"/>
          <w:szCs w:val="21"/>
          <w:highlight w:val="none"/>
        </w:rPr>
      </w:pPr>
      <w:r>
        <w:rPr>
          <w:rFonts w:hint="eastAsia" w:hAnsi="宋体" w:cs="宋体"/>
          <w:color w:val="auto"/>
          <w:sz w:val="21"/>
          <w:szCs w:val="21"/>
          <w:highlight w:val="none"/>
        </w:rPr>
        <w:t>15.7.3中标人无正当理由不与采购人订立合同，在签订合同时向采购人提出附加条件，或者不按照采购文件要求提交履约保证金的；</w:t>
      </w:r>
    </w:p>
    <w:p>
      <w:pPr>
        <w:tabs>
          <w:tab w:val="left" w:pos="567"/>
        </w:tabs>
        <w:spacing w:line="360" w:lineRule="auto"/>
        <w:ind w:left="571" w:leftChars="238"/>
        <w:rPr>
          <w:rFonts w:hAnsi="宋体" w:cs="宋体"/>
          <w:color w:val="auto"/>
          <w:sz w:val="21"/>
          <w:szCs w:val="21"/>
          <w:highlight w:val="none"/>
        </w:rPr>
      </w:pPr>
      <w:r>
        <w:rPr>
          <w:rFonts w:hint="eastAsia" w:hAnsi="宋体" w:cs="宋体"/>
          <w:color w:val="auto"/>
          <w:sz w:val="21"/>
          <w:szCs w:val="21"/>
          <w:highlight w:val="none"/>
        </w:rPr>
        <w:t>15.7.4中标人将本项目转让给他人，或者在投标文件中未说明，且未经采购人同意，将中标项目分包给他人的；</w:t>
      </w:r>
    </w:p>
    <w:p>
      <w:pPr>
        <w:tabs>
          <w:tab w:val="left" w:pos="567"/>
        </w:tabs>
        <w:spacing w:line="360" w:lineRule="auto"/>
        <w:ind w:left="571" w:leftChars="238"/>
        <w:rPr>
          <w:rFonts w:hAnsi="宋体" w:cs="宋体"/>
          <w:color w:val="auto"/>
          <w:sz w:val="21"/>
          <w:szCs w:val="21"/>
          <w:highlight w:val="none"/>
        </w:rPr>
      </w:pPr>
      <w:r>
        <w:rPr>
          <w:rFonts w:hint="eastAsia" w:hAnsi="宋体" w:cs="宋体"/>
          <w:color w:val="auto"/>
          <w:sz w:val="21"/>
          <w:szCs w:val="21"/>
          <w:highlight w:val="none"/>
        </w:rPr>
        <w:t>15.7.5投标人提供虚假投标文件或虚假补充文件的。</w:t>
      </w:r>
    </w:p>
    <w:p>
      <w:pPr>
        <w:pStyle w:val="63"/>
        <w:ind w:firstLine="210"/>
        <w:rPr>
          <w:color w:val="auto"/>
          <w:highlight w:val="none"/>
        </w:rPr>
      </w:pPr>
    </w:p>
    <w:p>
      <w:pPr>
        <w:tabs>
          <w:tab w:val="left" w:pos="567"/>
        </w:tabs>
        <w:spacing w:line="360" w:lineRule="auto"/>
        <w:ind w:left="567" w:hanging="567"/>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16</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投标有效期</w:t>
      </w:r>
    </w:p>
    <w:p>
      <w:pPr>
        <w:tabs>
          <w:tab w:val="left" w:pos="567"/>
        </w:tabs>
        <w:spacing w:line="360" w:lineRule="auto"/>
        <w:ind w:left="567" w:hanging="567"/>
        <w:jc w:val="both"/>
        <w:rPr>
          <w:rFonts w:hAnsi="宋体" w:cs="宋体"/>
          <w:b/>
          <w:bCs/>
          <w:color w:val="auto"/>
          <w:kern w:val="2"/>
          <w:sz w:val="21"/>
          <w:szCs w:val="21"/>
          <w:highlight w:val="none"/>
          <w:lang w:val="zh-CN"/>
        </w:rPr>
      </w:pPr>
      <w:r>
        <w:rPr>
          <w:rFonts w:hint="eastAsia" w:hAnsi="宋体" w:cs="宋体"/>
          <w:color w:val="auto"/>
          <w:kern w:val="2"/>
          <w:sz w:val="21"/>
          <w:szCs w:val="21"/>
          <w:highlight w:val="none"/>
          <w:lang w:val="zh-CN"/>
        </w:rPr>
        <w:t>16.1</w:t>
      </w:r>
      <w:r>
        <w:rPr>
          <w:rFonts w:hint="eastAsia" w:hAnsi="宋体" w:cs="宋体"/>
          <w:color w:val="auto"/>
          <w:kern w:val="2"/>
          <w:sz w:val="21"/>
          <w:szCs w:val="21"/>
          <w:highlight w:val="none"/>
          <w:lang w:val="zh-CN"/>
        </w:rPr>
        <w:tab/>
      </w:r>
      <w:r>
        <w:rPr>
          <w:rFonts w:hint="eastAsia" w:hAnsi="宋体" w:cs="宋体"/>
          <w:bCs/>
          <w:color w:val="auto"/>
          <w:kern w:val="2"/>
          <w:sz w:val="21"/>
          <w:szCs w:val="21"/>
          <w:highlight w:val="none"/>
          <w:lang w:val="zh-CN"/>
        </w:rPr>
        <w:t>投标文件应在</w:t>
      </w:r>
      <w:r>
        <w:rPr>
          <w:rFonts w:hint="eastAsia" w:hAnsi="宋体" w:cs="宋体"/>
          <w:bCs/>
          <w:color w:val="auto"/>
          <w:sz w:val="21"/>
          <w:szCs w:val="21"/>
          <w:highlight w:val="none"/>
        </w:rPr>
        <w:t>《投标人须知前附表》</w:t>
      </w:r>
      <w:r>
        <w:rPr>
          <w:rFonts w:hint="eastAsia" w:hAnsi="宋体" w:cs="宋体"/>
          <w:bCs/>
          <w:color w:val="auto"/>
          <w:kern w:val="2"/>
          <w:sz w:val="21"/>
          <w:szCs w:val="21"/>
          <w:highlight w:val="none"/>
          <w:lang w:val="zh-CN"/>
        </w:rPr>
        <w:t>规定的时间内保持有效。投标有效期比规定时间短的将被视为非响应性投标</w:t>
      </w:r>
      <w:r>
        <w:rPr>
          <w:rFonts w:hint="eastAsia" w:hAnsi="宋体" w:cs="宋体"/>
          <w:color w:val="auto"/>
          <w:kern w:val="2"/>
          <w:sz w:val="21"/>
          <w:szCs w:val="21"/>
          <w:highlight w:val="none"/>
          <w:lang w:val="zh-CN"/>
        </w:rPr>
        <w:t>，将被认定为</w:t>
      </w:r>
      <w:r>
        <w:rPr>
          <w:rFonts w:hint="eastAsia" w:hAnsi="宋体" w:cs="宋体"/>
          <w:b/>
          <w:bCs/>
          <w:color w:val="auto"/>
          <w:kern w:val="2"/>
          <w:sz w:val="21"/>
          <w:szCs w:val="21"/>
          <w:highlight w:val="none"/>
          <w:lang w:val="zh-CN"/>
        </w:rPr>
        <w:t>无效投标</w:t>
      </w:r>
      <w:r>
        <w:rPr>
          <w:rFonts w:hint="eastAsia" w:hAnsi="宋体" w:cs="宋体"/>
          <w:color w:val="auto"/>
          <w:kern w:val="2"/>
          <w:sz w:val="21"/>
          <w:szCs w:val="21"/>
          <w:highlight w:val="none"/>
          <w:lang w:val="zh-CN"/>
        </w:rPr>
        <w:t>。</w:t>
      </w:r>
    </w:p>
    <w:p>
      <w:pPr>
        <w:spacing w:line="360" w:lineRule="auto"/>
        <w:ind w:left="567" w:hanging="567"/>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16.2</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中标人的投标文件作为合同附件，合同失效时同时失效。</w:t>
      </w:r>
    </w:p>
    <w:p>
      <w:pPr>
        <w:spacing w:line="360" w:lineRule="auto"/>
        <w:ind w:left="567" w:hanging="567"/>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16.3</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在特殊情况下，采购代理机构可于投标有效期满之前要求投标人同意延长有效期。要求与答复均应为书面形式往来。投标人可以拒绝上述要求而其投标保证金不被没收。对于同意该要求的投标人，既不要求也不允许其修改投标文件，但将要求其相应延长投标保证金的有效期。第15款投标保证金的有关规定在投标保证金延长期内仍适用。</w:t>
      </w:r>
    </w:p>
    <w:p>
      <w:pPr>
        <w:tabs>
          <w:tab w:val="left" w:pos="567"/>
        </w:tabs>
        <w:spacing w:line="360" w:lineRule="auto"/>
        <w:ind w:left="567" w:hanging="567"/>
        <w:jc w:val="both"/>
        <w:rPr>
          <w:rFonts w:hAnsi="宋体" w:cs="宋体"/>
          <w:b/>
          <w:bCs/>
          <w:color w:val="auto"/>
          <w:kern w:val="2"/>
          <w:sz w:val="21"/>
          <w:szCs w:val="21"/>
          <w:highlight w:val="none"/>
          <w:lang w:val="zh-CN"/>
        </w:rPr>
      </w:pPr>
      <w:r>
        <w:rPr>
          <w:rFonts w:hint="eastAsia" w:hAnsi="宋体" w:cs="宋体"/>
          <w:b/>
          <w:bCs/>
          <w:color w:val="auto"/>
          <w:kern w:val="2"/>
          <w:sz w:val="21"/>
          <w:szCs w:val="21"/>
          <w:highlight w:val="none"/>
          <w:lang w:val="zh-CN"/>
        </w:rPr>
        <w:t>17</w:t>
      </w:r>
      <w:r>
        <w:rPr>
          <w:rFonts w:hint="eastAsia" w:hAnsi="宋体" w:cs="宋体"/>
          <w:b/>
          <w:bCs/>
          <w:color w:val="auto"/>
          <w:kern w:val="2"/>
          <w:sz w:val="21"/>
          <w:szCs w:val="21"/>
          <w:highlight w:val="none"/>
          <w:lang w:val="zh-CN"/>
        </w:rPr>
        <w:tab/>
      </w:r>
      <w:r>
        <w:rPr>
          <w:rFonts w:hint="eastAsia" w:hAnsi="宋体" w:cs="宋体"/>
          <w:b/>
          <w:bCs/>
          <w:color w:val="auto"/>
          <w:kern w:val="2"/>
          <w:sz w:val="21"/>
          <w:szCs w:val="21"/>
          <w:highlight w:val="none"/>
          <w:lang w:val="zh-CN"/>
        </w:rPr>
        <w:t>投标文件的式样和签署</w:t>
      </w:r>
    </w:p>
    <w:p>
      <w:pPr>
        <w:spacing w:line="360" w:lineRule="auto"/>
        <w:ind w:left="567" w:hanging="567"/>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17.1</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投标人应按</w:t>
      </w:r>
      <w:r>
        <w:rPr>
          <w:rFonts w:hint="eastAsia" w:hAnsi="宋体" w:cs="宋体"/>
          <w:color w:val="auto"/>
          <w:sz w:val="21"/>
          <w:szCs w:val="21"/>
          <w:highlight w:val="none"/>
          <w:u w:val="single"/>
        </w:rPr>
        <w:t>《投标人须知前附表》的</w:t>
      </w:r>
      <w:r>
        <w:rPr>
          <w:rFonts w:hint="eastAsia" w:hAnsi="宋体" w:cs="宋体"/>
          <w:color w:val="auto"/>
          <w:kern w:val="2"/>
          <w:sz w:val="21"/>
          <w:szCs w:val="21"/>
          <w:highlight w:val="none"/>
          <w:lang w:val="zh-CN"/>
        </w:rPr>
        <w:t>份数规定准备投标文件正本、副本、唱标信封和电子文件，</w:t>
      </w:r>
      <w:r>
        <w:rPr>
          <w:rFonts w:hint="eastAsia" w:hAnsi="宋体" w:cs="宋体"/>
          <w:color w:val="auto"/>
          <w:sz w:val="21"/>
          <w:szCs w:val="21"/>
          <w:highlight w:val="none"/>
        </w:rPr>
        <w:t>每一份投标文件均需编上页次，装订成册（不允许使用活页夹，否则由此产生的风险由投标人自行承担）。</w:t>
      </w:r>
      <w:r>
        <w:rPr>
          <w:rFonts w:hint="eastAsia" w:hAnsi="宋体" w:cs="宋体"/>
          <w:color w:val="auto"/>
          <w:kern w:val="2"/>
          <w:sz w:val="21"/>
          <w:szCs w:val="21"/>
          <w:highlight w:val="none"/>
          <w:lang w:val="zh-CN"/>
        </w:rPr>
        <w:t>所有投标文件必须封入密封完好的信封或包装，封口加盖公章。</w:t>
      </w:r>
    </w:p>
    <w:p>
      <w:pPr>
        <w:tabs>
          <w:tab w:val="left" w:pos="567"/>
        </w:tabs>
        <w:spacing w:line="360" w:lineRule="auto"/>
        <w:ind w:left="567" w:hanging="567"/>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17.2</w:t>
      </w:r>
      <w:r>
        <w:rPr>
          <w:rFonts w:hint="eastAsia" w:hAnsi="宋体" w:cs="宋体"/>
          <w:color w:val="auto"/>
          <w:kern w:val="2"/>
          <w:sz w:val="21"/>
          <w:szCs w:val="21"/>
          <w:highlight w:val="none"/>
          <w:lang w:val="zh-CN"/>
        </w:rPr>
        <w:tab/>
      </w:r>
      <w:r>
        <w:rPr>
          <w:rFonts w:hint="eastAsia" w:hAnsi="宋体" w:cs="宋体"/>
          <w:bCs/>
          <w:color w:val="auto"/>
          <w:kern w:val="2"/>
          <w:sz w:val="21"/>
          <w:szCs w:val="21"/>
          <w:highlight w:val="none"/>
          <w:lang w:val="zh-CN"/>
        </w:rPr>
        <w:t>投标文件正本和副本须打印或用不褪色墨水书写，按采购文件“投标文件格式”中要求盖公章、签名或盖私章的，供应商应按要求加盖公章、签名或加盖私章。</w:t>
      </w:r>
      <w:r>
        <w:rPr>
          <w:rFonts w:hint="eastAsia" w:hAnsi="宋体" w:cs="宋体"/>
          <w:color w:val="auto"/>
          <w:kern w:val="2"/>
          <w:sz w:val="21"/>
          <w:szCs w:val="21"/>
          <w:highlight w:val="none"/>
          <w:lang w:val="zh-CN"/>
        </w:rPr>
        <w:t>副本文件可由正本文件复印而成，每套投标文件封面应当标明“正本”、“副本”的字样。副本与正本具有同等法律效力。若正本与副本不符，以正本为准。</w:t>
      </w:r>
    </w:p>
    <w:p>
      <w:pPr>
        <w:spacing w:line="360" w:lineRule="auto"/>
        <w:ind w:left="567" w:hanging="567"/>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17.3</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法定代表人若委托其他人员作为投标代表的，委托代理人须持有书面的授权委托书，并将其附在投标文件中。如对投标文件进行了修改，则应由供应商法定代表人或其委托代理人在每一修改处签名（或加盖私章）。</w:t>
      </w:r>
    </w:p>
    <w:p>
      <w:pPr>
        <w:spacing w:line="360" w:lineRule="auto"/>
        <w:ind w:left="567" w:hanging="567"/>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17.4</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投标文件的[正本]及所有[副本]的</w:t>
      </w:r>
      <w:r>
        <w:rPr>
          <w:rFonts w:hint="eastAsia" w:hAnsi="宋体" w:cs="宋体"/>
          <w:b/>
          <w:color w:val="auto"/>
          <w:kern w:val="2"/>
          <w:sz w:val="21"/>
          <w:szCs w:val="21"/>
          <w:highlight w:val="none"/>
          <w:lang w:val="zh-CN"/>
        </w:rPr>
        <w:t>封面及骑缝</w:t>
      </w:r>
      <w:r>
        <w:rPr>
          <w:rFonts w:hint="eastAsia" w:hAnsi="宋体" w:cs="宋体"/>
          <w:color w:val="auto"/>
          <w:kern w:val="2"/>
          <w:sz w:val="21"/>
          <w:szCs w:val="21"/>
          <w:highlight w:val="none"/>
          <w:lang w:val="zh-CN"/>
        </w:rPr>
        <w:t>均须由投标人加盖公章。</w:t>
      </w:r>
    </w:p>
    <w:p>
      <w:pPr>
        <w:spacing w:line="360" w:lineRule="auto"/>
        <w:ind w:left="567" w:hanging="567"/>
        <w:jc w:val="both"/>
        <w:rPr>
          <w:rFonts w:hAnsi="宋体" w:cs="宋体"/>
          <w:b/>
          <w:bCs/>
          <w:color w:val="auto"/>
          <w:kern w:val="2"/>
          <w:sz w:val="21"/>
          <w:szCs w:val="21"/>
          <w:highlight w:val="none"/>
          <w:u w:val="single"/>
          <w:lang w:val="zh-CN"/>
        </w:rPr>
      </w:pPr>
      <w:r>
        <w:rPr>
          <w:rFonts w:hint="eastAsia" w:hAnsi="宋体" w:cs="宋体"/>
          <w:color w:val="auto"/>
          <w:kern w:val="2"/>
          <w:sz w:val="21"/>
          <w:szCs w:val="21"/>
          <w:highlight w:val="none"/>
          <w:lang w:val="zh-CN"/>
        </w:rPr>
        <w:t>17.5</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投标文件的封面应注明“采购项目名称、项目编号、投标人名称、投标日期等”。</w:t>
      </w:r>
    </w:p>
    <w:p>
      <w:pPr>
        <w:spacing w:line="360" w:lineRule="auto"/>
        <w:ind w:left="567" w:hanging="567"/>
        <w:jc w:val="both"/>
        <w:rPr>
          <w:rFonts w:hAnsi="宋体" w:cs="宋体"/>
          <w:b/>
          <w:bCs/>
          <w:color w:val="auto"/>
          <w:kern w:val="2"/>
          <w:sz w:val="21"/>
          <w:szCs w:val="21"/>
          <w:highlight w:val="none"/>
          <w:lang w:val="zh-CN"/>
        </w:rPr>
      </w:pPr>
      <w:r>
        <w:rPr>
          <w:rFonts w:hint="eastAsia" w:hAnsi="宋体" w:cs="宋体"/>
          <w:color w:val="auto"/>
          <w:kern w:val="2"/>
          <w:sz w:val="21"/>
          <w:szCs w:val="21"/>
          <w:highlight w:val="none"/>
          <w:lang w:val="zh-CN"/>
        </w:rPr>
        <w:t>17.6</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电子文件用U盘或CD-R光盘储存，并密封于“唱标信封”内，若电子文件的投标文件与纸质投标文件不符，以纸质投标文件为准。</w:t>
      </w:r>
    </w:p>
    <w:p>
      <w:pPr>
        <w:spacing w:line="360" w:lineRule="auto"/>
        <w:ind w:left="567" w:hanging="567"/>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17.7</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电报、电传、电子邮件、传真的投标概不接受。</w:t>
      </w:r>
    </w:p>
    <w:p>
      <w:pPr>
        <w:spacing w:line="360" w:lineRule="auto"/>
        <w:ind w:left="567" w:hanging="567"/>
        <w:jc w:val="both"/>
        <w:rPr>
          <w:rFonts w:hAnsi="宋体" w:cs="宋体"/>
          <w:color w:val="auto"/>
          <w:kern w:val="2"/>
          <w:sz w:val="21"/>
          <w:szCs w:val="21"/>
          <w:highlight w:val="none"/>
        </w:rPr>
      </w:pPr>
      <w:r>
        <w:rPr>
          <w:rFonts w:hint="eastAsia" w:hAnsi="宋体" w:cs="宋体"/>
          <w:color w:val="auto"/>
          <w:kern w:val="2"/>
          <w:sz w:val="21"/>
          <w:szCs w:val="21"/>
          <w:highlight w:val="none"/>
        </w:rPr>
        <w:t>17.8 投标文件因字迹潦草、表达不清或装订不当所引起的后果由投标人负责。</w:t>
      </w:r>
    </w:p>
    <w:p>
      <w:pPr>
        <w:pStyle w:val="7"/>
        <w:spacing w:line="360" w:lineRule="auto"/>
        <w:rPr>
          <w:rFonts w:hAnsi="宋体" w:cs="宋体"/>
          <w:b/>
          <w:bCs/>
          <w:color w:val="auto"/>
          <w:kern w:val="44"/>
          <w:sz w:val="21"/>
          <w:szCs w:val="21"/>
          <w:highlight w:val="none"/>
          <w:lang w:val="zh-CN"/>
        </w:rPr>
      </w:pPr>
      <w:bookmarkStart w:id="19" w:name="_Toc20752"/>
      <w:bookmarkStart w:id="20" w:name="_Toc396137236"/>
      <w:r>
        <w:rPr>
          <w:rFonts w:hint="eastAsia" w:hAnsi="宋体" w:cs="宋体"/>
          <w:b/>
          <w:bCs/>
          <w:color w:val="auto"/>
          <w:kern w:val="44"/>
          <w:sz w:val="21"/>
          <w:szCs w:val="21"/>
          <w:highlight w:val="none"/>
          <w:lang w:val="zh-CN"/>
        </w:rPr>
        <w:t>（四）投标文件的密封、递交</w:t>
      </w:r>
      <w:bookmarkEnd w:id="19"/>
      <w:bookmarkEnd w:id="20"/>
    </w:p>
    <w:p>
      <w:pPr>
        <w:tabs>
          <w:tab w:val="left" w:pos="567"/>
        </w:tabs>
        <w:spacing w:line="360" w:lineRule="auto"/>
        <w:ind w:left="567" w:hanging="567"/>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18</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投标文件的密封和标记：</w:t>
      </w:r>
    </w:p>
    <w:p>
      <w:pPr>
        <w:tabs>
          <w:tab w:val="left" w:pos="567"/>
        </w:tabs>
        <w:spacing w:line="360" w:lineRule="auto"/>
        <w:ind w:left="567" w:right="18" w:hanging="567"/>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18.1</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投标人应将投标文件的正本、所有副本和唱标信封分开单独密封包装，在密封袋上清楚地标明“正本”、“副本”、“唱标信封”，并在密封袋的封口处加盖投标人公章：</w:t>
      </w:r>
    </w:p>
    <w:tbl>
      <w:tblPr>
        <w:tblStyle w:val="52"/>
        <w:tblW w:w="42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2092"/>
        <w:gridCol w:w="1711"/>
        <w:gridCol w:w="3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29" w:type="pct"/>
            <w:vAlign w:val="center"/>
          </w:tcPr>
          <w:p>
            <w:pPr>
              <w:spacing w:line="360" w:lineRule="atLeast"/>
              <w:jc w:val="center"/>
              <w:rPr>
                <w:rFonts w:hAnsi="宋体" w:cs="宋体"/>
                <w:b/>
                <w:color w:val="auto"/>
                <w:sz w:val="21"/>
                <w:szCs w:val="21"/>
                <w:highlight w:val="none"/>
              </w:rPr>
            </w:pPr>
            <w:r>
              <w:rPr>
                <w:rFonts w:hint="eastAsia" w:hAnsi="宋体" w:cs="宋体"/>
                <w:b/>
                <w:color w:val="auto"/>
                <w:sz w:val="21"/>
                <w:szCs w:val="21"/>
                <w:highlight w:val="none"/>
              </w:rPr>
              <w:t>序号</w:t>
            </w:r>
          </w:p>
        </w:tc>
        <w:tc>
          <w:tcPr>
            <w:tcW w:w="1330" w:type="pct"/>
            <w:vAlign w:val="center"/>
          </w:tcPr>
          <w:p>
            <w:pPr>
              <w:spacing w:line="360" w:lineRule="atLeast"/>
              <w:jc w:val="center"/>
              <w:rPr>
                <w:rFonts w:hAnsi="宋体" w:cs="宋体"/>
                <w:b/>
                <w:color w:val="auto"/>
                <w:sz w:val="21"/>
                <w:szCs w:val="21"/>
                <w:highlight w:val="none"/>
              </w:rPr>
            </w:pPr>
            <w:r>
              <w:rPr>
                <w:rFonts w:hint="eastAsia" w:hAnsi="宋体" w:cs="宋体"/>
                <w:b/>
                <w:color w:val="auto"/>
                <w:sz w:val="21"/>
                <w:szCs w:val="21"/>
                <w:highlight w:val="none"/>
              </w:rPr>
              <w:t>投标文件类型</w:t>
            </w:r>
          </w:p>
        </w:tc>
        <w:tc>
          <w:tcPr>
            <w:tcW w:w="1088" w:type="pct"/>
            <w:vAlign w:val="center"/>
          </w:tcPr>
          <w:p>
            <w:pPr>
              <w:spacing w:line="360" w:lineRule="atLeast"/>
              <w:jc w:val="center"/>
              <w:rPr>
                <w:rFonts w:hAnsi="宋体" w:cs="宋体"/>
                <w:b/>
                <w:color w:val="auto"/>
                <w:sz w:val="21"/>
                <w:szCs w:val="21"/>
                <w:highlight w:val="none"/>
              </w:rPr>
            </w:pPr>
            <w:r>
              <w:rPr>
                <w:rFonts w:hint="eastAsia" w:hAnsi="宋体" w:cs="宋体"/>
                <w:b/>
                <w:color w:val="auto"/>
                <w:sz w:val="21"/>
                <w:szCs w:val="21"/>
                <w:highlight w:val="none"/>
              </w:rPr>
              <w:t>装订</w:t>
            </w:r>
          </w:p>
        </w:tc>
        <w:tc>
          <w:tcPr>
            <w:tcW w:w="2050" w:type="pct"/>
            <w:vAlign w:val="center"/>
          </w:tcPr>
          <w:p>
            <w:pPr>
              <w:spacing w:line="360" w:lineRule="atLeast"/>
              <w:jc w:val="center"/>
              <w:rPr>
                <w:rFonts w:hAnsi="宋体" w:cs="宋体"/>
                <w:b/>
                <w:color w:val="auto"/>
                <w:sz w:val="21"/>
                <w:szCs w:val="21"/>
                <w:highlight w:val="none"/>
              </w:rPr>
            </w:pPr>
            <w:r>
              <w:rPr>
                <w:rFonts w:hint="eastAsia" w:hAnsi="宋体" w:cs="宋体"/>
                <w:b/>
                <w:color w:val="auto"/>
                <w:sz w:val="21"/>
                <w:szCs w:val="21"/>
                <w:highlight w:val="none"/>
              </w:rPr>
              <w:t>密封封装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29" w:type="pct"/>
            <w:vAlign w:val="center"/>
          </w:tcPr>
          <w:p>
            <w:pPr>
              <w:spacing w:line="360" w:lineRule="atLeast"/>
              <w:jc w:val="center"/>
              <w:rPr>
                <w:rFonts w:hAnsi="宋体" w:cs="宋体"/>
                <w:color w:val="auto"/>
                <w:sz w:val="21"/>
                <w:szCs w:val="21"/>
                <w:highlight w:val="none"/>
              </w:rPr>
            </w:pPr>
            <w:r>
              <w:rPr>
                <w:rFonts w:hint="eastAsia" w:hAnsi="宋体" w:cs="宋体"/>
                <w:color w:val="auto"/>
                <w:sz w:val="21"/>
                <w:szCs w:val="21"/>
                <w:highlight w:val="none"/>
              </w:rPr>
              <w:t>1</w:t>
            </w:r>
          </w:p>
        </w:tc>
        <w:tc>
          <w:tcPr>
            <w:tcW w:w="1330" w:type="pct"/>
            <w:vAlign w:val="center"/>
          </w:tcPr>
          <w:p>
            <w:pPr>
              <w:spacing w:line="360" w:lineRule="atLeast"/>
              <w:jc w:val="center"/>
              <w:rPr>
                <w:rFonts w:hAnsi="宋体" w:cs="宋体"/>
                <w:color w:val="auto"/>
                <w:sz w:val="21"/>
                <w:szCs w:val="21"/>
                <w:highlight w:val="none"/>
              </w:rPr>
            </w:pPr>
            <w:r>
              <w:rPr>
                <w:rFonts w:hint="eastAsia" w:hAnsi="宋体" w:cs="宋体"/>
                <w:color w:val="auto"/>
                <w:sz w:val="21"/>
                <w:szCs w:val="21"/>
                <w:highlight w:val="none"/>
              </w:rPr>
              <w:t>正本</w:t>
            </w:r>
          </w:p>
        </w:tc>
        <w:tc>
          <w:tcPr>
            <w:tcW w:w="1088" w:type="pct"/>
            <w:vAlign w:val="center"/>
          </w:tcPr>
          <w:p>
            <w:pPr>
              <w:spacing w:line="360" w:lineRule="atLeast"/>
              <w:jc w:val="center"/>
              <w:rPr>
                <w:rFonts w:hAnsi="宋体" w:cs="宋体"/>
                <w:color w:val="auto"/>
                <w:sz w:val="21"/>
                <w:szCs w:val="21"/>
                <w:highlight w:val="none"/>
              </w:rPr>
            </w:pPr>
            <w:r>
              <w:rPr>
                <w:rFonts w:hint="eastAsia" w:hAnsi="宋体" w:cs="宋体"/>
                <w:color w:val="auto"/>
                <w:sz w:val="21"/>
                <w:szCs w:val="21"/>
                <w:highlight w:val="none"/>
              </w:rPr>
              <w:t>单独装订</w:t>
            </w:r>
          </w:p>
        </w:tc>
        <w:tc>
          <w:tcPr>
            <w:tcW w:w="2050" w:type="pct"/>
            <w:vAlign w:val="center"/>
          </w:tcPr>
          <w:p>
            <w:pPr>
              <w:spacing w:line="360" w:lineRule="atLeast"/>
              <w:jc w:val="center"/>
              <w:rPr>
                <w:rFonts w:hAnsi="宋体" w:cs="宋体"/>
                <w:color w:val="auto"/>
                <w:sz w:val="21"/>
                <w:szCs w:val="21"/>
                <w:highlight w:val="none"/>
              </w:rPr>
            </w:pPr>
            <w:r>
              <w:rPr>
                <w:rFonts w:hint="eastAsia" w:hAnsi="宋体" w:cs="宋体"/>
                <w:color w:val="auto"/>
                <w:sz w:val="21"/>
                <w:szCs w:val="21"/>
                <w:highlight w:val="none"/>
              </w:rPr>
              <w:t>单独密封封装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29" w:type="pct"/>
            <w:vAlign w:val="center"/>
          </w:tcPr>
          <w:p>
            <w:pPr>
              <w:spacing w:line="360" w:lineRule="atLeast"/>
              <w:jc w:val="center"/>
              <w:rPr>
                <w:rFonts w:hAnsi="宋体" w:cs="宋体"/>
                <w:color w:val="auto"/>
                <w:sz w:val="21"/>
                <w:szCs w:val="21"/>
                <w:highlight w:val="none"/>
              </w:rPr>
            </w:pPr>
            <w:r>
              <w:rPr>
                <w:rFonts w:hint="eastAsia" w:hAnsi="宋体" w:cs="宋体"/>
                <w:color w:val="auto"/>
                <w:sz w:val="21"/>
                <w:szCs w:val="21"/>
                <w:highlight w:val="none"/>
              </w:rPr>
              <w:t>2</w:t>
            </w:r>
          </w:p>
        </w:tc>
        <w:tc>
          <w:tcPr>
            <w:tcW w:w="1330" w:type="pct"/>
            <w:vAlign w:val="center"/>
          </w:tcPr>
          <w:p>
            <w:pPr>
              <w:spacing w:line="360" w:lineRule="atLeast"/>
              <w:jc w:val="center"/>
              <w:rPr>
                <w:rFonts w:hAnsi="宋体" w:cs="宋体"/>
                <w:color w:val="auto"/>
                <w:sz w:val="21"/>
                <w:szCs w:val="21"/>
                <w:highlight w:val="none"/>
              </w:rPr>
            </w:pPr>
            <w:r>
              <w:rPr>
                <w:rFonts w:hint="eastAsia" w:hAnsi="宋体" w:cs="宋体"/>
                <w:color w:val="auto"/>
                <w:sz w:val="21"/>
                <w:szCs w:val="21"/>
                <w:highlight w:val="none"/>
              </w:rPr>
              <w:t>副本</w:t>
            </w:r>
          </w:p>
        </w:tc>
        <w:tc>
          <w:tcPr>
            <w:tcW w:w="1088" w:type="pct"/>
            <w:vAlign w:val="center"/>
          </w:tcPr>
          <w:p>
            <w:pPr>
              <w:spacing w:line="360" w:lineRule="atLeast"/>
              <w:jc w:val="center"/>
              <w:rPr>
                <w:rFonts w:hAnsi="宋体" w:cs="宋体"/>
                <w:color w:val="auto"/>
                <w:sz w:val="21"/>
                <w:szCs w:val="21"/>
                <w:highlight w:val="none"/>
              </w:rPr>
            </w:pPr>
            <w:r>
              <w:rPr>
                <w:rFonts w:hint="eastAsia" w:hAnsi="宋体" w:cs="宋体"/>
                <w:color w:val="auto"/>
                <w:sz w:val="21"/>
                <w:szCs w:val="21"/>
                <w:highlight w:val="none"/>
              </w:rPr>
              <w:t>每份单独装订</w:t>
            </w:r>
          </w:p>
        </w:tc>
        <w:tc>
          <w:tcPr>
            <w:tcW w:w="2050" w:type="pct"/>
            <w:vAlign w:val="center"/>
          </w:tcPr>
          <w:p>
            <w:pPr>
              <w:spacing w:line="360" w:lineRule="atLeast"/>
              <w:jc w:val="center"/>
              <w:rPr>
                <w:rFonts w:hAnsi="宋体" w:cs="宋体"/>
                <w:color w:val="auto"/>
                <w:sz w:val="21"/>
                <w:szCs w:val="21"/>
                <w:highlight w:val="none"/>
              </w:rPr>
            </w:pPr>
            <w:r>
              <w:rPr>
                <w:rFonts w:hint="eastAsia" w:hAnsi="宋体" w:cs="宋体"/>
                <w:color w:val="auto"/>
                <w:sz w:val="21"/>
                <w:szCs w:val="21"/>
                <w:highlight w:val="none"/>
              </w:rPr>
              <w:t>所有副本一起密封封装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29" w:type="pct"/>
            <w:vAlign w:val="center"/>
          </w:tcPr>
          <w:p>
            <w:pPr>
              <w:spacing w:line="360" w:lineRule="atLeast"/>
              <w:jc w:val="center"/>
              <w:rPr>
                <w:rFonts w:hAnsi="宋体" w:cs="宋体"/>
                <w:color w:val="auto"/>
                <w:sz w:val="21"/>
                <w:szCs w:val="21"/>
                <w:highlight w:val="none"/>
              </w:rPr>
            </w:pPr>
            <w:r>
              <w:rPr>
                <w:rFonts w:hint="eastAsia" w:hAnsi="宋体" w:cs="宋体"/>
                <w:color w:val="auto"/>
                <w:sz w:val="21"/>
                <w:szCs w:val="21"/>
                <w:highlight w:val="none"/>
              </w:rPr>
              <w:t>3</w:t>
            </w:r>
          </w:p>
        </w:tc>
        <w:tc>
          <w:tcPr>
            <w:tcW w:w="1330" w:type="pct"/>
            <w:vAlign w:val="center"/>
          </w:tcPr>
          <w:p>
            <w:pPr>
              <w:spacing w:line="360" w:lineRule="atLeast"/>
              <w:jc w:val="center"/>
              <w:rPr>
                <w:rFonts w:hAnsi="宋体" w:cs="宋体"/>
                <w:color w:val="auto"/>
                <w:sz w:val="21"/>
                <w:szCs w:val="21"/>
                <w:highlight w:val="none"/>
              </w:rPr>
            </w:pPr>
            <w:r>
              <w:rPr>
                <w:rFonts w:hint="eastAsia" w:hAnsi="宋体" w:cs="宋体"/>
                <w:color w:val="auto"/>
                <w:sz w:val="21"/>
                <w:szCs w:val="21"/>
                <w:highlight w:val="none"/>
              </w:rPr>
              <w:t>唱标信封</w:t>
            </w:r>
          </w:p>
        </w:tc>
        <w:tc>
          <w:tcPr>
            <w:tcW w:w="1088" w:type="pct"/>
            <w:vAlign w:val="center"/>
          </w:tcPr>
          <w:p>
            <w:pPr>
              <w:spacing w:line="360" w:lineRule="atLeast"/>
              <w:jc w:val="center"/>
              <w:rPr>
                <w:rFonts w:hAnsi="宋体" w:cs="宋体"/>
                <w:color w:val="auto"/>
                <w:sz w:val="21"/>
                <w:szCs w:val="21"/>
                <w:highlight w:val="none"/>
              </w:rPr>
            </w:pPr>
            <w:r>
              <w:rPr>
                <w:rFonts w:hint="eastAsia" w:hAnsi="宋体" w:cs="宋体"/>
                <w:color w:val="auto"/>
                <w:sz w:val="21"/>
                <w:szCs w:val="21"/>
                <w:highlight w:val="none"/>
              </w:rPr>
              <w:t>单独装订</w:t>
            </w:r>
          </w:p>
        </w:tc>
        <w:tc>
          <w:tcPr>
            <w:tcW w:w="2050" w:type="pct"/>
            <w:vAlign w:val="center"/>
          </w:tcPr>
          <w:p>
            <w:pPr>
              <w:spacing w:line="360" w:lineRule="atLeast"/>
              <w:jc w:val="center"/>
              <w:rPr>
                <w:rFonts w:hAnsi="宋体" w:cs="宋体"/>
                <w:color w:val="auto"/>
                <w:sz w:val="21"/>
                <w:szCs w:val="21"/>
                <w:highlight w:val="none"/>
              </w:rPr>
            </w:pPr>
            <w:r>
              <w:rPr>
                <w:rFonts w:hint="eastAsia" w:hAnsi="宋体" w:cs="宋体"/>
                <w:color w:val="auto"/>
                <w:sz w:val="21"/>
                <w:szCs w:val="21"/>
                <w:highlight w:val="none"/>
              </w:rPr>
              <w:t>单独密封封装(内附电子文件)</w:t>
            </w:r>
          </w:p>
        </w:tc>
      </w:tr>
    </w:tbl>
    <w:p>
      <w:pPr>
        <w:spacing w:line="360" w:lineRule="auto"/>
        <w:ind w:left="567" w:right="18" w:hanging="567"/>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18.</w:t>
      </w:r>
      <w:r>
        <w:rPr>
          <w:rFonts w:hint="eastAsia" w:hAnsi="宋体" w:cs="宋体"/>
          <w:color w:val="auto"/>
          <w:kern w:val="2"/>
          <w:sz w:val="21"/>
          <w:szCs w:val="21"/>
          <w:highlight w:val="none"/>
        </w:rPr>
        <w:t>2</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投标文件密封封装标记：外层密封封装表面应正确标明投标人名称、地址、项目名称、包号（如有）、投标文件名称、并注明投标文件递交截止时间之前不得开封。</w:t>
      </w:r>
    </w:p>
    <w:p>
      <w:pPr>
        <w:spacing w:line="360" w:lineRule="auto"/>
        <w:ind w:left="567" w:right="18" w:hanging="567"/>
        <w:jc w:val="both"/>
        <w:rPr>
          <w:rFonts w:hAnsi="宋体" w:cs="宋体"/>
          <w:color w:val="auto"/>
          <w:kern w:val="2"/>
          <w:sz w:val="21"/>
          <w:szCs w:val="21"/>
          <w:highlight w:val="none"/>
        </w:rPr>
      </w:pPr>
      <w:r>
        <w:rPr>
          <w:rFonts w:hint="eastAsia" w:hAnsi="宋体" w:cs="宋体"/>
          <w:color w:val="auto"/>
          <w:kern w:val="2"/>
          <w:sz w:val="21"/>
          <w:szCs w:val="21"/>
          <w:highlight w:val="none"/>
        </w:rPr>
        <w:t>18.3 如对多个包进行投标的，投标人必须按包号分别提交密封投标文件。</w:t>
      </w:r>
    </w:p>
    <w:p>
      <w:pPr>
        <w:spacing w:line="360" w:lineRule="auto"/>
        <w:ind w:left="567" w:right="18" w:hanging="567"/>
        <w:jc w:val="both"/>
        <w:rPr>
          <w:rFonts w:hAnsi="宋体" w:cs="宋体"/>
          <w:color w:val="auto"/>
          <w:kern w:val="2"/>
          <w:sz w:val="21"/>
          <w:szCs w:val="21"/>
          <w:highlight w:val="none"/>
        </w:rPr>
      </w:pPr>
      <w:r>
        <w:rPr>
          <w:rFonts w:hint="eastAsia" w:hAnsi="宋体" w:cs="宋体"/>
          <w:color w:val="auto"/>
          <w:kern w:val="2"/>
          <w:sz w:val="21"/>
          <w:szCs w:val="21"/>
          <w:highlight w:val="none"/>
        </w:rPr>
        <w:t>18.4 不足以造成投标文件可从外包装内散出而导致投标文件泄密的，不认定为投标文件未密封。</w:t>
      </w:r>
    </w:p>
    <w:p>
      <w:pPr>
        <w:tabs>
          <w:tab w:val="left" w:pos="567"/>
        </w:tabs>
        <w:spacing w:line="360" w:lineRule="auto"/>
        <w:ind w:left="567" w:right="18" w:hanging="567"/>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18.</w:t>
      </w:r>
      <w:r>
        <w:rPr>
          <w:rFonts w:hint="eastAsia" w:hAnsi="宋体" w:cs="宋体"/>
          <w:color w:val="auto"/>
          <w:kern w:val="2"/>
          <w:sz w:val="21"/>
          <w:szCs w:val="21"/>
          <w:highlight w:val="none"/>
        </w:rPr>
        <w:t>5</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如果因密封封装未按本款规定密封和标记，导致采购代理机构对投标文件误投、提前拆封或错放的，由投标人承担责任。对由此造成提前开封的投标文件，采购代理机构予以拒绝，并退回投标人。</w:t>
      </w:r>
    </w:p>
    <w:p>
      <w:pPr>
        <w:tabs>
          <w:tab w:val="left" w:pos="567"/>
        </w:tabs>
        <w:spacing w:line="360" w:lineRule="auto"/>
        <w:ind w:left="567" w:hanging="567"/>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19</w:t>
      </w:r>
      <w:r>
        <w:rPr>
          <w:rFonts w:hint="eastAsia" w:hAnsi="宋体" w:cs="宋体"/>
          <w:color w:val="auto"/>
          <w:kern w:val="2"/>
          <w:sz w:val="21"/>
          <w:szCs w:val="21"/>
          <w:highlight w:val="none"/>
          <w:lang w:val="zh-CN"/>
        </w:rPr>
        <w:tab/>
      </w:r>
      <w:r>
        <w:rPr>
          <w:rFonts w:hint="eastAsia" w:hAnsi="宋体" w:cs="宋体"/>
          <w:bCs/>
          <w:color w:val="auto"/>
          <w:sz w:val="21"/>
          <w:szCs w:val="21"/>
          <w:highlight w:val="none"/>
        </w:rPr>
        <w:t>投标文件的递交、接收</w:t>
      </w:r>
    </w:p>
    <w:p>
      <w:pPr>
        <w:tabs>
          <w:tab w:val="left" w:pos="0"/>
        </w:tabs>
        <w:spacing w:line="360" w:lineRule="auto"/>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19.1 投标人代表应按采购文件规定的时间和地点向采购代理机构递交投标文件。</w:t>
      </w:r>
    </w:p>
    <w:p>
      <w:pPr>
        <w:tabs>
          <w:tab w:val="left" w:pos="567"/>
        </w:tabs>
        <w:spacing w:line="360" w:lineRule="auto"/>
        <w:ind w:left="567" w:hanging="567" w:hangingChars="270"/>
        <w:jc w:val="both"/>
        <w:rPr>
          <w:rFonts w:hAnsi="宋体" w:cs="宋体"/>
          <w:b/>
          <w:color w:val="auto"/>
          <w:kern w:val="2"/>
          <w:sz w:val="21"/>
          <w:szCs w:val="21"/>
          <w:highlight w:val="none"/>
          <w:lang w:val="zh-CN"/>
        </w:rPr>
      </w:pPr>
      <w:r>
        <w:rPr>
          <w:rFonts w:hint="eastAsia" w:hAnsi="宋体" w:cs="宋体"/>
          <w:bCs/>
          <w:color w:val="auto"/>
          <w:kern w:val="2"/>
          <w:sz w:val="21"/>
          <w:szCs w:val="21"/>
          <w:highlight w:val="none"/>
          <w:lang w:val="zh-CN"/>
        </w:rPr>
        <w:t>19.2 在投标截止时间后送达投标文件的或者传真、电传的投标文件，采购人和采购代理机构将拒绝接收。</w:t>
      </w:r>
    </w:p>
    <w:p>
      <w:pPr>
        <w:tabs>
          <w:tab w:val="left" w:pos="0"/>
        </w:tabs>
        <w:spacing w:line="360" w:lineRule="auto"/>
        <w:ind w:left="525" w:hanging="525" w:hangingChars="25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19.</w:t>
      </w:r>
      <w:r>
        <w:rPr>
          <w:rFonts w:hint="eastAsia" w:hAnsi="宋体" w:cs="宋体"/>
          <w:color w:val="auto"/>
          <w:kern w:val="2"/>
          <w:sz w:val="21"/>
          <w:szCs w:val="21"/>
          <w:highlight w:val="none"/>
        </w:rPr>
        <w:t>3</w:t>
      </w:r>
      <w:r>
        <w:rPr>
          <w:rFonts w:hint="eastAsia" w:hAnsi="宋体" w:cs="宋体"/>
          <w:color w:val="auto"/>
          <w:kern w:val="2"/>
          <w:sz w:val="21"/>
          <w:szCs w:val="21"/>
          <w:highlight w:val="none"/>
          <w:lang w:val="zh-CN"/>
        </w:rPr>
        <w:t xml:space="preserve"> 采购人可按照第</w:t>
      </w:r>
      <w:r>
        <w:rPr>
          <w:rFonts w:hint="eastAsia" w:hAnsi="宋体" w:cs="宋体"/>
          <w:color w:val="auto"/>
          <w:kern w:val="2"/>
          <w:sz w:val="21"/>
          <w:szCs w:val="21"/>
          <w:highlight w:val="none"/>
        </w:rPr>
        <w:t>9</w:t>
      </w:r>
      <w:r>
        <w:rPr>
          <w:rFonts w:hint="eastAsia" w:hAnsi="宋体" w:cs="宋体"/>
          <w:color w:val="auto"/>
          <w:kern w:val="2"/>
          <w:sz w:val="21"/>
          <w:szCs w:val="21"/>
          <w:highlight w:val="none"/>
          <w:lang w:val="zh-CN"/>
        </w:rPr>
        <w:t>款的规定修改采购文件并酌情延长递交投标文件的截止时间，因此，已规定的采购代理机构和投标人的一切权利和义务将按延期后的递交投标文件截止时间履行。</w:t>
      </w:r>
    </w:p>
    <w:p>
      <w:pPr>
        <w:tabs>
          <w:tab w:val="left" w:pos="567"/>
        </w:tabs>
        <w:spacing w:line="360" w:lineRule="auto"/>
        <w:ind w:left="567" w:hanging="567"/>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20</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迟交的投标文件</w:t>
      </w:r>
    </w:p>
    <w:p>
      <w:pPr>
        <w:spacing w:line="360" w:lineRule="auto"/>
        <w:ind w:firstLine="567"/>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根据第19款规定，采购代理机构将拒绝任何晚于递交投标文件截止时间交到的投标文件。</w:t>
      </w:r>
    </w:p>
    <w:p>
      <w:pPr>
        <w:tabs>
          <w:tab w:val="left" w:pos="567"/>
        </w:tabs>
        <w:spacing w:line="360" w:lineRule="auto"/>
        <w:ind w:left="567" w:hanging="567"/>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21</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投标文件的修改和撤回</w:t>
      </w:r>
    </w:p>
    <w:p>
      <w:pPr>
        <w:tabs>
          <w:tab w:val="left" w:pos="567"/>
        </w:tabs>
        <w:spacing w:line="360" w:lineRule="auto"/>
        <w:ind w:left="567" w:right="18" w:hanging="567"/>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21.1</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投标人可在递交投标文件截止时间前对其递交的投标文件进行修改或撤回，但须在递交投标文件截止时间前向采购代理机构提出修改或撤回的书面通知。</w:t>
      </w:r>
    </w:p>
    <w:p>
      <w:pPr>
        <w:spacing w:line="360" w:lineRule="auto"/>
        <w:ind w:left="567" w:right="18" w:hanging="567"/>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21.2</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投标人对投标文件的修改或撤回的通知应按第17款和第18款规定进行准备、密封、标注和递送。</w:t>
      </w:r>
    </w:p>
    <w:p>
      <w:pPr>
        <w:spacing w:line="360" w:lineRule="auto"/>
        <w:ind w:left="567" w:right="18" w:hanging="567"/>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21.3</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递交投标文件截止时间后，投标人不得修改投标文件。</w:t>
      </w:r>
    </w:p>
    <w:p>
      <w:pPr>
        <w:spacing w:line="360" w:lineRule="auto"/>
        <w:ind w:left="567" w:right="18" w:hanging="567"/>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21.4</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投标人不得在递交投标文件截止时间起至第16款规定的投标有效期期满前撤销其投标文件。否则采购代理机构将按第15.7款规定没收其投标保证金。</w:t>
      </w:r>
    </w:p>
    <w:p>
      <w:pPr>
        <w:spacing w:line="360" w:lineRule="auto"/>
        <w:ind w:left="567" w:right="18" w:hanging="567"/>
        <w:jc w:val="both"/>
        <w:rPr>
          <w:rFonts w:hAnsi="宋体" w:cs="宋体"/>
          <w:color w:val="auto"/>
          <w:kern w:val="2"/>
          <w:sz w:val="21"/>
          <w:szCs w:val="21"/>
          <w:highlight w:val="none"/>
        </w:rPr>
      </w:pPr>
      <w:r>
        <w:rPr>
          <w:rFonts w:hint="eastAsia" w:hAnsi="宋体" w:cs="宋体"/>
          <w:color w:val="auto"/>
          <w:kern w:val="2"/>
          <w:sz w:val="21"/>
          <w:szCs w:val="21"/>
          <w:highlight w:val="none"/>
        </w:rPr>
        <w:t>21.5 至投标截止时间，出现下列情形之一的投标文件，将被采购人和采购代理机构拒绝并原封退回给投标人：</w:t>
      </w:r>
    </w:p>
    <w:p>
      <w:pPr>
        <w:spacing w:line="360" w:lineRule="auto"/>
        <w:ind w:left="1047" w:leftChars="200" w:right="18" w:hanging="567"/>
        <w:jc w:val="both"/>
        <w:rPr>
          <w:rFonts w:hAnsi="宋体" w:cs="宋体"/>
          <w:color w:val="auto"/>
          <w:sz w:val="21"/>
          <w:szCs w:val="21"/>
          <w:highlight w:val="none"/>
          <w:lang w:val="zh-CN"/>
        </w:rPr>
      </w:pPr>
      <w:r>
        <w:rPr>
          <w:rFonts w:hint="eastAsia" w:hAnsi="宋体" w:cs="宋体"/>
          <w:color w:val="auto"/>
          <w:sz w:val="21"/>
          <w:szCs w:val="21"/>
          <w:highlight w:val="none"/>
          <w:lang w:val="zh-CN"/>
        </w:rPr>
        <w:t>（1）采购人和采购代理机构在投标邀请书中规定的截止时间以后和投标邀请书中规定的投标文件递交地点以外收到的投标文件；</w:t>
      </w:r>
    </w:p>
    <w:p>
      <w:pPr>
        <w:spacing w:line="360" w:lineRule="auto"/>
        <w:ind w:left="1047" w:leftChars="200" w:right="18" w:hanging="567"/>
        <w:jc w:val="both"/>
        <w:rPr>
          <w:rFonts w:hAnsi="宋体" w:cs="宋体"/>
          <w:color w:val="auto"/>
          <w:sz w:val="21"/>
          <w:szCs w:val="21"/>
          <w:highlight w:val="none"/>
          <w:lang w:val="zh-CN"/>
        </w:rPr>
      </w:pPr>
      <w:r>
        <w:rPr>
          <w:rFonts w:hint="eastAsia" w:hAnsi="宋体" w:cs="宋体"/>
          <w:color w:val="auto"/>
          <w:sz w:val="21"/>
          <w:szCs w:val="21"/>
          <w:highlight w:val="none"/>
          <w:lang w:val="zh-CN"/>
        </w:rPr>
        <w:t>（2）至投标截止时间，投标人不足3家的，在投标截止时间前收到的所有未被开启的投标文件；</w:t>
      </w:r>
    </w:p>
    <w:p>
      <w:pPr>
        <w:spacing w:line="360" w:lineRule="auto"/>
        <w:ind w:left="1047" w:leftChars="200" w:right="18" w:hanging="567"/>
        <w:jc w:val="both"/>
        <w:rPr>
          <w:rFonts w:hAnsi="宋体" w:cs="宋体"/>
          <w:color w:val="auto"/>
          <w:sz w:val="21"/>
          <w:szCs w:val="21"/>
          <w:highlight w:val="none"/>
          <w:lang w:val="zh-CN"/>
        </w:rPr>
      </w:pPr>
      <w:r>
        <w:rPr>
          <w:rFonts w:hint="eastAsia" w:hAnsi="宋体" w:cs="宋体"/>
          <w:color w:val="auto"/>
          <w:sz w:val="21"/>
          <w:szCs w:val="21"/>
          <w:highlight w:val="none"/>
          <w:lang w:val="zh-CN"/>
        </w:rPr>
        <w:t>（3）按本须知第</w:t>
      </w:r>
      <w:r>
        <w:rPr>
          <w:rFonts w:hint="eastAsia" w:hAnsi="宋体" w:cs="宋体"/>
          <w:color w:val="auto"/>
          <w:sz w:val="21"/>
          <w:szCs w:val="21"/>
          <w:highlight w:val="none"/>
        </w:rPr>
        <w:t>21</w:t>
      </w:r>
      <w:r>
        <w:rPr>
          <w:rFonts w:hint="eastAsia" w:hAnsi="宋体" w:cs="宋体"/>
          <w:color w:val="auto"/>
          <w:sz w:val="21"/>
          <w:szCs w:val="21"/>
          <w:highlight w:val="none"/>
          <w:lang w:val="zh-CN"/>
        </w:rPr>
        <w:t>.</w:t>
      </w:r>
      <w:r>
        <w:rPr>
          <w:rFonts w:hint="eastAsia" w:hAnsi="宋体" w:cs="宋体"/>
          <w:color w:val="auto"/>
          <w:sz w:val="21"/>
          <w:szCs w:val="21"/>
          <w:highlight w:val="none"/>
        </w:rPr>
        <w:t>1</w:t>
      </w:r>
      <w:r>
        <w:rPr>
          <w:rFonts w:hint="eastAsia" w:hAnsi="宋体" w:cs="宋体"/>
          <w:color w:val="auto"/>
          <w:sz w:val="21"/>
          <w:szCs w:val="21"/>
          <w:highlight w:val="none"/>
          <w:lang w:val="zh-CN"/>
        </w:rPr>
        <w:t>款规定提交书面撤回申请书的投标文件；</w:t>
      </w:r>
    </w:p>
    <w:p>
      <w:pPr>
        <w:spacing w:line="360" w:lineRule="auto"/>
        <w:ind w:left="1047" w:leftChars="200" w:right="18" w:hanging="567"/>
        <w:jc w:val="both"/>
        <w:rPr>
          <w:rFonts w:hAnsi="宋体" w:cs="宋体"/>
          <w:color w:val="auto"/>
          <w:sz w:val="21"/>
          <w:szCs w:val="21"/>
          <w:highlight w:val="none"/>
          <w:lang w:val="zh-CN"/>
        </w:rPr>
      </w:pPr>
      <w:r>
        <w:rPr>
          <w:rFonts w:hint="eastAsia" w:hAnsi="宋体" w:cs="宋体"/>
          <w:color w:val="auto"/>
          <w:sz w:val="21"/>
          <w:szCs w:val="21"/>
          <w:highlight w:val="none"/>
          <w:lang w:val="zh-CN"/>
        </w:rPr>
        <w:t>（4）未按本须知第</w:t>
      </w:r>
      <w:r>
        <w:rPr>
          <w:rFonts w:hint="eastAsia" w:hAnsi="宋体" w:cs="宋体"/>
          <w:color w:val="auto"/>
          <w:sz w:val="21"/>
          <w:szCs w:val="21"/>
          <w:highlight w:val="none"/>
        </w:rPr>
        <w:t>19</w:t>
      </w:r>
      <w:r>
        <w:rPr>
          <w:rFonts w:hint="eastAsia" w:hAnsi="宋体" w:cs="宋体"/>
          <w:color w:val="auto"/>
          <w:sz w:val="21"/>
          <w:szCs w:val="21"/>
          <w:highlight w:val="none"/>
          <w:lang w:val="zh-CN"/>
        </w:rPr>
        <w:t>款规定密封的投标文件。</w:t>
      </w:r>
    </w:p>
    <w:p>
      <w:pPr>
        <w:spacing w:line="360" w:lineRule="auto"/>
        <w:ind w:left="567" w:right="18" w:hanging="567"/>
        <w:jc w:val="both"/>
        <w:rPr>
          <w:rFonts w:hAnsi="宋体" w:cs="宋体"/>
          <w:color w:val="auto"/>
          <w:kern w:val="2"/>
          <w:sz w:val="21"/>
          <w:szCs w:val="21"/>
          <w:highlight w:val="none"/>
          <w:lang w:val="zh-CN"/>
        </w:rPr>
      </w:pPr>
    </w:p>
    <w:p>
      <w:pPr>
        <w:pStyle w:val="7"/>
        <w:tabs>
          <w:tab w:val="center" w:pos="4819"/>
        </w:tabs>
        <w:spacing w:line="360" w:lineRule="auto"/>
        <w:rPr>
          <w:rFonts w:hAnsi="宋体" w:cs="宋体"/>
          <w:b/>
          <w:bCs/>
          <w:color w:val="auto"/>
          <w:kern w:val="44"/>
          <w:sz w:val="21"/>
          <w:szCs w:val="21"/>
          <w:highlight w:val="none"/>
          <w:lang w:val="zh-CN"/>
        </w:rPr>
      </w:pPr>
      <w:bookmarkStart w:id="21" w:name="_Toc8824"/>
      <w:bookmarkStart w:id="22" w:name="_Toc396137237"/>
      <w:r>
        <w:rPr>
          <w:rFonts w:hint="eastAsia" w:hAnsi="宋体" w:cs="宋体"/>
          <w:b/>
          <w:bCs/>
          <w:color w:val="auto"/>
          <w:kern w:val="44"/>
          <w:sz w:val="21"/>
          <w:szCs w:val="21"/>
          <w:highlight w:val="none"/>
          <w:lang w:val="zh-CN"/>
        </w:rPr>
        <w:t>（五）开标、评标与定标</w:t>
      </w:r>
      <w:bookmarkEnd w:id="21"/>
      <w:bookmarkEnd w:id="22"/>
    </w:p>
    <w:p>
      <w:pPr>
        <w:tabs>
          <w:tab w:val="left" w:pos="567"/>
        </w:tabs>
        <w:spacing w:line="360" w:lineRule="auto"/>
        <w:ind w:left="567" w:hanging="567"/>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22</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开标</w:t>
      </w:r>
    </w:p>
    <w:p>
      <w:pPr>
        <w:tabs>
          <w:tab w:val="left" w:pos="567"/>
        </w:tabs>
        <w:spacing w:line="360" w:lineRule="auto"/>
        <w:ind w:left="567" w:right="18" w:hanging="567"/>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22.1</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采购代理机构按照采购文件规定的时间和地点组织公开开标，并邀请所有投标人代表参加。评标委员会成员不得参加开标活动。</w:t>
      </w:r>
    </w:p>
    <w:p>
      <w:pPr>
        <w:spacing w:line="360" w:lineRule="auto"/>
        <w:ind w:left="567" w:right="18" w:hanging="567"/>
        <w:jc w:val="both"/>
        <w:rPr>
          <w:rFonts w:hAnsi="宋体" w:cs="宋体"/>
          <w:color w:val="auto"/>
          <w:sz w:val="21"/>
          <w:szCs w:val="21"/>
          <w:highlight w:val="none"/>
          <w:lang w:val="zh-CN"/>
        </w:rPr>
      </w:pPr>
      <w:r>
        <w:rPr>
          <w:rFonts w:hint="eastAsia" w:hAnsi="宋体" w:cs="宋体"/>
          <w:color w:val="auto"/>
          <w:kern w:val="2"/>
          <w:sz w:val="21"/>
          <w:szCs w:val="21"/>
          <w:highlight w:val="none"/>
          <w:lang w:val="zh-CN"/>
        </w:rPr>
        <w:t>22.</w:t>
      </w:r>
      <w:r>
        <w:rPr>
          <w:rFonts w:hint="eastAsia" w:hAnsi="宋体" w:cs="宋体"/>
          <w:color w:val="auto"/>
          <w:kern w:val="2"/>
          <w:sz w:val="21"/>
          <w:szCs w:val="21"/>
          <w:highlight w:val="none"/>
        </w:rPr>
        <w:t>2</w:t>
      </w:r>
      <w:r>
        <w:rPr>
          <w:rFonts w:hint="eastAsia" w:hAnsi="宋体" w:cs="宋体"/>
          <w:color w:val="auto"/>
          <w:kern w:val="2"/>
          <w:sz w:val="21"/>
          <w:szCs w:val="21"/>
          <w:highlight w:val="none"/>
          <w:lang w:val="zh-CN"/>
        </w:rPr>
        <w:t xml:space="preserve"> </w:t>
      </w:r>
      <w:r>
        <w:rPr>
          <w:rFonts w:hint="eastAsia" w:hAnsi="宋体" w:cs="宋体"/>
          <w:color w:val="auto"/>
          <w:sz w:val="21"/>
          <w:szCs w:val="21"/>
          <w:highlight w:val="none"/>
          <w:lang w:val="zh-CN"/>
        </w:rPr>
        <w:t>开标时，由投标人或者其推选的代表检查投标文件的密封情况；经确认无误后，由采购代理机构工作人员当众拆封，宣布投标人名称、投标价格和采购文件规定的需要宣布的其他内容，采购代理机构将做开标记录，由参加开标的各投标人代表和相关工作人员签名确认后随采购文件一并存档。</w:t>
      </w:r>
    </w:p>
    <w:p>
      <w:pPr>
        <w:spacing w:line="360" w:lineRule="auto"/>
        <w:ind w:left="567" w:right="18" w:hanging="567"/>
        <w:jc w:val="both"/>
        <w:rPr>
          <w:rFonts w:hAnsi="宋体" w:cs="宋体"/>
          <w:color w:val="auto"/>
          <w:sz w:val="21"/>
          <w:szCs w:val="21"/>
          <w:highlight w:val="none"/>
          <w:lang w:val="zh-CN"/>
        </w:rPr>
      </w:pPr>
      <w:r>
        <w:rPr>
          <w:rFonts w:hint="eastAsia" w:hAnsi="宋体" w:cs="宋体"/>
          <w:color w:val="auto"/>
          <w:kern w:val="2"/>
          <w:sz w:val="21"/>
          <w:szCs w:val="21"/>
          <w:highlight w:val="none"/>
          <w:lang w:val="zh-CN"/>
        </w:rPr>
        <w:t>22.</w:t>
      </w:r>
      <w:r>
        <w:rPr>
          <w:rFonts w:hint="eastAsia" w:hAnsi="宋体" w:cs="宋体"/>
          <w:color w:val="auto"/>
          <w:kern w:val="2"/>
          <w:sz w:val="21"/>
          <w:szCs w:val="21"/>
          <w:highlight w:val="none"/>
        </w:rPr>
        <w:t>3</w:t>
      </w:r>
      <w:r>
        <w:rPr>
          <w:rFonts w:hint="eastAsia" w:hAnsi="宋体" w:cs="宋体"/>
          <w:color w:val="auto"/>
          <w:kern w:val="2"/>
          <w:sz w:val="21"/>
          <w:szCs w:val="21"/>
          <w:highlight w:val="none"/>
          <w:lang w:val="zh-CN"/>
        </w:rPr>
        <w:t xml:space="preserve"> </w:t>
      </w:r>
      <w:r>
        <w:rPr>
          <w:rFonts w:hint="eastAsia" w:hAnsi="宋体" w:cs="宋体"/>
          <w:color w:val="auto"/>
          <w:sz w:val="21"/>
          <w:szCs w:val="21"/>
          <w:highlight w:val="none"/>
          <w:lang w:val="zh-CN"/>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spacing w:line="360" w:lineRule="auto"/>
        <w:ind w:left="567" w:right="18" w:hanging="567"/>
        <w:jc w:val="both"/>
        <w:rPr>
          <w:rFonts w:hAnsi="宋体" w:cs="宋体"/>
          <w:color w:val="auto"/>
          <w:sz w:val="21"/>
          <w:szCs w:val="21"/>
          <w:highlight w:val="none"/>
          <w:lang w:val="zh-CN"/>
        </w:rPr>
      </w:pPr>
      <w:r>
        <w:rPr>
          <w:rFonts w:hint="eastAsia" w:hAnsi="宋体" w:cs="宋体"/>
          <w:color w:val="auto"/>
          <w:sz w:val="21"/>
          <w:szCs w:val="21"/>
          <w:highlight w:val="none"/>
        </w:rPr>
        <w:t xml:space="preserve">22.4 </w:t>
      </w:r>
      <w:r>
        <w:rPr>
          <w:rFonts w:hint="eastAsia" w:hAnsi="宋体" w:cs="宋体"/>
          <w:color w:val="auto"/>
          <w:sz w:val="21"/>
          <w:szCs w:val="21"/>
          <w:highlight w:val="none"/>
          <w:lang w:val="zh-CN"/>
        </w:rPr>
        <w:t>当在采购文件要求的投标截止时间结束后提交有效投标文件的投标人不足三家时，停止开标，并将投标文件退还给投标人，本项目将视为采购失败。除采购任务取消外，采购代理机构将重新采购。</w:t>
      </w:r>
    </w:p>
    <w:p>
      <w:pPr>
        <w:spacing w:line="360" w:lineRule="auto"/>
        <w:ind w:left="567" w:right="18" w:hanging="567"/>
        <w:jc w:val="both"/>
        <w:rPr>
          <w:rFonts w:hAnsi="宋体" w:cs="宋体"/>
          <w:color w:val="auto"/>
          <w:kern w:val="2"/>
          <w:sz w:val="21"/>
          <w:szCs w:val="21"/>
          <w:highlight w:val="none"/>
          <w:lang w:val="zh-CN"/>
        </w:rPr>
      </w:pPr>
      <w:r>
        <w:rPr>
          <w:rFonts w:hint="eastAsia" w:hAnsi="宋体" w:cs="宋体"/>
          <w:color w:val="auto"/>
          <w:kern w:val="2"/>
          <w:sz w:val="21"/>
          <w:szCs w:val="21"/>
          <w:highlight w:val="none"/>
        </w:rPr>
        <w:t xml:space="preserve">22.5 </w:t>
      </w:r>
      <w:r>
        <w:rPr>
          <w:rFonts w:hint="eastAsia" w:hAnsi="宋体" w:cs="宋体"/>
          <w:color w:val="auto"/>
          <w:kern w:val="2"/>
          <w:sz w:val="21"/>
          <w:szCs w:val="21"/>
          <w:highlight w:val="none"/>
          <w:lang w:val="zh-CN"/>
        </w:rPr>
        <w:t>投标人未参加开标的，视同认可开标结果。</w:t>
      </w:r>
    </w:p>
    <w:p>
      <w:pPr>
        <w:tabs>
          <w:tab w:val="left" w:pos="567"/>
        </w:tabs>
        <w:spacing w:line="360" w:lineRule="auto"/>
        <w:ind w:left="567" w:hanging="567"/>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23</w:t>
      </w:r>
      <w:r>
        <w:rPr>
          <w:rFonts w:hint="eastAsia" w:hAnsi="宋体" w:cs="宋体"/>
          <w:color w:val="auto"/>
          <w:kern w:val="2"/>
          <w:sz w:val="21"/>
          <w:szCs w:val="21"/>
          <w:highlight w:val="none"/>
          <w:lang w:val="zh-CN"/>
        </w:rPr>
        <w:tab/>
      </w:r>
      <w:r>
        <w:rPr>
          <w:rFonts w:hint="eastAsia" w:hAnsi="宋体" w:cs="宋体"/>
          <w:color w:val="auto"/>
          <w:sz w:val="21"/>
          <w:szCs w:val="21"/>
          <w:highlight w:val="none"/>
        </w:rPr>
        <w:t>评标过程的保密性</w:t>
      </w:r>
    </w:p>
    <w:p>
      <w:pPr>
        <w:tabs>
          <w:tab w:val="left" w:pos="567"/>
        </w:tabs>
        <w:spacing w:line="360" w:lineRule="auto"/>
        <w:ind w:left="567" w:right="18" w:hanging="567"/>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23.1</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递交投标文件后，直至向中标人授予合同时止，凡与审查、澄清、评估和比较投标报价的有关资料以及</w:t>
      </w:r>
      <w:r>
        <w:rPr>
          <w:rFonts w:hint="eastAsia" w:hAnsi="宋体" w:cs="宋体"/>
          <w:color w:val="auto"/>
          <w:sz w:val="21"/>
          <w:szCs w:val="21"/>
          <w:highlight w:val="none"/>
        </w:rPr>
        <w:t>授标</w:t>
      </w:r>
      <w:r>
        <w:rPr>
          <w:rFonts w:hint="eastAsia" w:hAnsi="宋体" w:cs="宋体"/>
          <w:color w:val="auto"/>
          <w:kern w:val="2"/>
          <w:sz w:val="21"/>
          <w:szCs w:val="21"/>
          <w:highlight w:val="none"/>
          <w:lang w:val="zh-CN"/>
        </w:rPr>
        <w:t>意见等，</w:t>
      </w:r>
      <w:r>
        <w:rPr>
          <w:rFonts w:hint="eastAsia" w:hAnsi="宋体" w:cs="宋体"/>
          <w:color w:val="auto"/>
          <w:sz w:val="21"/>
          <w:szCs w:val="21"/>
          <w:highlight w:val="none"/>
        </w:rPr>
        <w:t>参与评标工作的有关人员</w:t>
      </w:r>
      <w:r>
        <w:rPr>
          <w:rFonts w:hint="eastAsia" w:hAnsi="宋体" w:cs="宋体"/>
          <w:color w:val="auto"/>
          <w:kern w:val="2"/>
          <w:sz w:val="21"/>
          <w:szCs w:val="21"/>
          <w:highlight w:val="none"/>
          <w:lang w:val="zh-CN"/>
        </w:rPr>
        <w:t>均不得向投标人及与评审无关的其他人透露，否则追究有关当事人的法律责任。</w:t>
      </w:r>
    </w:p>
    <w:p>
      <w:pPr>
        <w:tabs>
          <w:tab w:val="left" w:pos="567"/>
        </w:tabs>
        <w:spacing w:line="360" w:lineRule="auto"/>
        <w:ind w:left="567" w:right="18" w:hanging="567"/>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23.2</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在评标过程中，投标人不得试图在投标文件审查、澄清、比较及授予合同方面向采购代理机构和采购人施加任何影响。</w:t>
      </w:r>
    </w:p>
    <w:p>
      <w:pPr>
        <w:autoSpaceDE/>
        <w:autoSpaceDN/>
        <w:adjustRightInd/>
        <w:spacing w:line="360" w:lineRule="auto"/>
        <w:ind w:left="525" w:hanging="525" w:hangingChars="250"/>
        <w:jc w:val="both"/>
        <w:rPr>
          <w:rFonts w:hAnsi="宋体" w:cs="宋体"/>
          <w:color w:val="auto"/>
          <w:sz w:val="21"/>
          <w:szCs w:val="21"/>
          <w:highlight w:val="none"/>
        </w:rPr>
      </w:pPr>
      <w:r>
        <w:rPr>
          <w:rFonts w:hint="eastAsia" w:hAnsi="宋体" w:cs="宋体"/>
          <w:color w:val="auto"/>
          <w:sz w:val="21"/>
          <w:szCs w:val="21"/>
          <w:highlight w:val="none"/>
          <w:lang w:val="zh-CN"/>
        </w:rPr>
        <w:t xml:space="preserve">23.3 </w:t>
      </w:r>
      <w:r>
        <w:rPr>
          <w:rFonts w:hint="eastAsia" w:hAnsi="宋体" w:cs="宋体"/>
          <w:color w:val="auto"/>
          <w:sz w:val="21"/>
          <w:szCs w:val="21"/>
          <w:highlight w:val="none"/>
        </w:rPr>
        <w:t>凡参与评标工作的有关人员均应自觉接受相关主管部门的监督，不得向他人透露已获得采购文件的潜在投标人的名称、数量以及可能影响公平竞争的有关投标报价的其他情况。</w:t>
      </w:r>
    </w:p>
    <w:p>
      <w:pPr>
        <w:tabs>
          <w:tab w:val="left" w:pos="567"/>
        </w:tabs>
        <w:spacing w:line="360" w:lineRule="auto"/>
        <w:ind w:left="567" w:hanging="567"/>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24</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评标委员会</w:t>
      </w:r>
    </w:p>
    <w:p>
      <w:pPr>
        <w:tabs>
          <w:tab w:val="left" w:pos="567"/>
        </w:tabs>
        <w:spacing w:line="360" w:lineRule="auto"/>
        <w:ind w:left="567" w:hanging="567"/>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24.1</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采购代理机构依法组建评标委员会。评标委员会成员组成详见</w:t>
      </w:r>
      <w:r>
        <w:rPr>
          <w:rFonts w:hint="eastAsia" w:hAnsi="宋体" w:cs="宋体"/>
          <w:color w:val="auto"/>
          <w:sz w:val="21"/>
          <w:szCs w:val="21"/>
          <w:highlight w:val="none"/>
        </w:rPr>
        <w:t>《投标人须知前附表》</w:t>
      </w:r>
      <w:r>
        <w:rPr>
          <w:rFonts w:hint="eastAsia" w:hAnsi="宋体" w:cs="宋体"/>
          <w:color w:val="auto"/>
          <w:kern w:val="2"/>
          <w:sz w:val="21"/>
          <w:szCs w:val="21"/>
          <w:highlight w:val="none"/>
          <w:lang w:val="zh-CN"/>
        </w:rPr>
        <w:t>。</w:t>
      </w:r>
    </w:p>
    <w:p>
      <w:pPr>
        <w:spacing w:line="360" w:lineRule="auto"/>
        <w:ind w:left="567" w:hanging="567"/>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24.2</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评标委员会将只对确定为实质上响应采购文件要求的投标，即通过初审的投标进行评价和比较，响应的依据是采购文件本身的内容，而不寻求其它证据。</w:t>
      </w:r>
    </w:p>
    <w:p>
      <w:pPr>
        <w:spacing w:line="360" w:lineRule="auto"/>
        <w:ind w:left="567" w:hanging="567"/>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24.3</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评标委员会依法根据采购文件的规定，进行投标文件的评审、得出评审结果，评标委员会递交评标报告并依法向采购人推荐中标候选人。</w:t>
      </w:r>
    </w:p>
    <w:p>
      <w:pPr>
        <w:spacing w:line="360" w:lineRule="auto"/>
        <w:ind w:left="567" w:hanging="567"/>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24.4 所有参加评标人员必须遵守国家、地方政府制定的有关采购的法则、规定，遵守有关招标采购的保密制度；如有违反者，给予行政处分；情节严重，构成犯罪的，由司法机关依法追究其刑事责任。</w:t>
      </w:r>
    </w:p>
    <w:p>
      <w:pPr>
        <w:tabs>
          <w:tab w:val="left" w:pos="567"/>
        </w:tabs>
        <w:spacing w:line="360" w:lineRule="auto"/>
        <w:ind w:left="567" w:hanging="567"/>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25</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投标文件的初审</w:t>
      </w:r>
    </w:p>
    <w:p>
      <w:pPr>
        <w:spacing w:line="360" w:lineRule="auto"/>
        <w:ind w:left="540" w:hanging="540"/>
        <w:jc w:val="both"/>
        <w:rPr>
          <w:rFonts w:hAnsi="宋体" w:cs="宋体"/>
          <w:color w:val="auto"/>
          <w:kern w:val="2"/>
          <w:sz w:val="21"/>
          <w:szCs w:val="21"/>
          <w:highlight w:val="none"/>
        </w:rPr>
      </w:pPr>
      <w:r>
        <w:rPr>
          <w:rFonts w:hint="eastAsia" w:hAnsi="宋体" w:cs="宋体"/>
          <w:color w:val="auto"/>
          <w:kern w:val="2"/>
          <w:sz w:val="21"/>
          <w:szCs w:val="21"/>
          <w:highlight w:val="none"/>
          <w:lang w:val="zh-CN"/>
        </w:rPr>
        <w:t>25.1 资格性检查：依据法律法规和采购文件的规定，公开采购项目开标结束后，采购人或者采购代理机构应当依法对投标人的资格进行审查。合格投标人不足3家的，不得评标。</w:t>
      </w:r>
    </w:p>
    <w:p>
      <w:pPr>
        <w:spacing w:line="360" w:lineRule="auto"/>
        <w:ind w:left="540" w:hanging="540"/>
        <w:jc w:val="both"/>
        <w:rPr>
          <w:rFonts w:hAnsi="宋体" w:cs="宋体"/>
          <w:color w:val="auto"/>
          <w:sz w:val="21"/>
          <w:szCs w:val="21"/>
          <w:highlight w:val="none"/>
        </w:rPr>
      </w:pPr>
      <w:r>
        <w:rPr>
          <w:rFonts w:hint="eastAsia" w:hAnsi="宋体" w:cs="宋体"/>
          <w:color w:val="auto"/>
          <w:kern w:val="2"/>
          <w:sz w:val="21"/>
          <w:szCs w:val="21"/>
          <w:highlight w:val="none"/>
          <w:lang w:val="zh-CN"/>
        </w:rPr>
        <w:t>25.2 符合性检查：依据采购文件的规定，评标委员会应当对符合资格的投标人的投标文件进行符合性审查，以确定其是否满足采购文件的实质性要求。</w:t>
      </w:r>
    </w:p>
    <w:p>
      <w:pPr>
        <w:tabs>
          <w:tab w:val="left" w:pos="567"/>
        </w:tabs>
        <w:spacing w:line="360" w:lineRule="auto"/>
        <w:ind w:left="567" w:hanging="567"/>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26</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投标文件的澄清</w:t>
      </w:r>
    </w:p>
    <w:p>
      <w:pPr>
        <w:tabs>
          <w:tab w:val="left" w:pos="540"/>
        </w:tabs>
        <w:spacing w:line="360" w:lineRule="auto"/>
        <w:ind w:left="540" w:right="18" w:hanging="54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26.1 对于投标文件中含义不明确、同类问题表述不一致或者有明显文字和计算错误的内容，评标委员会应当以书面形式要求投标人作出必要的澄清、说明或者补正。</w:t>
      </w:r>
    </w:p>
    <w:p>
      <w:pPr>
        <w:tabs>
          <w:tab w:val="left" w:pos="540"/>
        </w:tabs>
        <w:spacing w:line="360" w:lineRule="auto"/>
        <w:ind w:left="540" w:right="18" w:hanging="54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26.2 投标人的澄清、说明或者补正应当采用书面形式，并加盖公章，或者由法定代表人或其授权的代表签名。投标人的澄清、说明或者补正不得超出投标文件的范围或者改变投标文件的实质性内容。除上述规定的情形之外，评标委员会在评审过程中，不得接收来自评审现场以外的任何形式的文件资料。除评标委员会主动要求澄清、说明或者纠正外，评标定标期间，任何投标人均不得就与其投标相关的任何问题与评标委员会联系。</w:t>
      </w:r>
    </w:p>
    <w:p>
      <w:pPr>
        <w:tabs>
          <w:tab w:val="left" w:pos="540"/>
        </w:tabs>
        <w:spacing w:line="360" w:lineRule="auto"/>
        <w:ind w:left="540" w:right="18" w:hanging="54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26.3 评标委员会成员均应当阅读投标人的澄清，但应独立参考澄清对投标文件进行评审。整个澄清的过程不得存在排斥潜在投标人的现象。</w:t>
      </w:r>
    </w:p>
    <w:p>
      <w:pPr>
        <w:tabs>
          <w:tab w:val="left" w:pos="540"/>
        </w:tabs>
        <w:spacing w:line="360" w:lineRule="auto"/>
        <w:ind w:left="540" w:right="18" w:hanging="54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26.4 如果投标文件实质上不响应采购文件的各项要求，评标委员会将按照符合性审查标准予以拒绝，不接受投标人通过修改或撤销其不符合要求的差异或保留，使之成为具有响应性的投标。</w:t>
      </w:r>
    </w:p>
    <w:p>
      <w:pPr>
        <w:tabs>
          <w:tab w:val="left" w:pos="567"/>
        </w:tabs>
        <w:spacing w:line="360" w:lineRule="auto"/>
        <w:ind w:left="567" w:hanging="567"/>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27</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对投标文件的比较和评价</w:t>
      </w:r>
    </w:p>
    <w:p>
      <w:pPr>
        <w:tabs>
          <w:tab w:val="left" w:pos="540"/>
        </w:tabs>
        <w:spacing w:line="360" w:lineRule="auto"/>
        <w:ind w:left="540" w:right="18" w:hanging="54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27.1</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评标委员会将对符合性检查合格的投标文件进行比较和评价，包括商务、技术的详细评审。</w:t>
      </w:r>
    </w:p>
    <w:p>
      <w:pPr>
        <w:tabs>
          <w:tab w:val="left" w:pos="567"/>
        </w:tabs>
        <w:spacing w:line="360" w:lineRule="auto"/>
        <w:ind w:left="567" w:hanging="567"/>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28</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评标方法</w:t>
      </w:r>
    </w:p>
    <w:p>
      <w:pPr>
        <w:tabs>
          <w:tab w:val="left" w:pos="360"/>
        </w:tabs>
        <w:spacing w:line="360" w:lineRule="auto"/>
        <w:ind w:left="540" w:right="51" w:hanging="54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28.</w:t>
      </w:r>
      <w:r>
        <w:rPr>
          <w:rFonts w:hint="eastAsia" w:hAnsi="宋体" w:cs="宋体"/>
          <w:color w:val="auto"/>
          <w:kern w:val="2"/>
          <w:sz w:val="21"/>
          <w:szCs w:val="21"/>
          <w:highlight w:val="none"/>
        </w:rPr>
        <w:t>1</w:t>
      </w:r>
      <w:r>
        <w:rPr>
          <w:rFonts w:hint="eastAsia" w:hAnsi="宋体" w:cs="宋体"/>
          <w:color w:val="auto"/>
          <w:kern w:val="2"/>
          <w:sz w:val="21"/>
          <w:szCs w:val="21"/>
          <w:highlight w:val="none"/>
          <w:lang w:val="zh-CN"/>
        </w:rPr>
        <w:t xml:space="preserve"> 确定中标人的评标准则是：能够最大限度满足采购文件中规定的各项综合评价标准。评标委员会没有义务必须接受最低报价的投标。</w:t>
      </w:r>
    </w:p>
    <w:p>
      <w:pPr>
        <w:tabs>
          <w:tab w:val="left" w:pos="360"/>
        </w:tabs>
        <w:spacing w:line="360" w:lineRule="auto"/>
        <w:ind w:left="540" w:right="51" w:hanging="54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28.</w:t>
      </w:r>
      <w:r>
        <w:rPr>
          <w:rFonts w:hint="eastAsia" w:hAnsi="宋体" w:cs="宋体"/>
          <w:color w:val="auto"/>
          <w:kern w:val="2"/>
          <w:sz w:val="21"/>
          <w:szCs w:val="21"/>
          <w:highlight w:val="none"/>
        </w:rPr>
        <w:t>2</w:t>
      </w:r>
      <w:r>
        <w:rPr>
          <w:rFonts w:hint="eastAsia" w:hAnsi="宋体" w:cs="宋体"/>
          <w:color w:val="auto"/>
          <w:kern w:val="2"/>
          <w:sz w:val="21"/>
          <w:szCs w:val="21"/>
          <w:highlight w:val="none"/>
          <w:lang w:val="zh-CN"/>
        </w:rPr>
        <w:t xml:space="preserve"> 具体评标方法</w:t>
      </w:r>
      <w:r>
        <w:rPr>
          <w:rFonts w:hint="eastAsia" w:hAnsi="宋体" w:cs="宋体"/>
          <w:color w:val="auto"/>
          <w:sz w:val="21"/>
          <w:szCs w:val="21"/>
          <w:highlight w:val="none"/>
        </w:rPr>
        <w:t>详见第四篇评标工作大纲。</w:t>
      </w:r>
    </w:p>
    <w:p>
      <w:pPr>
        <w:tabs>
          <w:tab w:val="left" w:pos="567"/>
          <w:tab w:val="left" w:pos="720"/>
          <w:tab w:val="left" w:pos="3460"/>
        </w:tabs>
        <w:spacing w:line="360" w:lineRule="auto"/>
        <w:ind w:left="567" w:hanging="567"/>
        <w:jc w:val="both"/>
        <w:rPr>
          <w:rFonts w:hAnsi="宋体" w:cs="宋体"/>
          <w:color w:val="auto"/>
          <w:sz w:val="21"/>
          <w:szCs w:val="21"/>
          <w:highlight w:val="none"/>
        </w:rPr>
      </w:pPr>
      <w:r>
        <w:rPr>
          <w:rFonts w:hint="eastAsia" w:hAnsi="宋体" w:cs="宋体"/>
          <w:color w:val="auto"/>
          <w:sz w:val="21"/>
          <w:szCs w:val="21"/>
          <w:highlight w:val="none"/>
        </w:rPr>
        <w:t>29  定标</w:t>
      </w:r>
    </w:p>
    <w:p>
      <w:pPr>
        <w:tabs>
          <w:tab w:val="left" w:pos="540"/>
          <w:tab w:val="left" w:pos="720"/>
          <w:tab w:val="left" w:pos="3460"/>
        </w:tabs>
        <w:spacing w:line="360" w:lineRule="auto"/>
        <w:ind w:left="540" w:right="18" w:hanging="54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29.1 采购人确认评标委员会推荐的评标结果后，由采购人对中标候选投标人的资格和履约能力进行再次审查，凡发现中标候选投标人有下列情形之一的，将移交监督管理部门依法处理：</w:t>
      </w:r>
    </w:p>
    <w:p>
      <w:pPr>
        <w:numPr>
          <w:ilvl w:val="0"/>
          <w:numId w:val="16"/>
        </w:numPr>
        <w:tabs>
          <w:tab w:val="left" w:pos="540"/>
          <w:tab w:val="left" w:pos="1134"/>
          <w:tab w:val="clear" w:pos="960"/>
        </w:tabs>
        <w:spacing w:line="360" w:lineRule="auto"/>
        <w:ind w:left="1134" w:right="17" w:rightChars="7" w:hanging="594"/>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提供虚假材料谋取中标的；</w:t>
      </w:r>
    </w:p>
    <w:p>
      <w:pPr>
        <w:numPr>
          <w:ilvl w:val="0"/>
          <w:numId w:val="16"/>
        </w:numPr>
        <w:tabs>
          <w:tab w:val="left" w:pos="540"/>
          <w:tab w:val="left" w:pos="1134"/>
          <w:tab w:val="clear" w:pos="960"/>
        </w:tabs>
        <w:spacing w:line="360" w:lineRule="auto"/>
        <w:ind w:left="1134" w:right="17" w:rightChars="7" w:hanging="594"/>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采取不正当手段诋毁、排挤其他投标人的；</w:t>
      </w:r>
    </w:p>
    <w:p>
      <w:pPr>
        <w:numPr>
          <w:ilvl w:val="0"/>
          <w:numId w:val="16"/>
        </w:numPr>
        <w:tabs>
          <w:tab w:val="left" w:pos="540"/>
          <w:tab w:val="left" w:pos="1134"/>
          <w:tab w:val="clear" w:pos="960"/>
        </w:tabs>
        <w:spacing w:line="360" w:lineRule="auto"/>
        <w:ind w:left="1134" w:right="17" w:rightChars="7" w:hanging="594"/>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与采购人、其他投标人恶意串通的；</w:t>
      </w:r>
    </w:p>
    <w:p>
      <w:pPr>
        <w:numPr>
          <w:ilvl w:val="0"/>
          <w:numId w:val="16"/>
        </w:numPr>
        <w:tabs>
          <w:tab w:val="left" w:pos="540"/>
          <w:tab w:val="left" w:pos="1134"/>
          <w:tab w:val="clear" w:pos="960"/>
        </w:tabs>
        <w:spacing w:line="360" w:lineRule="auto"/>
        <w:ind w:left="1134" w:right="17" w:rightChars="7" w:hanging="594"/>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向采购人行贿或者提供其他不正当利益的；</w:t>
      </w:r>
    </w:p>
    <w:p>
      <w:pPr>
        <w:numPr>
          <w:ilvl w:val="0"/>
          <w:numId w:val="16"/>
        </w:numPr>
        <w:tabs>
          <w:tab w:val="left" w:pos="540"/>
          <w:tab w:val="left" w:pos="1134"/>
          <w:tab w:val="clear" w:pos="960"/>
        </w:tabs>
        <w:spacing w:line="360" w:lineRule="auto"/>
        <w:ind w:left="1134" w:right="17" w:rightChars="7" w:hanging="594"/>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在采购过程中与采购人进行协商谈判、不按照采购文件和中标人的投标文件订立合同，或者与采购人另行订立背离合同实质性内容的协议的；</w:t>
      </w:r>
    </w:p>
    <w:p>
      <w:pPr>
        <w:numPr>
          <w:ilvl w:val="0"/>
          <w:numId w:val="16"/>
        </w:numPr>
        <w:tabs>
          <w:tab w:val="left" w:pos="540"/>
          <w:tab w:val="left" w:pos="1134"/>
          <w:tab w:val="clear" w:pos="960"/>
        </w:tabs>
        <w:spacing w:line="360" w:lineRule="auto"/>
        <w:ind w:left="1134" w:right="17" w:rightChars="7" w:hanging="594"/>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拒绝有关部门监督检查或者提供虚假情况的。</w:t>
      </w:r>
    </w:p>
    <w:p>
      <w:pPr>
        <w:tabs>
          <w:tab w:val="left" w:pos="540"/>
          <w:tab w:val="left" w:pos="720"/>
          <w:tab w:val="left" w:pos="3460"/>
        </w:tabs>
        <w:spacing w:line="360" w:lineRule="auto"/>
        <w:ind w:left="540" w:right="18" w:hanging="54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29.2 投标人有前款（1）至（</w:t>
      </w:r>
      <w:r>
        <w:rPr>
          <w:rFonts w:hint="eastAsia" w:hAnsi="宋体" w:cs="宋体"/>
          <w:color w:val="auto"/>
          <w:kern w:val="2"/>
          <w:sz w:val="21"/>
          <w:szCs w:val="21"/>
          <w:highlight w:val="none"/>
        </w:rPr>
        <w:t>6</w:t>
      </w:r>
      <w:r>
        <w:rPr>
          <w:rFonts w:hint="eastAsia" w:hAnsi="宋体" w:cs="宋体"/>
          <w:color w:val="auto"/>
          <w:kern w:val="2"/>
          <w:sz w:val="21"/>
          <w:szCs w:val="21"/>
          <w:highlight w:val="none"/>
          <w:lang w:val="zh-CN"/>
        </w:rPr>
        <w:t>）项情形之一的，中标无效。</w:t>
      </w:r>
    </w:p>
    <w:p>
      <w:pPr>
        <w:tabs>
          <w:tab w:val="left" w:pos="540"/>
          <w:tab w:val="left" w:pos="720"/>
          <w:tab w:val="left" w:pos="3460"/>
        </w:tabs>
        <w:spacing w:line="360" w:lineRule="auto"/>
        <w:ind w:left="540" w:right="18" w:hanging="54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29.3 采购代理机构在评标结束后将评标推荐意见及采购结果确认书送采购人。采购人依法确定中标人。</w:t>
      </w:r>
    </w:p>
    <w:p>
      <w:pPr>
        <w:tabs>
          <w:tab w:val="left" w:pos="540"/>
          <w:tab w:val="left" w:pos="720"/>
          <w:tab w:val="left" w:pos="3460"/>
        </w:tabs>
        <w:spacing w:line="360" w:lineRule="auto"/>
        <w:ind w:left="540" w:right="18" w:hanging="540"/>
        <w:jc w:val="both"/>
        <w:rPr>
          <w:rFonts w:hAnsi="宋体"/>
          <w:color w:val="auto"/>
          <w:kern w:val="2"/>
          <w:sz w:val="21"/>
          <w:szCs w:val="21"/>
          <w:highlight w:val="none"/>
          <w:lang w:val="zh-CN"/>
        </w:rPr>
      </w:pPr>
      <w:r>
        <w:rPr>
          <w:rFonts w:hint="eastAsia" w:hAnsi="宋体" w:cs="宋体"/>
          <w:color w:val="auto"/>
          <w:kern w:val="2"/>
          <w:sz w:val="21"/>
          <w:szCs w:val="21"/>
          <w:highlight w:val="none"/>
          <w:lang w:val="zh-CN"/>
        </w:rPr>
        <w:t>3</w:t>
      </w:r>
      <w:r>
        <w:rPr>
          <w:rFonts w:hint="eastAsia" w:hAnsi="宋体" w:cs="宋体"/>
          <w:color w:val="auto"/>
          <w:kern w:val="2"/>
          <w:sz w:val="21"/>
          <w:szCs w:val="21"/>
          <w:highlight w:val="none"/>
        </w:rPr>
        <w:t>0</w:t>
      </w:r>
      <w:r>
        <w:rPr>
          <w:rFonts w:hint="eastAsia" w:hAnsi="宋体" w:cs="宋体"/>
          <w:color w:val="auto"/>
          <w:kern w:val="2"/>
          <w:sz w:val="21"/>
          <w:szCs w:val="21"/>
          <w:highlight w:val="none"/>
          <w:lang w:val="zh-CN"/>
        </w:rPr>
        <w:tab/>
      </w:r>
      <w:r>
        <w:rPr>
          <w:rFonts w:hint="eastAsia" w:hAnsi="宋体"/>
          <w:color w:val="auto"/>
          <w:kern w:val="2"/>
          <w:sz w:val="21"/>
          <w:szCs w:val="21"/>
          <w:highlight w:val="none"/>
          <w:lang w:val="zh-CN"/>
        </w:rPr>
        <w:t>资格后审</w:t>
      </w:r>
    </w:p>
    <w:p>
      <w:pPr>
        <w:tabs>
          <w:tab w:val="left" w:pos="540"/>
          <w:tab w:val="left" w:pos="720"/>
          <w:tab w:val="left" w:pos="3460"/>
        </w:tabs>
        <w:spacing w:line="360" w:lineRule="auto"/>
        <w:ind w:left="540" w:right="18" w:hanging="540"/>
        <w:jc w:val="both"/>
        <w:rPr>
          <w:rFonts w:hAnsi="宋体"/>
          <w:color w:val="auto"/>
          <w:kern w:val="2"/>
          <w:sz w:val="21"/>
          <w:szCs w:val="21"/>
          <w:highlight w:val="none"/>
          <w:lang w:val="zh-CN"/>
        </w:rPr>
      </w:pPr>
      <w:r>
        <w:rPr>
          <w:rFonts w:hint="eastAsia" w:hAnsi="宋体"/>
          <w:color w:val="auto"/>
          <w:kern w:val="2"/>
          <w:sz w:val="21"/>
          <w:szCs w:val="21"/>
          <w:highlight w:val="none"/>
        </w:rPr>
        <w:t xml:space="preserve">30.1 </w:t>
      </w:r>
      <w:r>
        <w:rPr>
          <w:rFonts w:hint="eastAsia" w:hAnsi="宋体"/>
          <w:color w:val="auto"/>
          <w:kern w:val="2"/>
          <w:sz w:val="21"/>
          <w:szCs w:val="21"/>
          <w:highlight w:val="none"/>
          <w:lang w:val="zh-CN"/>
        </w:rPr>
        <w:t>采购人将根据本文件中的要求，对评委会推荐的中标候选人进行资格后审。</w:t>
      </w:r>
    </w:p>
    <w:p>
      <w:pPr>
        <w:tabs>
          <w:tab w:val="left" w:pos="540"/>
          <w:tab w:val="left" w:pos="720"/>
          <w:tab w:val="left" w:pos="3460"/>
        </w:tabs>
        <w:spacing w:line="360" w:lineRule="auto"/>
        <w:ind w:left="540" w:right="18" w:hanging="540"/>
        <w:jc w:val="both"/>
        <w:rPr>
          <w:rFonts w:hAnsi="宋体"/>
          <w:color w:val="auto"/>
          <w:kern w:val="2"/>
          <w:sz w:val="21"/>
          <w:szCs w:val="21"/>
          <w:highlight w:val="none"/>
          <w:lang w:val="zh-CN"/>
        </w:rPr>
      </w:pPr>
      <w:r>
        <w:rPr>
          <w:rFonts w:hint="eastAsia" w:hAnsi="宋体"/>
          <w:color w:val="auto"/>
          <w:kern w:val="2"/>
          <w:sz w:val="21"/>
          <w:szCs w:val="21"/>
          <w:highlight w:val="none"/>
        </w:rPr>
        <w:t xml:space="preserve">30.2 </w:t>
      </w:r>
      <w:r>
        <w:rPr>
          <w:rFonts w:hint="eastAsia" w:hAnsi="宋体"/>
          <w:color w:val="auto"/>
          <w:kern w:val="2"/>
          <w:sz w:val="21"/>
          <w:szCs w:val="21"/>
          <w:highlight w:val="none"/>
          <w:lang w:val="zh-CN"/>
        </w:rPr>
        <w:t>中标候选人须无条件配合资格后审，否则采购人有权取消其中标资格，且投标保证金可不予退还。</w:t>
      </w:r>
    </w:p>
    <w:p>
      <w:pPr>
        <w:tabs>
          <w:tab w:val="left" w:pos="540"/>
          <w:tab w:val="left" w:pos="720"/>
          <w:tab w:val="left" w:pos="3460"/>
        </w:tabs>
        <w:spacing w:line="360" w:lineRule="auto"/>
        <w:ind w:left="540" w:right="18" w:hanging="540"/>
        <w:jc w:val="both"/>
        <w:rPr>
          <w:rFonts w:hAnsi="宋体"/>
          <w:color w:val="auto"/>
          <w:kern w:val="2"/>
          <w:sz w:val="21"/>
          <w:szCs w:val="21"/>
          <w:highlight w:val="none"/>
          <w:lang w:val="zh-CN"/>
        </w:rPr>
      </w:pPr>
      <w:r>
        <w:rPr>
          <w:rFonts w:hint="eastAsia" w:hAnsi="宋体"/>
          <w:color w:val="auto"/>
          <w:kern w:val="2"/>
          <w:sz w:val="21"/>
          <w:szCs w:val="21"/>
          <w:highlight w:val="none"/>
        </w:rPr>
        <w:t xml:space="preserve">30.3 </w:t>
      </w:r>
      <w:r>
        <w:rPr>
          <w:rFonts w:hint="eastAsia" w:hAnsi="宋体"/>
          <w:color w:val="auto"/>
          <w:kern w:val="2"/>
          <w:sz w:val="21"/>
          <w:szCs w:val="21"/>
          <w:highlight w:val="none"/>
          <w:lang w:val="zh-CN"/>
        </w:rPr>
        <w:t>资格后审须提供包括但不限于营业执照、税务登记证和在投标文件中提供的资质证明文件、业绩等重要证明文件的原件进行核对，综合考察中标供应商的履约能力。如采购人要求还须提供业绩证明的其他材料,中标候选人须配合提供。如授权其分支机构进行项目实施或提供售后服务的，亦应提供其与分支机构关系的法律证明材料。</w:t>
      </w:r>
    </w:p>
    <w:p>
      <w:pPr>
        <w:tabs>
          <w:tab w:val="left" w:pos="540"/>
          <w:tab w:val="left" w:pos="720"/>
          <w:tab w:val="left" w:pos="3460"/>
        </w:tabs>
        <w:spacing w:line="360" w:lineRule="auto"/>
        <w:ind w:left="540" w:right="18" w:hanging="540"/>
        <w:jc w:val="both"/>
        <w:rPr>
          <w:rFonts w:hAnsi="宋体"/>
          <w:color w:val="auto"/>
          <w:kern w:val="2"/>
          <w:sz w:val="21"/>
          <w:szCs w:val="21"/>
          <w:highlight w:val="none"/>
          <w:lang w:val="zh-CN"/>
        </w:rPr>
      </w:pPr>
      <w:r>
        <w:rPr>
          <w:rFonts w:hint="eastAsia" w:hAnsi="宋体"/>
          <w:color w:val="auto"/>
          <w:kern w:val="2"/>
          <w:sz w:val="21"/>
          <w:szCs w:val="21"/>
          <w:highlight w:val="none"/>
        </w:rPr>
        <w:t xml:space="preserve">30.4 </w:t>
      </w:r>
      <w:r>
        <w:rPr>
          <w:rFonts w:hint="eastAsia" w:hAnsi="宋体"/>
          <w:color w:val="auto"/>
          <w:kern w:val="2"/>
          <w:sz w:val="21"/>
          <w:szCs w:val="21"/>
          <w:highlight w:val="none"/>
          <w:lang w:val="zh-CN"/>
        </w:rPr>
        <w:t>如发现中标候选人以他人名义投标或者以其他方式弄虚作假，骗取中标的，采购人有权取消其中标资格，且投标保证金可不予退还；给采购人造成损失的，应依法承担赔偿责任。</w:t>
      </w:r>
    </w:p>
    <w:p>
      <w:pPr>
        <w:tabs>
          <w:tab w:val="left" w:pos="567"/>
        </w:tabs>
        <w:spacing w:line="360" w:lineRule="auto"/>
        <w:ind w:left="567" w:hanging="567"/>
        <w:jc w:val="both"/>
        <w:rPr>
          <w:rFonts w:hAnsi="宋体"/>
          <w:color w:val="auto"/>
          <w:kern w:val="2"/>
          <w:sz w:val="21"/>
          <w:szCs w:val="21"/>
          <w:highlight w:val="none"/>
          <w:lang w:val="zh-CN"/>
        </w:rPr>
      </w:pPr>
      <w:r>
        <w:rPr>
          <w:rFonts w:hint="eastAsia" w:hAnsi="宋体"/>
          <w:color w:val="auto"/>
          <w:kern w:val="2"/>
          <w:sz w:val="21"/>
          <w:szCs w:val="21"/>
          <w:highlight w:val="none"/>
        </w:rPr>
        <w:t xml:space="preserve">30.5 </w:t>
      </w:r>
      <w:r>
        <w:rPr>
          <w:rFonts w:hint="eastAsia" w:hAnsi="宋体"/>
          <w:color w:val="auto"/>
          <w:kern w:val="2"/>
          <w:sz w:val="21"/>
          <w:szCs w:val="21"/>
          <w:highlight w:val="none"/>
          <w:lang w:val="zh-CN"/>
        </w:rPr>
        <w:t>采购人有权审查中标候选人是否具备履行合同的能力，包括但不限于对其规模、人员、场地、生产能力、供货能力等方面的核实或现场考察。如果审查通过，采购人将把合同授予该中标人；如果审查没有通过，采购人有权取消其中标资</w:t>
      </w:r>
    </w:p>
    <w:p>
      <w:pPr>
        <w:tabs>
          <w:tab w:val="left" w:pos="567"/>
        </w:tabs>
        <w:spacing w:line="360" w:lineRule="auto"/>
        <w:ind w:left="567" w:hanging="567"/>
        <w:jc w:val="both"/>
        <w:rPr>
          <w:rFonts w:hAnsi="宋体" w:cs="宋体"/>
          <w:color w:val="auto"/>
          <w:kern w:val="2"/>
          <w:sz w:val="21"/>
          <w:szCs w:val="21"/>
          <w:highlight w:val="none"/>
          <w:lang w:val="zh-CN"/>
        </w:rPr>
      </w:pPr>
      <w:r>
        <w:rPr>
          <w:rFonts w:hint="eastAsia" w:hAnsi="宋体" w:cs="宋体"/>
          <w:color w:val="auto"/>
          <w:sz w:val="21"/>
          <w:szCs w:val="21"/>
          <w:highlight w:val="none"/>
        </w:rPr>
        <w:t xml:space="preserve">31   </w:t>
      </w:r>
      <w:r>
        <w:rPr>
          <w:rFonts w:hint="eastAsia" w:hAnsi="宋体" w:cs="宋体"/>
          <w:color w:val="auto"/>
          <w:kern w:val="2"/>
          <w:sz w:val="21"/>
          <w:szCs w:val="21"/>
          <w:highlight w:val="none"/>
          <w:lang w:val="zh-CN"/>
        </w:rPr>
        <w:t>中标通知</w:t>
      </w:r>
    </w:p>
    <w:p>
      <w:pPr>
        <w:tabs>
          <w:tab w:val="left" w:pos="540"/>
        </w:tabs>
        <w:spacing w:line="360" w:lineRule="auto"/>
        <w:ind w:left="540" w:right="18" w:hanging="54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3</w:t>
      </w:r>
      <w:r>
        <w:rPr>
          <w:rFonts w:hint="eastAsia" w:hAnsi="宋体" w:cs="宋体"/>
          <w:color w:val="auto"/>
          <w:kern w:val="2"/>
          <w:sz w:val="21"/>
          <w:szCs w:val="21"/>
          <w:highlight w:val="none"/>
        </w:rPr>
        <w:t>1</w:t>
      </w:r>
      <w:r>
        <w:rPr>
          <w:rFonts w:hint="eastAsia" w:hAnsi="宋体" w:cs="宋体"/>
          <w:color w:val="auto"/>
          <w:kern w:val="2"/>
          <w:sz w:val="21"/>
          <w:szCs w:val="21"/>
          <w:highlight w:val="none"/>
          <w:lang w:val="zh-CN"/>
        </w:rPr>
        <w:t>.1</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采购代理机构自采购人确定中标人之日起2个工作日内，发出中标通知书，并在采购文件载明的信息媒体上公告中标结果及采购文件。</w:t>
      </w:r>
    </w:p>
    <w:p>
      <w:pPr>
        <w:spacing w:line="360" w:lineRule="auto"/>
        <w:ind w:left="540" w:right="18" w:hanging="54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3</w:t>
      </w:r>
      <w:r>
        <w:rPr>
          <w:rFonts w:hint="eastAsia" w:hAnsi="宋体" w:cs="宋体"/>
          <w:color w:val="auto"/>
          <w:kern w:val="2"/>
          <w:sz w:val="21"/>
          <w:szCs w:val="21"/>
          <w:highlight w:val="none"/>
        </w:rPr>
        <w:t>1</w:t>
      </w:r>
      <w:r>
        <w:rPr>
          <w:rFonts w:hint="eastAsia" w:hAnsi="宋体" w:cs="宋体"/>
          <w:color w:val="auto"/>
          <w:kern w:val="2"/>
          <w:sz w:val="21"/>
          <w:szCs w:val="21"/>
          <w:highlight w:val="none"/>
          <w:lang w:val="zh-CN"/>
        </w:rPr>
        <w:t>.2</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《中标通知书》是合同的一个组成部分，《中标通知书》对采购人和中标人均具有同等法律效力；《中标通知书》发出后，采购人改变中标结果，或者中标人放弃中标，应当承担相应的法律责任。</w:t>
      </w:r>
    </w:p>
    <w:p>
      <w:pPr>
        <w:tabs>
          <w:tab w:val="left" w:pos="567"/>
          <w:tab w:val="left" w:pos="720"/>
          <w:tab w:val="left" w:pos="3460"/>
        </w:tabs>
        <w:spacing w:line="360" w:lineRule="auto"/>
        <w:ind w:left="567" w:hanging="567"/>
        <w:jc w:val="both"/>
        <w:rPr>
          <w:rFonts w:hAnsi="宋体" w:cs="宋体"/>
          <w:color w:val="auto"/>
          <w:sz w:val="21"/>
          <w:szCs w:val="21"/>
          <w:highlight w:val="none"/>
        </w:rPr>
      </w:pPr>
      <w:r>
        <w:rPr>
          <w:rFonts w:hint="eastAsia" w:hAnsi="宋体" w:cs="宋体"/>
          <w:color w:val="auto"/>
          <w:sz w:val="21"/>
          <w:szCs w:val="21"/>
          <w:highlight w:val="none"/>
        </w:rPr>
        <w:t>32   废标的认定</w:t>
      </w:r>
    </w:p>
    <w:p>
      <w:pPr>
        <w:tabs>
          <w:tab w:val="left" w:pos="540"/>
        </w:tabs>
        <w:spacing w:line="360" w:lineRule="auto"/>
        <w:ind w:left="540" w:right="18" w:hanging="54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3</w:t>
      </w:r>
      <w:r>
        <w:rPr>
          <w:rFonts w:hint="eastAsia" w:hAnsi="宋体" w:cs="宋体"/>
          <w:color w:val="auto"/>
          <w:kern w:val="2"/>
          <w:sz w:val="21"/>
          <w:szCs w:val="21"/>
          <w:highlight w:val="none"/>
        </w:rPr>
        <w:t>2</w:t>
      </w:r>
      <w:r>
        <w:rPr>
          <w:rFonts w:hint="eastAsia" w:hAnsi="宋体" w:cs="宋体"/>
          <w:color w:val="auto"/>
          <w:kern w:val="2"/>
          <w:sz w:val="21"/>
          <w:szCs w:val="21"/>
          <w:highlight w:val="none"/>
          <w:lang w:val="zh-CN"/>
        </w:rPr>
        <w:t>.1 符合专业条件的投标人或者对采购文件作实质响应的投标人不足三家的；</w:t>
      </w:r>
    </w:p>
    <w:p>
      <w:pPr>
        <w:tabs>
          <w:tab w:val="left" w:pos="540"/>
        </w:tabs>
        <w:spacing w:line="360" w:lineRule="auto"/>
        <w:ind w:left="540" w:right="18" w:hanging="54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3</w:t>
      </w:r>
      <w:r>
        <w:rPr>
          <w:rFonts w:hint="eastAsia" w:hAnsi="宋体" w:cs="宋体"/>
          <w:color w:val="auto"/>
          <w:kern w:val="2"/>
          <w:sz w:val="21"/>
          <w:szCs w:val="21"/>
          <w:highlight w:val="none"/>
        </w:rPr>
        <w:t>2</w:t>
      </w:r>
      <w:r>
        <w:rPr>
          <w:rFonts w:hint="eastAsia" w:hAnsi="宋体" w:cs="宋体"/>
          <w:color w:val="auto"/>
          <w:kern w:val="2"/>
          <w:sz w:val="21"/>
          <w:szCs w:val="21"/>
          <w:highlight w:val="none"/>
          <w:lang w:val="zh-CN"/>
        </w:rPr>
        <w:t>.2 出现影响采购公正的违法、违规行为的；</w:t>
      </w:r>
    </w:p>
    <w:p>
      <w:pPr>
        <w:tabs>
          <w:tab w:val="left" w:pos="540"/>
        </w:tabs>
        <w:spacing w:line="360" w:lineRule="auto"/>
        <w:ind w:left="540" w:right="18" w:hanging="54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3</w:t>
      </w:r>
      <w:r>
        <w:rPr>
          <w:rFonts w:hint="eastAsia" w:hAnsi="宋体" w:cs="宋体"/>
          <w:color w:val="auto"/>
          <w:kern w:val="2"/>
          <w:sz w:val="21"/>
          <w:szCs w:val="21"/>
          <w:highlight w:val="none"/>
        </w:rPr>
        <w:t>2</w:t>
      </w:r>
      <w:r>
        <w:rPr>
          <w:rFonts w:hint="eastAsia" w:hAnsi="宋体" w:cs="宋体"/>
          <w:color w:val="auto"/>
          <w:kern w:val="2"/>
          <w:sz w:val="21"/>
          <w:szCs w:val="21"/>
          <w:highlight w:val="none"/>
          <w:lang w:val="zh-CN"/>
        </w:rPr>
        <w:t>.</w:t>
      </w:r>
      <w:r>
        <w:rPr>
          <w:rFonts w:hint="eastAsia" w:hAnsi="宋体" w:cs="宋体"/>
          <w:color w:val="auto"/>
          <w:kern w:val="2"/>
          <w:sz w:val="21"/>
          <w:szCs w:val="21"/>
          <w:highlight w:val="none"/>
        </w:rPr>
        <w:t>3</w:t>
      </w:r>
      <w:r>
        <w:rPr>
          <w:rFonts w:hint="eastAsia" w:hAnsi="宋体" w:cs="宋体"/>
          <w:color w:val="auto"/>
          <w:kern w:val="2"/>
          <w:sz w:val="21"/>
          <w:szCs w:val="21"/>
          <w:highlight w:val="none"/>
          <w:lang w:val="zh-CN"/>
        </w:rPr>
        <w:t xml:space="preserve"> 因重大变故，采购任务取消的。</w:t>
      </w:r>
    </w:p>
    <w:p>
      <w:pPr>
        <w:tabs>
          <w:tab w:val="left" w:pos="540"/>
        </w:tabs>
        <w:spacing w:line="360" w:lineRule="auto"/>
        <w:ind w:left="540" w:right="18" w:hanging="540"/>
        <w:jc w:val="both"/>
        <w:rPr>
          <w:rFonts w:hAnsi="宋体" w:cs="宋体"/>
          <w:color w:val="auto"/>
          <w:kern w:val="2"/>
          <w:sz w:val="21"/>
          <w:szCs w:val="21"/>
          <w:highlight w:val="none"/>
          <w:lang w:val="zh-CN"/>
        </w:rPr>
      </w:pPr>
      <w:r>
        <w:rPr>
          <w:rFonts w:hint="eastAsia" w:hAnsi="宋体" w:cs="宋体"/>
          <w:color w:val="auto"/>
          <w:kern w:val="2"/>
          <w:sz w:val="21"/>
          <w:szCs w:val="21"/>
          <w:highlight w:val="none"/>
        </w:rPr>
        <w:t xml:space="preserve">33   </w:t>
      </w:r>
      <w:r>
        <w:rPr>
          <w:rFonts w:hint="eastAsia" w:hAnsi="宋体" w:cs="宋体"/>
          <w:color w:val="auto"/>
          <w:kern w:val="2"/>
          <w:sz w:val="21"/>
          <w:szCs w:val="21"/>
          <w:highlight w:val="none"/>
          <w:lang w:val="zh-CN"/>
        </w:rPr>
        <w:t>有下列情形之一的，视为投标人串通投标，其投标无效：</w:t>
      </w:r>
    </w:p>
    <w:p>
      <w:pPr>
        <w:tabs>
          <w:tab w:val="left" w:pos="540"/>
        </w:tabs>
        <w:spacing w:line="360" w:lineRule="auto"/>
        <w:ind w:left="540" w:right="18" w:hanging="540"/>
        <w:jc w:val="both"/>
        <w:rPr>
          <w:rFonts w:hAnsi="宋体" w:cs="宋体"/>
          <w:color w:val="auto"/>
          <w:kern w:val="2"/>
          <w:sz w:val="21"/>
          <w:szCs w:val="21"/>
          <w:highlight w:val="none"/>
          <w:lang w:val="zh-CN"/>
        </w:rPr>
      </w:pPr>
      <w:r>
        <w:rPr>
          <w:rFonts w:hint="eastAsia" w:hAnsi="宋体" w:cs="宋体"/>
          <w:color w:val="auto"/>
          <w:kern w:val="2"/>
          <w:sz w:val="21"/>
          <w:szCs w:val="21"/>
          <w:highlight w:val="none"/>
        </w:rPr>
        <w:t xml:space="preserve">33.1 </w:t>
      </w:r>
      <w:r>
        <w:rPr>
          <w:rFonts w:hint="eastAsia" w:hAnsi="宋体" w:cs="宋体"/>
          <w:color w:val="auto"/>
          <w:kern w:val="2"/>
          <w:sz w:val="21"/>
          <w:szCs w:val="21"/>
          <w:highlight w:val="none"/>
          <w:lang w:val="zh-CN"/>
        </w:rPr>
        <w:t>不同投标人的投标文件由同一单位或者个人编制;</w:t>
      </w:r>
    </w:p>
    <w:p>
      <w:pPr>
        <w:tabs>
          <w:tab w:val="left" w:pos="540"/>
        </w:tabs>
        <w:spacing w:line="360" w:lineRule="auto"/>
        <w:ind w:left="540" w:right="18" w:hanging="540"/>
        <w:jc w:val="both"/>
        <w:rPr>
          <w:rFonts w:hAnsi="宋体" w:cs="宋体"/>
          <w:color w:val="auto"/>
          <w:kern w:val="2"/>
          <w:sz w:val="21"/>
          <w:szCs w:val="21"/>
          <w:highlight w:val="none"/>
          <w:lang w:val="zh-CN"/>
        </w:rPr>
      </w:pPr>
      <w:r>
        <w:rPr>
          <w:rFonts w:hint="eastAsia" w:hAnsi="宋体" w:cs="宋体"/>
          <w:color w:val="auto"/>
          <w:kern w:val="2"/>
          <w:sz w:val="21"/>
          <w:szCs w:val="21"/>
          <w:highlight w:val="none"/>
        </w:rPr>
        <w:t xml:space="preserve">33.2 </w:t>
      </w:r>
      <w:r>
        <w:rPr>
          <w:rFonts w:hint="eastAsia" w:hAnsi="宋体" w:cs="宋体"/>
          <w:color w:val="auto"/>
          <w:kern w:val="2"/>
          <w:sz w:val="21"/>
          <w:szCs w:val="21"/>
          <w:highlight w:val="none"/>
          <w:lang w:val="zh-CN"/>
        </w:rPr>
        <w:t>不同投标人委托同一单位或者个人办理投标事宜;</w:t>
      </w:r>
    </w:p>
    <w:p>
      <w:pPr>
        <w:tabs>
          <w:tab w:val="left" w:pos="540"/>
        </w:tabs>
        <w:spacing w:line="360" w:lineRule="auto"/>
        <w:ind w:left="540" w:right="18" w:hanging="540"/>
        <w:jc w:val="both"/>
        <w:rPr>
          <w:rFonts w:hAnsi="宋体" w:cs="宋体"/>
          <w:color w:val="auto"/>
          <w:kern w:val="2"/>
          <w:sz w:val="21"/>
          <w:szCs w:val="21"/>
          <w:highlight w:val="none"/>
          <w:lang w:val="zh-CN"/>
        </w:rPr>
      </w:pPr>
      <w:r>
        <w:rPr>
          <w:rFonts w:hint="eastAsia" w:hAnsi="宋体" w:cs="宋体"/>
          <w:color w:val="auto"/>
          <w:kern w:val="2"/>
          <w:sz w:val="21"/>
          <w:szCs w:val="21"/>
          <w:highlight w:val="none"/>
        </w:rPr>
        <w:t xml:space="preserve">33.3 </w:t>
      </w:r>
      <w:r>
        <w:rPr>
          <w:rFonts w:hint="eastAsia" w:hAnsi="宋体" w:cs="宋体"/>
          <w:color w:val="auto"/>
          <w:kern w:val="2"/>
          <w:sz w:val="21"/>
          <w:szCs w:val="21"/>
          <w:highlight w:val="none"/>
          <w:lang w:val="zh-CN"/>
        </w:rPr>
        <w:t>不同投标人的投标文件载明的项目管理成员或者联系人员为同一人;</w:t>
      </w:r>
    </w:p>
    <w:p>
      <w:pPr>
        <w:tabs>
          <w:tab w:val="left" w:pos="540"/>
        </w:tabs>
        <w:spacing w:line="360" w:lineRule="auto"/>
        <w:ind w:left="540" w:right="18" w:hanging="540"/>
        <w:jc w:val="both"/>
        <w:rPr>
          <w:rFonts w:hAnsi="宋体" w:cs="宋体"/>
          <w:color w:val="auto"/>
          <w:kern w:val="2"/>
          <w:sz w:val="21"/>
          <w:szCs w:val="21"/>
          <w:highlight w:val="none"/>
          <w:lang w:val="zh-CN"/>
        </w:rPr>
      </w:pPr>
      <w:r>
        <w:rPr>
          <w:rFonts w:hint="eastAsia" w:hAnsi="宋体" w:cs="宋体"/>
          <w:color w:val="auto"/>
          <w:kern w:val="2"/>
          <w:sz w:val="21"/>
          <w:szCs w:val="21"/>
          <w:highlight w:val="none"/>
        </w:rPr>
        <w:t xml:space="preserve">33.4 </w:t>
      </w:r>
      <w:r>
        <w:rPr>
          <w:rFonts w:hint="eastAsia" w:hAnsi="宋体" w:cs="宋体"/>
          <w:color w:val="auto"/>
          <w:kern w:val="2"/>
          <w:sz w:val="21"/>
          <w:szCs w:val="21"/>
          <w:highlight w:val="none"/>
          <w:lang w:val="zh-CN"/>
        </w:rPr>
        <w:t>不同投标人的投标文件异常一致或者投标报价呈规律性差异;</w:t>
      </w:r>
    </w:p>
    <w:p>
      <w:pPr>
        <w:tabs>
          <w:tab w:val="left" w:pos="540"/>
        </w:tabs>
        <w:spacing w:line="360" w:lineRule="auto"/>
        <w:ind w:left="540" w:right="18" w:hanging="540"/>
        <w:jc w:val="both"/>
        <w:rPr>
          <w:rFonts w:hAnsi="宋体" w:cs="宋体"/>
          <w:color w:val="auto"/>
          <w:kern w:val="2"/>
          <w:sz w:val="21"/>
          <w:szCs w:val="21"/>
          <w:highlight w:val="none"/>
          <w:lang w:val="zh-CN"/>
        </w:rPr>
      </w:pPr>
      <w:r>
        <w:rPr>
          <w:rFonts w:hint="eastAsia" w:hAnsi="宋体" w:cs="宋体"/>
          <w:color w:val="auto"/>
          <w:kern w:val="2"/>
          <w:sz w:val="21"/>
          <w:szCs w:val="21"/>
          <w:highlight w:val="none"/>
        </w:rPr>
        <w:t xml:space="preserve">33.5 </w:t>
      </w:r>
      <w:r>
        <w:rPr>
          <w:rFonts w:hint="eastAsia" w:hAnsi="宋体" w:cs="宋体"/>
          <w:color w:val="auto"/>
          <w:kern w:val="2"/>
          <w:sz w:val="21"/>
          <w:szCs w:val="21"/>
          <w:highlight w:val="none"/>
          <w:lang w:val="zh-CN"/>
        </w:rPr>
        <w:t>不同投标人的投标文件相互混装;</w:t>
      </w:r>
    </w:p>
    <w:p>
      <w:pPr>
        <w:tabs>
          <w:tab w:val="left" w:pos="540"/>
        </w:tabs>
        <w:spacing w:line="360" w:lineRule="auto"/>
        <w:ind w:left="540" w:right="18" w:hanging="540"/>
        <w:jc w:val="both"/>
        <w:rPr>
          <w:rFonts w:hAnsi="宋体" w:cs="宋体"/>
          <w:color w:val="auto"/>
          <w:kern w:val="2"/>
          <w:sz w:val="21"/>
          <w:szCs w:val="21"/>
          <w:highlight w:val="none"/>
          <w:lang w:val="zh-CN"/>
        </w:rPr>
      </w:pPr>
      <w:r>
        <w:rPr>
          <w:rFonts w:hint="eastAsia" w:hAnsi="宋体" w:cs="宋体"/>
          <w:color w:val="auto"/>
          <w:kern w:val="2"/>
          <w:sz w:val="21"/>
          <w:szCs w:val="21"/>
          <w:highlight w:val="none"/>
        </w:rPr>
        <w:t xml:space="preserve">33.6 </w:t>
      </w:r>
      <w:r>
        <w:rPr>
          <w:rFonts w:hint="eastAsia" w:hAnsi="宋体" w:cs="宋体"/>
          <w:color w:val="auto"/>
          <w:kern w:val="2"/>
          <w:sz w:val="21"/>
          <w:szCs w:val="21"/>
          <w:highlight w:val="none"/>
          <w:lang w:val="zh-CN"/>
        </w:rPr>
        <w:t>不同投标人的投标保证金从同一单位或者个人的账户转出。</w:t>
      </w:r>
    </w:p>
    <w:p>
      <w:pPr>
        <w:pStyle w:val="7"/>
        <w:spacing w:line="360" w:lineRule="auto"/>
        <w:rPr>
          <w:rFonts w:hAnsi="宋体" w:cs="宋体"/>
          <w:b/>
          <w:bCs/>
          <w:color w:val="auto"/>
          <w:kern w:val="44"/>
          <w:sz w:val="21"/>
          <w:szCs w:val="21"/>
          <w:highlight w:val="none"/>
          <w:lang w:val="zh-CN"/>
        </w:rPr>
      </w:pPr>
      <w:bookmarkStart w:id="23" w:name="_Toc396137238"/>
      <w:bookmarkStart w:id="24" w:name="_Toc26452"/>
      <w:r>
        <w:rPr>
          <w:rFonts w:hint="eastAsia" w:hAnsi="宋体" w:cs="宋体"/>
          <w:b/>
          <w:bCs/>
          <w:color w:val="auto"/>
          <w:kern w:val="44"/>
          <w:sz w:val="21"/>
          <w:szCs w:val="21"/>
          <w:highlight w:val="none"/>
          <w:lang w:val="zh-CN"/>
        </w:rPr>
        <w:t>（六）授予合同</w:t>
      </w:r>
      <w:bookmarkEnd w:id="23"/>
      <w:bookmarkEnd w:id="24"/>
    </w:p>
    <w:p>
      <w:pPr>
        <w:tabs>
          <w:tab w:val="left" w:pos="567"/>
        </w:tabs>
        <w:spacing w:line="360" w:lineRule="auto"/>
        <w:ind w:left="567" w:hanging="567"/>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3</w:t>
      </w:r>
      <w:r>
        <w:rPr>
          <w:rFonts w:hint="eastAsia" w:hAnsi="宋体" w:cs="宋体"/>
          <w:color w:val="auto"/>
          <w:kern w:val="2"/>
          <w:sz w:val="21"/>
          <w:szCs w:val="21"/>
          <w:highlight w:val="none"/>
        </w:rPr>
        <w:t>4</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授予合同的准则</w:t>
      </w:r>
    </w:p>
    <w:p>
      <w:pPr>
        <w:tabs>
          <w:tab w:val="left" w:pos="540"/>
        </w:tabs>
        <w:spacing w:line="360" w:lineRule="auto"/>
        <w:ind w:left="540" w:right="51" w:hanging="54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3</w:t>
      </w:r>
      <w:r>
        <w:rPr>
          <w:rFonts w:hint="eastAsia" w:hAnsi="宋体" w:cs="宋体"/>
          <w:color w:val="auto"/>
          <w:kern w:val="2"/>
          <w:sz w:val="21"/>
          <w:szCs w:val="21"/>
          <w:highlight w:val="none"/>
        </w:rPr>
        <w:t>4</w:t>
      </w:r>
      <w:r>
        <w:rPr>
          <w:rFonts w:hint="eastAsia" w:hAnsi="宋体" w:cs="宋体"/>
          <w:color w:val="auto"/>
          <w:kern w:val="2"/>
          <w:sz w:val="21"/>
          <w:szCs w:val="21"/>
          <w:highlight w:val="none"/>
          <w:lang w:val="zh-CN"/>
        </w:rPr>
        <w:t>.1 采购人与中标人应当根据合同的约定依法履行合同义务。合同的履行、违约责任和解决争议的方法等适用《中华人民共和国民法典》。</w:t>
      </w:r>
    </w:p>
    <w:p>
      <w:pPr>
        <w:tabs>
          <w:tab w:val="left" w:pos="567"/>
        </w:tabs>
        <w:spacing w:line="360" w:lineRule="auto"/>
        <w:ind w:left="567" w:hanging="567"/>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3</w:t>
      </w:r>
      <w:r>
        <w:rPr>
          <w:rFonts w:hint="eastAsia" w:hAnsi="宋体" w:cs="宋体"/>
          <w:color w:val="auto"/>
          <w:kern w:val="2"/>
          <w:sz w:val="21"/>
          <w:szCs w:val="21"/>
          <w:highlight w:val="none"/>
        </w:rPr>
        <w:t>5</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合同的订立和履行</w:t>
      </w:r>
    </w:p>
    <w:p>
      <w:pPr>
        <w:tabs>
          <w:tab w:val="left" w:pos="540"/>
        </w:tabs>
        <w:spacing w:line="360" w:lineRule="auto"/>
        <w:ind w:left="567" w:hanging="567" w:hangingChars="27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3</w:t>
      </w:r>
      <w:r>
        <w:rPr>
          <w:rFonts w:hint="eastAsia" w:hAnsi="宋体" w:cs="宋体"/>
          <w:color w:val="auto"/>
          <w:kern w:val="2"/>
          <w:sz w:val="21"/>
          <w:szCs w:val="21"/>
          <w:highlight w:val="none"/>
        </w:rPr>
        <w:t>5</w:t>
      </w:r>
      <w:r>
        <w:rPr>
          <w:rFonts w:hint="eastAsia" w:hAnsi="宋体" w:cs="宋体"/>
          <w:color w:val="auto"/>
          <w:kern w:val="2"/>
          <w:sz w:val="21"/>
          <w:szCs w:val="21"/>
          <w:highlight w:val="none"/>
          <w:lang w:val="zh-CN"/>
        </w:rPr>
        <w:t>.</w:t>
      </w:r>
      <w:r>
        <w:rPr>
          <w:rFonts w:hint="eastAsia" w:hAnsi="宋体" w:cs="宋体"/>
          <w:color w:val="auto"/>
          <w:kern w:val="2"/>
          <w:sz w:val="21"/>
          <w:szCs w:val="21"/>
          <w:highlight w:val="none"/>
        </w:rPr>
        <w:t>1</w:t>
      </w:r>
      <w:r>
        <w:rPr>
          <w:rFonts w:hint="eastAsia" w:hAnsi="宋体" w:cs="宋体"/>
          <w:color w:val="auto"/>
          <w:kern w:val="2"/>
          <w:sz w:val="21"/>
          <w:szCs w:val="21"/>
          <w:highlight w:val="none"/>
          <w:lang w:val="zh-CN"/>
        </w:rPr>
        <w:t xml:space="preserve"> 采购人应当自中标通知书发出之日起30日内，按照采购文件和中标人投标文件的规定，与中标人签订书面合同。所签订的合同不得对采购文件确定的事项和中标人投标文件作实质性修改。采购人不得向中标人提出任何不合理的要求作为签订合同的条件。</w:t>
      </w:r>
    </w:p>
    <w:p>
      <w:pPr>
        <w:tabs>
          <w:tab w:val="left" w:pos="540"/>
        </w:tabs>
        <w:spacing w:line="360" w:lineRule="auto"/>
        <w:ind w:left="540" w:right="18" w:hanging="54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3</w:t>
      </w:r>
      <w:r>
        <w:rPr>
          <w:rFonts w:hint="eastAsia" w:hAnsi="宋体" w:cs="宋体"/>
          <w:color w:val="auto"/>
          <w:kern w:val="2"/>
          <w:sz w:val="21"/>
          <w:szCs w:val="21"/>
          <w:highlight w:val="none"/>
        </w:rPr>
        <w:t>5</w:t>
      </w:r>
      <w:r>
        <w:rPr>
          <w:rFonts w:hint="eastAsia" w:hAnsi="宋体" w:cs="宋体"/>
          <w:color w:val="auto"/>
          <w:kern w:val="2"/>
          <w:sz w:val="21"/>
          <w:szCs w:val="21"/>
          <w:highlight w:val="none"/>
          <w:lang w:val="zh-CN"/>
        </w:rPr>
        <w:t>.</w:t>
      </w:r>
      <w:r>
        <w:rPr>
          <w:rFonts w:hint="eastAsia" w:hAnsi="宋体" w:cs="宋体"/>
          <w:color w:val="auto"/>
          <w:kern w:val="2"/>
          <w:sz w:val="21"/>
          <w:szCs w:val="21"/>
          <w:highlight w:val="none"/>
        </w:rPr>
        <w:t>2</w:t>
      </w:r>
      <w:r>
        <w:rPr>
          <w:rFonts w:hint="eastAsia" w:hAnsi="宋体" w:cs="宋体"/>
          <w:color w:val="auto"/>
          <w:kern w:val="2"/>
          <w:sz w:val="21"/>
          <w:szCs w:val="21"/>
          <w:highlight w:val="none"/>
          <w:lang w:val="zh-CN"/>
        </w:rPr>
        <w:t xml:space="preserve"> 采购人依法进行采购合同备案。</w:t>
      </w:r>
    </w:p>
    <w:p>
      <w:pPr>
        <w:tabs>
          <w:tab w:val="left" w:pos="540"/>
        </w:tabs>
        <w:spacing w:line="360" w:lineRule="auto"/>
        <w:ind w:left="567" w:right="17" w:hanging="567" w:hangingChars="270"/>
        <w:jc w:val="both"/>
        <w:rPr>
          <w:rFonts w:hAnsi="宋体" w:cs="宋体"/>
          <w:color w:val="auto"/>
          <w:kern w:val="2"/>
          <w:sz w:val="21"/>
          <w:szCs w:val="21"/>
          <w:highlight w:val="none"/>
          <w:lang w:val="zh-CN"/>
        </w:rPr>
      </w:pPr>
      <w:r>
        <w:rPr>
          <w:rFonts w:hint="eastAsia" w:hAnsi="宋体" w:cs="宋体"/>
          <w:color w:val="auto"/>
          <w:kern w:val="2"/>
          <w:sz w:val="21"/>
          <w:szCs w:val="21"/>
          <w:highlight w:val="none"/>
        </w:rPr>
        <w:t>35</w:t>
      </w:r>
      <w:r>
        <w:rPr>
          <w:rFonts w:hint="eastAsia" w:hAnsi="宋体" w:cs="宋体"/>
          <w:color w:val="auto"/>
          <w:kern w:val="2"/>
          <w:sz w:val="21"/>
          <w:szCs w:val="21"/>
          <w:highlight w:val="none"/>
          <w:lang w:val="zh-CN"/>
        </w:rPr>
        <w:t>.</w:t>
      </w:r>
      <w:r>
        <w:rPr>
          <w:rFonts w:hint="eastAsia" w:hAnsi="宋体" w:cs="宋体"/>
          <w:color w:val="auto"/>
          <w:kern w:val="2"/>
          <w:sz w:val="21"/>
          <w:szCs w:val="21"/>
          <w:highlight w:val="none"/>
        </w:rPr>
        <w:t>3</w:t>
      </w:r>
      <w:r>
        <w:rPr>
          <w:rFonts w:hint="eastAsia" w:hAnsi="宋体" w:cs="宋体"/>
          <w:color w:val="auto"/>
          <w:kern w:val="2"/>
          <w:sz w:val="21"/>
          <w:szCs w:val="21"/>
          <w:highlight w:val="none"/>
          <w:lang w:val="zh-CN"/>
        </w:rPr>
        <w:t xml:space="preserve"> 供应商根据采购文件的规定和采购项目的实际情况，拟在中标后将中标项目的非主体、非关键性工作分包的，应当在投标文件中载明分包承担主体，分包承担主体应当具备相应资质条件且不得再次分包。</w:t>
      </w:r>
    </w:p>
    <w:p>
      <w:pPr>
        <w:pStyle w:val="51"/>
        <w:ind w:left="648"/>
        <w:rPr>
          <w:color w:val="auto"/>
          <w:highlight w:val="none"/>
          <w:lang w:val="zh-CN"/>
        </w:rPr>
      </w:pPr>
    </w:p>
    <w:p>
      <w:pPr>
        <w:tabs>
          <w:tab w:val="left" w:pos="567"/>
        </w:tabs>
        <w:spacing w:line="360" w:lineRule="auto"/>
        <w:ind w:left="567" w:hanging="567"/>
        <w:jc w:val="both"/>
        <w:rPr>
          <w:rFonts w:hAnsi="宋体" w:cs="宋体"/>
          <w:color w:val="auto"/>
          <w:kern w:val="2"/>
          <w:sz w:val="21"/>
          <w:szCs w:val="21"/>
          <w:highlight w:val="none"/>
          <w:lang w:val="zh-CN"/>
        </w:rPr>
      </w:pPr>
      <w:r>
        <w:rPr>
          <w:rFonts w:hint="eastAsia" w:hAnsi="宋体" w:cs="宋体"/>
          <w:color w:val="auto"/>
          <w:sz w:val="21"/>
          <w:szCs w:val="21"/>
          <w:highlight w:val="none"/>
        </w:rPr>
        <w:t xml:space="preserve">36   </w:t>
      </w:r>
      <w:r>
        <w:rPr>
          <w:rFonts w:hint="eastAsia" w:hAnsi="宋体" w:cs="宋体"/>
          <w:color w:val="auto"/>
          <w:kern w:val="2"/>
          <w:sz w:val="21"/>
          <w:szCs w:val="21"/>
          <w:highlight w:val="none"/>
          <w:lang w:val="zh-CN"/>
        </w:rPr>
        <w:t>履约担保</w:t>
      </w:r>
    </w:p>
    <w:p>
      <w:pPr>
        <w:tabs>
          <w:tab w:val="left" w:pos="567"/>
        </w:tabs>
        <w:spacing w:line="360" w:lineRule="auto"/>
        <w:ind w:left="567" w:hanging="567"/>
        <w:jc w:val="both"/>
        <w:rPr>
          <w:rFonts w:hAnsi="宋体" w:cs="宋体"/>
          <w:bCs/>
          <w:color w:val="auto"/>
          <w:kern w:val="2"/>
          <w:sz w:val="21"/>
          <w:szCs w:val="21"/>
          <w:highlight w:val="none"/>
          <w:lang w:val="zh-CN"/>
        </w:rPr>
      </w:pPr>
      <w:r>
        <w:rPr>
          <w:rFonts w:hint="eastAsia" w:hAnsi="宋体" w:cs="宋体"/>
          <w:bCs/>
          <w:color w:val="auto"/>
          <w:kern w:val="2"/>
          <w:sz w:val="21"/>
          <w:szCs w:val="21"/>
          <w:highlight w:val="none"/>
          <w:lang w:val="zh-CN"/>
        </w:rPr>
        <w:t>36.1  中标人在采购（合同签署）时提交履约担保，履约担保金额及账户信息详见《投标人须知前附表》。如果中标人提交的履约保函的有效期先于合同要求的履约保函有效期到达，中标人应在原提交的履约保函有效期满前15天，无条件办理保函延期手续。否则，视中标人违约，采购人可在保函到期前将保函金额转为现金存入履约保证金账户。</w:t>
      </w:r>
    </w:p>
    <w:p>
      <w:pPr>
        <w:tabs>
          <w:tab w:val="left" w:pos="567"/>
        </w:tabs>
        <w:spacing w:line="360" w:lineRule="auto"/>
        <w:ind w:left="567" w:hanging="567"/>
        <w:jc w:val="both"/>
        <w:rPr>
          <w:rFonts w:hAnsi="宋体" w:cs="宋体"/>
          <w:bCs/>
          <w:color w:val="auto"/>
          <w:kern w:val="2"/>
          <w:sz w:val="21"/>
          <w:szCs w:val="21"/>
          <w:highlight w:val="none"/>
          <w:lang w:val="zh-CN"/>
        </w:rPr>
      </w:pPr>
      <w:r>
        <w:rPr>
          <w:rFonts w:hint="eastAsia" w:hAnsi="宋体" w:cs="宋体"/>
          <w:bCs/>
          <w:color w:val="auto"/>
          <w:kern w:val="2"/>
          <w:sz w:val="21"/>
          <w:szCs w:val="21"/>
          <w:highlight w:val="none"/>
          <w:lang w:val="zh-CN"/>
        </w:rPr>
        <w:t>36.2  履约担保期限从合同签订之日起至项目服务期结束验收合格并结算完毕后，经双方签字7天内保持有效。</w:t>
      </w:r>
    </w:p>
    <w:p>
      <w:pPr>
        <w:tabs>
          <w:tab w:val="left" w:pos="567"/>
        </w:tabs>
        <w:spacing w:line="360" w:lineRule="auto"/>
        <w:ind w:left="567" w:hanging="567"/>
        <w:jc w:val="both"/>
        <w:rPr>
          <w:rFonts w:hAnsi="宋体" w:cs="宋体"/>
          <w:bCs/>
          <w:color w:val="auto"/>
          <w:kern w:val="2"/>
          <w:sz w:val="21"/>
          <w:szCs w:val="21"/>
          <w:highlight w:val="none"/>
          <w:lang w:val="zh-CN"/>
        </w:rPr>
      </w:pPr>
      <w:r>
        <w:rPr>
          <w:rFonts w:hint="eastAsia" w:hAnsi="宋体" w:cs="宋体"/>
          <w:bCs/>
          <w:color w:val="auto"/>
          <w:kern w:val="2"/>
          <w:sz w:val="21"/>
          <w:szCs w:val="21"/>
          <w:highlight w:val="none"/>
          <w:lang w:val="zh-CN"/>
        </w:rPr>
        <w:t>36.3 履约担保可以采用下列任何一种形式：</w:t>
      </w:r>
    </w:p>
    <w:p>
      <w:pPr>
        <w:tabs>
          <w:tab w:val="left" w:pos="567"/>
        </w:tabs>
        <w:spacing w:line="360" w:lineRule="auto"/>
        <w:ind w:left="567" w:hanging="567"/>
        <w:jc w:val="both"/>
        <w:rPr>
          <w:rFonts w:hAnsi="宋体" w:cs="宋体"/>
          <w:bCs/>
          <w:color w:val="auto"/>
          <w:kern w:val="2"/>
          <w:sz w:val="21"/>
          <w:szCs w:val="21"/>
          <w:highlight w:val="none"/>
          <w:lang w:val="zh-CN"/>
        </w:rPr>
      </w:pPr>
      <w:r>
        <w:rPr>
          <w:rFonts w:hint="eastAsia" w:hAnsi="宋体" w:cs="宋体"/>
          <w:bCs/>
          <w:color w:val="auto"/>
          <w:kern w:val="2"/>
          <w:sz w:val="21"/>
          <w:szCs w:val="21"/>
          <w:highlight w:val="none"/>
          <w:lang w:val="zh-CN"/>
        </w:rPr>
        <w:t>（1）履约保函。如果投标人的履约担保是以银行保函形式提供的，则该银行保函应：</w:t>
      </w:r>
    </w:p>
    <w:p>
      <w:pPr>
        <w:tabs>
          <w:tab w:val="left" w:pos="567"/>
        </w:tabs>
        <w:spacing w:line="360" w:lineRule="auto"/>
        <w:ind w:left="575" w:leftChars="121" w:hanging="285" w:hangingChars="136"/>
        <w:jc w:val="both"/>
        <w:rPr>
          <w:rFonts w:hAnsi="宋体" w:cs="宋体"/>
          <w:bCs/>
          <w:color w:val="auto"/>
          <w:kern w:val="2"/>
          <w:sz w:val="21"/>
          <w:szCs w:val="21"/>
          <w:highlight w:val="none"/>
          <w:lang w:val="zh-CN"/>
        </w:rPr>
      </w:pPr>
      <w:r>
        <w:rPr>
          <w:rFonts w:hint="eastAsia" w:hAnsi="宋体" w:cs="宋体"/>
          <w:bCs/>
          <w:color w:val="auto"/>
          <w:kern w:val="2"/>
          <w:sz w:val="21"/>
          <w:szCs w:val="21"/>
          <w:highlight w:val="none"/>
          <w:lang w:val="zh-CN"/>
        </w:rPr>
        <w:t>①</w:t>
      </w:r>
      <w:r>
        <w:rPr>
          <w:rFonts w:hint="eastAsia" w:hAnsi="宋体" w:cs="宋体"/>
          <w:bCs/>
          <w:color w:val="auto"/>
          <w:kern w:val="2"/>
          <w:sz w:val="21"/>
          <w:szCs w:val="21"/>
          <w:highlight w:val="none"/>
        </w:rPr>
        <w:t xml:space="preserve"> </w:t>
      </w:r>
      <w:r>
        <w:rPr>
          <w:rFonts w:hint="eastAsia" w:hAnsi="宋体" w:cs="宋体"/>
          <w:bCs/>
          <w:color w:val="auto"/>
          <w:kern w:val="2"/>
          <w:sz w:val="21"/>
          <w:szCs w:val="21"/>
          <w:highlight w:val="none"/>
          <w:lang w:val="zh-CN"/>
        </w:rPr>
        <w:t>保函应由银行支行或以上银行机构开具，非东莞市行政区内的银行开具的保函要由银行所在地公证部门出具的公证书。</w:t>
      </w:r>
    </w:p>
    <w:p>
      <w:pPr>
        <w:tabs>
          <w:tab w:val="left" w:pos="567"/>
        </w:tabs>
        <w:spacing w:line="360" w:lineRule="auto"/>
        <w:ind w:left="575" w:leftChars="121" w:hanging="285" w:hangingChars="136"/>
        <w:jc w:val="both"/>
        <w:rPr>
          <w:rFonts w:hAnsi="宋体" w:cs="宋体"/>
          <w:bCs/>
          <w:color w:val="auto"/>
          <w:kern w:val="2"/>
          <w:sz w:val="21"/>
          <w:szCs w:val="21"/>
          <w:highlight w:val="none"/>
          <w:lang w:val="zh-CN"/>
        </w:rPr>
      </w:pPr>
      <w:r>
        <w:rPr>
          <w:rFonts w:hint="eastAsia" w:hAnsi="宋体" w:cs="宋体"/>
          <w:bCs/>
          <w:color w:val="auto"/>
          <w:kern w:val="2"/>
          <w:sz w:val="21"/>
          <w:szCs w:val="21"/>
          <w:highlight w:val="none"/>
          <w:lang w:val="zh-CN"/>
        </w:rPr>
        <w:t>②</w:t>
      </w:r>
      <w:r>
        <w:rPr>
          <w:rFonts w:hint="eastAsia" w:hAnsi="宋体" w:cs="宋体"/>
          <w:bCs/>
          <w:color w:val="auto"/>
          <w:kern w:val="2"/>
          <w:sz w:val="21"/>
          <w:szCs w:val="21"/>
          <w:highlight w:val="none"/>
        </w:rPr>
        <w:t xml:space="preserve"> </w:t>
      </w:r>
      <w:r>
        <w:rPr>
          <w:rFonts w:hint="eastAsia" w:hAnsi="宋体" w:cs="宋体"/>
          <w:bCs/>
          <w:color w:val="auto"/>
          <w:kern w:val="2"/>
          <w:sz w:val="21"/>
          <w:szCs w:val="21"/>
          <w:highlight w:val="none"/>
          <w:lang w:val="zh-CN"/>
        </w:rPr>
        <w:t>保函的格式参考报价文件附件中提供的无条件不可撤销履约保函格式，保函担保期内若项目未能按期竣工，保函必须延期，办理延期手续时在银行方面所产生费用由报价人负责。</w:t>
      </w:r>
    </w:p>
    <w:p>
      <w:pPr>
        <w:tabs>
          <w:tab w:val="left" w:pos="567"/>
        </w:tabs>
        <w:spacing w:line="360" w:lineRule="auto"/>
        <w:ind w:left="575" w:leftChars="121" w:hanging="285" w:hangingChars="136"/>
        <w:jc w:val="both"/>
        <w:rPr>
          <w:rFonts w:hAnsi="宋体" w:cs="宋体"/>
          <w:bCs/>
          <w:color w:val="auto"/>
          <w:kern w:val="2"/>
          <w:sz w:val="21"/>
          <w:szCs w:val="21"/>
          <w:highlight w:val="none"/>
          <w:lang w:val="zh-CN"/>
        </w:rPr>
      </w:pPr>
      <w:r>
        <w:rPr>
          <w:rFonts w:hint="eastAsia" w:hAnsi="宋体" w:cs="宋体"/>
          <w:bCs/>
          <w:color w:val="auto"/>
          <w:kern w:val="2"/>
          <w:sz w:val="21"/>
          <w:szCs w:val="21"/>
          <w:highlight w:val="none"/>
          <w:lang w:val="zh-CN"/>
        </w:rPr>
        <w:t>③</w:t>
      </w:r>
      <w:r>
        <w:rPr>
          <w:rFonts w:hint="eastAsia" w:hAnsi="宋体" w:cs="宋体"/>
          <w:bCs/>
          <w:color w:val="auto"/>
          <w:kern w:val="2"/>
          <w:sz w:val="21"/>
          <w:szCs w:val="21"/>
          <w:highlight w:val="none"/>
        </w:rPr>
        <w:t xml:space="preserve"> </w:t>
      </w:r>
      <w:r>
        <w:rPr>
          <w:rFonts w:hint="eastAsia" w:hAnsi="宋体" w:cs="宋体"/>
          <w:bCs/>
          <w:color w:val="auto"/>
          <w:kern w:val="2"/>
          <w:sz w:val="21"/>
          <w:szCs w:val="21"/>
          <w:highlight w:val="none"/>
          <w:lang w:val="zh-CN"/>
        </w:rPr>
        <w:t>履约保函必须打印，手写、涂改无效。</w:t>
      </w:r>
    </w:p>
    <w:p>
      <w:pPr>
        <w:tabs>
          <w:tab w:val="left" w:pos="567"/>
        </w:tabs>
        <w:spacing w:line="360" w:lineRule="auto"/>
        <w:ind w:left="567" w:hanging="567"/>
        <w:jc w:val="both"/>
        <w:rPr>
          <w:rFonts w:hAnsi="宋体" w:cs="宋体"/>
          <w:bCs/>
          <w:color w:val="auto"/>
          <w:kern w:val="2"/>
          <w:sz w:val="21"/>
          <w:szCs w:val="21"/>
          <w:highlight w:val="none"/>
          <w:lang w:val="zh-CN"/>
        </w:rPr>
      </w:pPr>
      <w:r>
        <w:rPr>
          <w:rFonts w:hint="eastAsia" w:hAnsi="宋体" w:cs="宋体"/>
          <w:bCs/>
          <w:color w:val="auto"/>
          <w:kern w:val="2"/>
          <w:sz w:val="21"/>
          <w:szCs w:val="21"/>
          <w:highlight w:val="none"/>
          <w:lang w:val="zh-CN"/>
        </w:rPr>
        <w:t>（2）履约保证金。可采用电汇、银行汇票等银行转账方式提交，但不可以采用现金方式提交。投标人必须保证履约保证金以报价人的名称在（合同约定的日期）前提交至采购人指定账户。</w:t>
      </w:r>
    </w:p>
    <w:p>
      <w:pPr>
        <w:tabs>
          <w:tab w:val="left" w:pos="567"/>
        </w:tabs>
        <w:spacing w:line="360" w:lineRule="auto"/>
        <w:ind w:left="567" w:hanging="567"/>
        <w:jc w:val="both"/>
        <w:rPr>
          <w:rFonts w:hAnsi="宋体" w:cs="宋体"/>
          <w:bCs/>
          <w:color w:val="auto"/>
          <w:kern w:val="2"/>
          <w:sz w:val="21"/>
          <w:szCs w:val="21"/>
          <w:highlight w:val="none"/>
          <w:lang w:val="zh-CN"/>
        </w:rPr>
      </w:pPr>
      <w:r>
        <w:rPr>
          <w:rFonts w:hint="eastAsia" w:hAnsi="宋体" w:cs="宋体"/>
          <w:bCs/>
          <w:color w:val="auto"/>
          <w:kern w:val="2"/>
          <w:sz w:val="21"/>
          <w:szCs w:val="21"/>
          <w:highlight w:val="none"/>
          <w:lang w:val="zh-CN"/>
        </w:rPr>
        <w:t>36.4  若中标人不能按本采购文件（36.1至36.3）的规定提交履约保证金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pPr>
        <w:tabs>
          <w:tab w:val="left" w:pos="567"/>
        </w:tabs>
        <w:spacing w:line="360" w:lineRule="auto"/>
        <w:ind w:left="567" w:hanging="567"/>
        <w:jc w:val="both"/>
        <w:rPr>
          <w:rFonts w:hAnsi="宋体" w:cs="宋体"/>
          <w:bCs/>
          <w:color w:val="auto"/>
          <w:kern w:val="2"/>
          <w:sz w:val="21"/>
          <w:szCs w:val="21"/>
          <w:highlight w:val="none"/>
          <w:lang w:val="zh-CN"/>
        </w:rPr>
      </w:pPr>
      <w:r>
        <w:rPr>
          <w:rFonts w:hint="eastAsia" w:hAnsi="宋体" w:cs="宋体"/>
          <w:bCs/>
          <w:color w:val="auto"/>
          <w:kern w:val="2"/>
          <w:sz w:val="21"/>
          <w:szCs w:val="21"/>
          <w:highlight w:val="none"/>
          <w:lang w:val="zh-CN"/>
        </w:rPr>
        <w:t>36.5  为取得履约担保所需的费用，由中标人承担；若工期延误，履约担保时间延长，延长费用由中标人承担。</w:t>
      </w:r>
    </w:p>
    <w:p>
      <w:pPr>
        <w:tabs>
          <w:tab w:val="left" w:pos="567"/>
        </w:tabs>
        <w:spacing w:line="360" w:lineRule="auto"/>
        <w:ind w:left="567" w:hanging="567"/>
        <w:jc w:val="both"/>
        <w:rPr>
          <w:rFonts w:hAnsi="宋体" w:cs="宋体"/>
          <w:bCs/>
          <w:color w:val="auto"/>
          <w:kern w:val="2"/>
          <w:sz w:val="21"/>
          <w:szCs w:val="21"/>
          <w:highlight w:val="none"/>
          <w:lang w:val="zh-CN"/>
        </w:rPr>
      </w:pPr>
      <w:r>
        <w:rPr>
          <w:rFonts w:hint="eastAsia" w:hAnsi="宋体" w:cs="宋体"/>
          <w:bCs/>
          <w:color w:val="auto"/>
          <w:kern w:val="2"/>
          <w:sz w:val="21"/>
          <w:szCs w:val="21"/>
          <w:highlight w:val="none"/>
          <w:lang w:val="zh-CN"/>
        </w:rPr>
        <w:t>36.6  若中标人在合同履行过程中出现项目质量事故、工期拖延、欠付工人工资、欠付材料款等情况，采购人在经核查属实后，有权将履约保函金额转为现金存入履约保证金账户；中标人造成采购人损失的，采购人有权立即没收其履约担保，若造成损失超过履约担保的，还应当对超过部分予以赔偿。</w:t>
      </w:r>
    </w:p>
    <w:p>
      <w:pPr>
        <w:tabs>
          <w:tab w:val="left" w:pos="567"/>
        </w:tabs>
        <w:spacing w:line="360" w:lineRule="auto"/>
        <w:ind w:left="567" w:hanging="567"/>
        <w:jc w:val="both"/>
        <w:rPr>
          <w:rFonts w:hAnsi="宋体" w:cs="宋体"/>
          <w:bCs/>
          <w:color w:val="auto"/>
          <w:kern w:val="2"/>
          <w:sz w:val="21"/>
          <w:szCs w:val="21"/>
          <w:highlight w:val="none"/>
          <w:lang w:val="zh-CN"/>
        </w:rPr>
      </w:pPr>
      <w:r>
        <w:rPr>
          <w:rFonts w:hint="eastAsia" w:hAnsi="宋体" w:cs="宋体"/>
          <w:bCs/>
          <w:color w:val="auto"/>
          <w:kern w:val="2"/>
          <w:sz w:val="21"/>
          <w:szCs w:val="21"/>
          <w:highlight w:val="none"/>
          <w:lang w:val="zh-CN"/>
        </w:rPr>
        <w:t>36.7 下列任何情况发生时，采购人有权行使享有的担保权利：</w:t>
      </w:r>
    </w:p>
    <w:p>
      <w:pPr>
        <w:tabs>
          <w:tab w:val="left" w:pos="567"/>
        </w:tabs>
        <w:spacing w:line="360" w:lineRule="auto"/>
        <w:ind w:left="567" w:hanging="567"/>
        <w:jc w:val="both"/>
        <w:rPr>
          <w:rFonts w:hAnsi="宋体" w:cs="宋体"/>
          <w:bCs/>
          <w:color w:val="auto"/>
          <w:kern w:val="2"/>
          <w:sz w:val="21"/>
          <w:szCs w:val="21"/>
          <w:highlight w:val="none"/>
          <w:lang w:val="zh-CN"/>
        </w:rPr>
      </w:pPr>
      <w:r>
        <w:rPr>
          <w:rFonts w:hint="eastAsia" w:hAnsi="宋体" w:cs="宋体"/>
          <w:bCs/>
          <w:color w:val="auto"/>
          <w:kern w:val="2"/>
          <w:sz w:val="21"/>
          <w:szCs w:val="21"/>
          <w:highlight w:val="none"/>
          <w:lang w:val="zh-CN"/>
        </w:rPr>
        <w:t>（1）中标人将本项目转让给他人，或者在报价文件中未说明，且未经采购人同意，将中标项目分包给他人的；</w:t>
      </w:r>
    </w:p>
    <w:p>
      <w:pPr>
        <w:tabs>
          <w:tab w:val="left" w:pos="567"/>
        </w:tabs>
        <w:spacing w:line="360" w:lineRule="auto"/>
        <w:ind w:left="567" w:hanging="567"/>
        <w:jc w:val="both"/>
        <w:rPr>
          <w:rFonts w:hAnsi="宋体" w:cs="宋体"/>
          <w:bCs/>
          <w:color w:val="auto"/>
          <w:kern w:val="2"/>
          <w:sz w:val="21"/>
          <w:szCs w:val="21"/>
          <w:highlight w:val="none"/>
          <w:lang w:val="zh-CN"/>
        </w:rPr>
      </w:pPr>
      <w:r>
        <w:rPr>
          <w:rFonts w:hint="eastAsia" w:hAnsi="宋体" w:cs="宋体"/>
          <w:bCs/>
          <w:color w:val="auto"/>
          <w:kern w:val="2"/>
          <w:sz w:val="21"/>
          <w:szCs w:val="21"/>
          <w:highlight w:val="none"/>
          <w:lang w:val="zh-CN"/>
        </w:rPr>
        <w:t>（2）中标人在履行采购合同期间，违反有关法律法规的规定及合同约定的条款，损害了采购人的利益。</w:t>
      </w:r>
    </w:p>
    <w:p>
      <w:pPr>
        <w:tabs>
          <w:tab w:val="left" w:pos="567"/>
        </w:tabs>
        <w:spacing w:line="360" w:lineRule="auto"/>
        <w:ind w:left="567" w:hanging="567"/>
        <w:jc w:val="both"/>
        <w:rPr>
          <w:rFonts w:hAnsi="宋体" w:cs="宋体"/>
          <w:bCs/>
          <w:color w:val="auto"/>
          <w:kern w:val="2"/>
          <w:sz w:val="21"/>
          <w:szCs w:val="21"/>
          <w:highlight w:val="none"/>
          <w:lang w:val="zh-CN"/>
        </w:rPr>
      </w:pPr>
      <w:r>
        <w:rPr>
          <w:rFonts w:hint="eastAsia" w:hAnsi="宋体" w:cs="宋体"/>
          <w:bCs/>
          <w:color w:val="auto"/>
          <w:kern w:val="2"/>
          <w:sz w:val="21"/>
          <w:szCs w:val="21"/>
          <w:highlight w:val="none"/>
          <w:lang w:val="zh-CN"/>
        </w:rPr>
        <w:t>36.8  在整个项目验收合格后，中标人向采购人提交退回履约担保的申请，采购人办理履约担保退还手续。</w:t>
      </w:r>
    </w:p>
    <w:p>
      <w:pPr>
        <w:tabs>
          <w:tab w:val="left" w:pos="567"/>
        </w:tabs>
        <w:spacing w:line="360" w:lineRule="auto"/>
        <w:ind w:left="567" w:hanging="567"/>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3</w:t>
      </w:r>
      <w:r>
        <w:rPr>
          <w:rFonts w:hint="eastAsia" w:hAnsi="宋体" w:cs="宋体"/>
          <w:color w:val="auto"/>
          <w:kern w:val="2"/>
          <w:sz w:val="21"/>
          <w:szCs w:val="21"/>
          <w:highlight w:val="none"/>
        </w:rPr>
        <w:t>7</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中标服务费</w:t>
      </w:r>
    </w:p>
    <w:p>
      <w:pPr>
        <w:tabs>
          <w:tab w:val="left" w:pos="540"/>
        </w:tabs>
        <w:spacing w:line="360" w:lineRule="auto"/>
        <w:ind w:left="540" w:right="18" w:hanging="540"/>
        <w:jc w:val="both"/>
        <w:rPr>
          <w:rFonts w:hAnsi="宋体" w:cs="宋体"/>
          <w:bCs/>
          <w:color w:val="auto"/>
          <w:kern w:val="2"/>
          <w:sz w:val="21"/>
          <w:szCs w:val="21"/>
          <w:highlight w:val="none"/>
          <w:lang w:val="zh-CN"/>
        </w:rPr>
      </w:pPr>
      <w:r>
        <w:rPr>
          <w:rFonts w:hint="eastAsia" w:hAnsi="宋体" w:cs="宋体"/>
          <w:bCs/>
          <w:color w:val="auto"/>
          <w:kern w:val="2"/>
          <w:sz w:val="21"/>
          <w:szCs w:val="21"/>
          <w:highlight w:val="none"/>
          <w:lang w:val="zh-CN"/>
        </w:rPr>
        <w:t>3</w:t>
      </w:r>
      <w:r>
        <w:rPr>
          <w:rFonts w:hint="eastAsia" w:hAnsi="宋体" w:cs="宋体"/>
          <w:bCs/>
          <w:color w:val="auto"/>
          <w:kern w:val="2"/>
          <w:sz w:val="21"/>
          <w:szCs w:val="21"/>
          <w:highlight w:val="none"/>
        </w:rPr>
        <w:t>7</w:t>
      </w:r>
      <w:r>
        <w:rPr>
          <w:rFonts w:hint="eastAsia" w:hAnsi="宋体" w:cs="宋体"/>
          <w:bCs/>
          <w:color w:val="auto"/>
          <w:kern w:val="2"/>
          <w:sz w:val="21"/>
          <w:szCs w:val="21"/>
          <w:highlight w:val="none"/>
          <w:lang w:val="zh-CN"/>
        </w:rPr>
        <w:t>.1</w:t>
      </w:r>
      <w:r>
        <w:rPr>
          <w:rFonts w:hint="eastAsia" w:hAnsi="宋体" w:cs="宋体"/>
          <w:bCs/>
          <w:color w:val="auto"/>
          <w:kern w:val="2"/>
          <w:sz w:val="21"/>
          <w:szCs w:val="21"/>
          <w:highlight w:val="none"/>
          <w:lang w:val="zh-CN"/>
        </w:rPr>
        <w:tab/>
      </w:r>
      <w:r>
        <w:rPr>
          <w:rFonts w:hint="eastAsia" w:hAnsi="宋体" w:cs="宋体"/>
          <w:bCs/>
          <w:color w:val="auto"/>
          <w:kern w:val="2"/>
          <w:sz w:val="21"/>
          <w:szCs w:val="21"/>
          <w:highlight w:val="none"/>
          <w:lang w:val="zh-CN"/>
        </w:rPr>
        <w:t>中标人应在领取《中标通知书》原件时向采购代理机构一次性支付中标服务费。中标服务费参照国家计委[计价格[2002]1980号]文和国家发改委[发改价格[2011]534号]文及相关规定收取，按差额定率累进法计算，按货物类的</w:t>
      </w:r>
      <w:r>
        <w:rPr>
          <w:rFonts w:hint="eastAsia" w:hAnsi="宋体" w:cs="宋体"/>
          <w:bCs/>
          <w:color w:val="auto"/>
          <w:kern w:val="2"/>
          <w:sz w:val="21"/>
          <w:szCs w:val="21"/>
          <w:highlight w:val="none"/>
        </w:rPr>
        <w:t>70%</w:t>
      </w:r>
      <w:r>
        <w:rPr>
          <w:rFonts w:hint="eastAsia" w:hAnsi="宋体" w:cs="宋体"/>
          <w:bCs/>
          <w:color w:val="auto"/>
          <w:kern w:val="2"/>
          <w:sz w:val="21"/>
          <w:szCs w:val="21"/>
          <w:highlight w:val="none"/>
          <w:lang w:val="zh-CN"/>
        </w:rPr>
        <w:t>收取。</w:t>
      </w:r>
    </w:p>
    <w:p>
      <w:pPr>
        <w:tabs>
          <w:tab w:val="left" w:pos="540"/>
        </w:tabs>
        <w:spacing w:line="360" w:lineRule="auto"/>
        <w:ind w:left="540" w:right="18" w:hanging="540"/>
        <w:jc w:val="both"/>
        <w:rPr>
          <w:rFonts w:hAnsi="宋体" w:cs="宋体"/>
          <w:bCs/>
          <w:color w:val="auto"/>
          <w:kern w:val="2"/>
          <w:sz w:val="21"/>
          <w:szCs w:val="21"/>
          <w:highlight w:val="none"/>
          <w:lang w:val="zh-CN"/>
        </w:rPr>
      </w:pPr>
      <w:r>
        <w:rPr>
          <w:rFonts w:hint="eastAsia" w:hAnsi="宋体" w:cs="宋体"/>
          <w:bCs/>
          <w:color w:val="auto"/>
          <w:kern w:val="2"/>
          <w:sz w:val="21"/>
          <w:szCs w:val="21"/>
          <w:highlight w:val="none"/>
        </w:rPr>
        <w:t xml:space="preserve">37.2 </w:t>
      </w:r>
      <w:r>
        <w:rPr>
          <w:rFonts w:hint="eastAsia" w:hAnsi="宋体" w:cs="宋体"/>
          <w:bCs/>
          <w:color w:val="auto"/>
          <w:kern w:val="2"/>
          <w:sz w:val="21"/>
          <w:szCs w:val="21"/>
          <w:highlight w:val="none"/>
          <w:lang w:val="zh-CN"/>
        </w:rPr>
        <w:t>本项目类型为</w:t>
      </w:r>
      <w:r>
        <w:rPr>
          <w:rFonts w:hint="eastAsia" w:hAnsi="宋体" w:cs="宋体"/>
          <w:bCs/>
          <w:color w:val="auto"/>
          <w:kern w:val="2"/>
          <w:sz w:val="21"/>
          <w:szCs w:val="21"/>
          <w:highlight w:val="none"/>
          <w:u w:val="single"/>
          <w:lang w:val="zh-CN"/>
        </w:rPr>
        <w:t>详见《投标人须知前附表》</w:t>
      </w:r>
      <w:r>
        <w:rPr>
          <w:rFonts w:hint="eastAsia" w:hAnsi="宋体" w:cs="宋体"/>
          <w:bCs/>
          <w:color w:val="auto"/>
          <w:kern w:val="2"/>
          <w:sz w:val="21"/>
          <w:szCs w:val="21"/>
          <w:highlight w:val="none"/>
          <w:lang w:val="zh-CN"/>
        </w:rPr>
        <w:t>。</w:t>
      </w:r>
    </w:p>
    <w:p>
      <w:pPr>
        <w:tabs>
          <w:tab w:val="left" w:pos="540"/>
        </w:tabs>
        <w:spacing w:line="360" w:lineRule="auto"/>
        <w:ind w:left="1020" w:leftChars="200" w:right="18" w:hanging="540"/>
        <w:jc w:val="both"/>
        <w:rPr>
          <w:rFonts w:hAnsi="宋体" w:cs="宋体"/>
          <w:bCs/>
          <w:color w:val="auto"/>
          <w:kern w:val="2"/>
          <w:sz w:val="21"/>
          <w:szCs w:val="21"/>
          <w:highlight w:val="none"/>
          <w:lang w:val="zh-CN"/>
        </w:rPr>
      </w:pPr>
      <w:r>
        <w:rPr>
          <w:rFonts w:hint="eastAsia" w:hAnsi="宋体" w:cs="宋体"/>
          <w:bCs/>
          <w:color w:val="auto"/>
          <w:kern w:val="2"/>
          <w:sz w:val="21"/>
          <w:szCs w:val="21"/>
          <w:highlight w:val="none"/>
          <w:lang w:val="zh-CN"/>
        </w:rPr>
        <w:t>收费标准如下表：</w:t>
      </w:r>
    </w:p>
    <w:tbl>
      <w:tblPr>
        <w:tblStyle w:val="5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132"/>
        <w:gridCol w:w="2132"/>
        <w:gridCol w:w="2132"/>
        <w:gridCol w:w="213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4" w:hRule="atLeast"/>
          <w:jc w:val="center"/>
        </w:trPr>
        <w:tc>
          <w:tcPr>
            <w:tcW w:w="2132" w:type="dxa"/>
            <w:tcBorders>
              <w:tl2br w:val="single" w:color="000000" w:sz="8" w:space="0"/>
            </w:tcBorders>
          </w:tcPr>
          <w:p>
            <w:pPr>
              <w:spacing w:line="360" w:lineRule="exact"/>
              <w:rPr>
                <w:rFonts w:hAnsi="宋体" w:cs="宋体"/>
                <w:color w:val="auto"/>
                <w:sz w:val="21"/>
                <w:szCs w:val="21"/>
                <w:highlight w:val="none"/>
              </w:rPr>
            </w:pPr>
            <w:r>
              <w:rPr>
                <w:rFonts w:hint="eastAsia" w:hAnsi="宋体" w:cs="宋体"/>
                <w:color w:val="auto"/>
                <w:sz w:val="21"/>
                <w:szCs w:val="21"/>
                <w:highlight w:val="none"/>
              </w:rPr>
              <w:t xml:space="preserve">            费率</w:t>
            </w:r>
          </w:p>
          <w:p>
            <w:pPr>
              <w:spacing w:line="360" w:lineRule="exact"/>
              <w:rPr>
                <w:rFonts w:hAnsi="宋体" w:cs="宋体"/>
                <w:color w:val="auto"/>
                <w:sz w:val="21"/>
                <w:szCs w:val="21"/>
                <w:highlight w:val="none"/>
              </w:rPr>
            </w:pPr>
            <w:r>
              <w:rPr>
                <w:rFonts w:hint="eastAsia" w:hAnsi="宋体" w:cs="宋体"/>
                <w:color w:val="auto"/>
                <w:sz w:val="21"/>
                <w:szCs w:val="21"/>
                <w:highlight w:val="none"/>
              </w:rPr>
              <w:t>中标金额</w:t>
            </w:r>
          </w:p>
        </w:tc>
        <w:tc>
          <w:tcPr>
            <w:tcW w:w="2132" w:type="dxa"/>
            <w:vAlign w:val="center"/>
          </w:tcPr>
          <w:p>
            <w:pPr>
              <w:spacing w:before="100" w:beforeAutospacing="1" w:after="100" w:afterAutospacing="1"/>
              <w:jc w:val="center"/>
              <w:rPr>
                <w:rFonts w:hAnsi="宋体" w:cs="宋体"/>
                <w:color w:val="auto"/>
                <w:sz w:val="21"/>
                <w:szCs w:val="21"/>
                <w:highlight w:val="none"/>
              </w:rPr>
            </w:pPr>
            <w:r>
              <w:rPr>
                <w:rFonts w:hint="eastAsia" w:hAnsi="宋体" w:cs="宋体"/>
                <w:color w:val="auto"/>
                <w:sz w:val="21"/>
                <w:szCs w:val="21"/>
                <w:highlight w:val="none"/>
              </w:rPr>
              <w:t>货物采购</w:t>
            </w:r>
          </w:p>
        </w:tc>
        <w:tc>
          <w:tcPr>
            <w:tcW w:w="2132" w:type="dxa"/>
            <w:vAlign w:val="center"/>
          </w:tcPr>
          <w:p>
            <w:pPr>
              <w:spacing w:before="100" w:beforeAutospacing="1" w:after="100" w:afterAutospacing="1"/>
              <w:jc w:val="center"/>
              <w:rPr>
                <w:rFonts w:hAnsi="宋体" w:cs="宋体"/>
                <w:color w:val="auto"/>
                <w:sz w:val="21"/>
                <w:szCs w:val="21"/>
                <w:highlight w:val="none"/>
              </w:rPr>
            </w:pPr>
            <w:r>
              <w:rPr>
                <w:rFonts w:hint="eastAsia" w:hAnsi="宋体" w:cs="宋体"/>
                <w:color w:val="auto"/>
                <w:sz w:val="21"/>
                <w:szCs w:val="21"/>
                <w:highlight w:val="none"/>
              </w:rPr>
              <w:t>服务采购</w:t>
            </w:r>
          </w:p>
        </w:tc>
        <w:tc>
          <w:tcPr>
            <w:tcW w:w="2132" w:type="dxa"/>
            <w:vAlign w:val="center"/>
          </w:tcPr>
          <w:p>
            <w:pPr>
              <w:spacing w:before="100" w:beforeAutospacing="1" w:after="100" w:afterAutospacing="1"/>
              <w:jc w:val="center"/>
              <w:rPr>
                <w:rFonts w:hAnsi="宋体" w:cs="宋体"/>
                <w:color w:val="auto"/>
                <w:sz w:val="21"/>
                <w:szCs w:val="21"/>
                <w:highlight w:val="none"/>
              </w:rPr>
            </w:pPr>
            <w:r>
              <w:rPr>
                <w:rFonts w:hint="eastAsia" w:hAnsi="宋体" w:cs="宋体"/>
                <w:color w:val="auto"/>
                <w:sz w:val="21"/>
                <w:szCs w:val="21"/>
                <w:highlight w:val="none"/>
              </w:rPr>
              <w:t>工程采购</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30" w:hRule="atLeast"/>
          <w:jc w:val="center"/>
        </w:trPr>
        <w:tc>
          <w:tcPr>
            <w:tcW w:w="2132" w:type="dxa"/>
            <w:vAlign w:val="center"/>
          </w:tcPr>
          <w:p>
            <w:pPr>
              <w:spacing w:before="100" w:beforeAutospacing="1" w:after="100" w:afterAutospacing="1"/>
              <w:jc w:val="center"/>
              <w:rPr>
                <w:rFonts w:hAnsi="宋体" w:cs="宋体"/>
                <w:color w:val="auto"/>
                <w:sz w:val="21"/>
                <w:szCs w:val="21"/>
                <w:highlight w:val="none"/>
              </w:rPr>
            </w:pPr>
            <w:r>
              <w:rPr>
                <w:rFonts w:hint="eastAsia" w:hAnsi="宋体" w:cs="宋体"/>
                <w:color w:val="auto"/>
                <w:sz w:val="21"/>
                <w:szCs w:val="21"/>
                <w:highlight w:val="none"/>
              </w:rPr>
              <w:t>100万元以下</w:t>
            </w:r>
          </w:p>
        </w:tc>
        <w:tc>
          <w:tcPr>
            <w:tcW w:w="2132" w:type="dxa"/>
            <w:vAlign w:val="center"/>
          </w:tcPr>
          <w:p>
            <w:pPr>
              <w:spacing w:before="100" w:beforeAutospacing="1" w:after="100" w:afterAutospacing="1"/>
              <w:jc w:val="center"/>
              <w:rPr>
                <w:rFonts w:hAnsi="宋体" w:cs="宋体"/>
                <w:color w:val="auto"/>
                <w:sz w:val="21"/>
                <w:szCs w:val="21"/>
                <w:highlight w:val="none"/>
              </w:rPr>
            </w:pPr>
            <w:r>
              <w:rPr>
                <w:rFonts w:hint="eastAsia" w:hAnsi="宋体" w:cs="宋体"/>
                <w:color w:val="auto"/>
                <w:sz w:val="21"/>
                <w:szCs w:val="21"/>
                <w:highlight w:val="none"/>
              </w:rPr>
              <w:t>1.5%</w:t>
            </w:r>
          </w:p>
        </w:tc>
        <w:tc>
          <w:tcPr>
            <w:tcW w:w="2132" w:type="dxa"/>
            <w:vAlign w:val="center"/>
          </w:tcPr>
          <w:p>
            <w:pPr>
              <w:spacing w:before="100" w:beforeAutospacing="1" w:after="100" w:afterAutospacing="1"/>
              <w:jc w:val="center"/>
              <w:rPr>
                <w:rFonts w:hAnsi="宋体" w:cs="宋体"/>
                <w:color w:val="auto"/>
                <w:sz w:val="21"/>
                <w:szCs w:val="21"/>
                <w:highlight w:val="none"/>
              </w:rPr>
            </w:pPr>
            <w:r>
              <w:rPr>
                <w:rFonts w:hint="eastAsia" w:hAnsi="宋体" w:cs="宋体"/>
                <w:color w:val="auto"/>
                <w:sz w:val="21"/>
                <w:szCs w:val="21"/>
                <w:highlight w:val="none"/>
              </w:rPr>
              <w:t>1.5%</w:t>
            </w:r>
          </w:p>
        </w:tc>
        <w:tc>
          <w:tcPr>
            <w:tcW w:w="2132" w:type="dxa"/>
            <w:vAlign w:val="center"/>
          </w:tcPr>
          <w:p>
            <w:pPr>
              <w:spacing w:before="100" w:beforeAutospacing="1" w:after="100" w:afterAutospacing="1"/>
              <w:jc w:val="center"/>
              <w:rPr>
                <w:rFonts w:hAnsi="宋体" w:cs="宋体"/>
                <w:color w:val="auto"/>
                <w:sz w:val="21"/>
                <w:szCs w:val="21"/>
                <w:highlight w:val="none"/>
              </w:rPr>
            </w:pPr>
            <w:r>
              <w:rPr>
                <w:rFonts w:hint="eastAsia" w:hAnsi="宋体" w:cs="宋体"/>
                <w:color w:val="auto"/>
                <w:sz w:val="21"/>
                <w:szCs w:val="21"/>
                <w:highlight w:val="none"/>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08" w:hRule="atLeast"/>
          <w:jc w:val="center"/>
        </w:trPr>
        <w:tc>
          <w:tcPr>
            <w:tcW w:w="2132" w:type="dxa"/>
            <w:vAlign w:val="center"/>
          </w:tcPr>
          <w:p>
            <w:pPr>
              <w:spacing w:before="100" w:beforeAutospacing="1" w:after="100" w:afterAutospacing="1"/>
              <w:jc w:val="center"/>
              <w:rPr>
                <w:rFonts w:hAnsi="宋体" w:cs="宋体"/>
                <w:color w:val="auto"/>
                <w:sz w:val="21"/>
                <w:szCs w:val="21"/>
                <w:highlight w:val="none"/>
              </w:rPr>
            </w:pPr>
            <w:r>
              <w:rPr>
                <w:rFonts w:hint="eastAsia" w:hAnsi="宋体" w:cs="宋体"/>
                <w:color w:val="auto"/>
                <w:sz w:val="21"/>
                <w:szCs w:val="21"/>
                <w:highlight w:val="none"/>
              </w:rPr>
              <w:t>100-500万元</w:t>
            </w:r>
          </w:p>
        </w:tc>
        <w:tc>
          <w:tcPr>
            <w:tcW w:w="2132" w:type="dxa"/>
            <w:vAlign w:val="center"/>
          </w:tcPr>
          <w:p>
            <w:pPr>
              <w:spacing w:before="100" w:beforeAutospacing="1" w:after="100" w:afterAutospacing="1"/>
              <w:jc w:val="center"/>
              <w:rPr>
                <w:rFonts w:hAnsi="宋体" w:cs="宋体"/>
                <w:color w:val="auto"/>
                <w:sz w:val="21"/>
                <w:szCs w:val="21"/>
                <w:highlight w:val="none"/>
              </w:rPr>
            </w:pPr>
            <w:r>
              <w:rPr>
                <w:rFonts w:hint="eastAsia" w:hAnsi="宋体" w:cs="宋体"/>
                <w:color w:val="auto"/>
                <w:sz w:val="21"/>
                <w:szCs w:val="21"/>
                <w:highlight w:val="none"/>
              </w:rPr>
              <w:t>1.1%</w:t>
            </w:r>
          </w:p>
        </w:tc>
        <w:tc>
          <w:tcPr>
            <w:tcW w:w="2132" w:type="dxa"/>
            <w:vAlign w:val="center"/>
          </w:tcPr>
          <w:p>
            <w:pPr>
              <w:spacing w:before="100" w:beforeAutospacing="1" w:after="100" w:afterAutospacing="1"/>
              <w:jc w:val="center"/>
              <w:rPr>
                <w:rFonts w:hAnsi="宋体" w:cs="宋体"/>
                <w:color w:val="auto"/>
                <w:sz w:val="21"/>
                <w:szCs w:val="21"/>
                <w:highlight w:val="none"/>
              </w:rPr>
            </w:pPr>
            <w:r>
              <w:rPr>
                <w:rFonts w:hint="eastAsia" w:hAnsi="宋体" w:cs="宋体"/>
                <w:color w:val="auto"/>
                <w:sz w:val="21"/>
                <w:szCs w:val="21"/>
                <w:highlight w:val="none"/>
              </w:rPr>
              <w:t>0.8%</w:t>
            </w:r>
          </w:p>
        </w:tc>
        <w:tc>
          <w:tcPr>
            <w:tcW w:w="2132" w:type="dxa"/>
            <w:vAlign w:val="center"/>
          </w:tcPr>
          <w:p>
            <w:pPr>
              <w:spacing w:before="100" w:beforeAutospacing="1" w:after="100" w:afterAutospacing="1"/>
              <w:jc w:val="center"/>
              <w:rPr>
                <w:rFonts w:hAnsi="宋体" w:cs="宋体"/>
                <w:color w:val="auto"/>
                <w:sz w:val="21"/>
                <w:szCs w:val="21"/>
                <w:highlight w:val="none"/>
              </w:rPr>
            </w:pPr>
            <w:r>
              <w:rPr>
                <w:rFonts w:hint="eastAsia" w:hAnsi="宋体" w:cs="宋体"/>
                <w:color w:val="auto"/>
                <w:sz w:val="21"/>
                <w:szCs w:val="21"/>
                <w:highlight w:val="none"/>
              </w:rPr>
              <w:t>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01" w:hRule="atLeast"/>
          <w:jc w:val="center"/>
        </w:trPr>
        <w:tc>
          <w:tcPr>
            <w:tcW w:w="2132" w:type="dxa"/>
            <w:vAlign w:val="center"/>
          </w:tcPr>
          <w:p>
            <w:pPr>
              <w:spacing w:before="100" w:beforeAutospacing="1" w:after="100" w:afterAutospacing="1"/>
              <w:jc w:val="center"/>
              <w:rPr>
                <w:rFonts w:hAnsi="宋体" w:cs="宋体"/>
                <w:color w:val="auto"/>
                <w:sz w:val="21"/>
                <w:szCs w:val="21"/>
                <w:highlight w:val="none"/>
              </w:rPr>
            </w:pPr>
            <w:r>
              <w:rPr>
                <w:rFonts w:hint="eastAsia" w:hAnsi="宋体" w:cs="宋体"/>
                <w:color w:val="auto"/>
                <w:sz w:val="21"/>
                <w:szCs w:val="21"/>
                <w:highlight w:val="none"/>
              </w:rPr>
              <w:t>500-1000万元</w:t>
            </w:r>
          </w:p>
        </w:tc>
        <w:tc>
          <w:tcPr>
            <w:tcW w:w="2132" w:type="dxa"/>
            <w:vAlign w:val="center"/>
          </w:tcPr>
          <w:p>
            <w:pPr>
              <w:spacing w:before="100" w:beforeAutospacing="1" w:after="100" w:afterAutospacing="1"/>
              <w:jc w:val="center"/>
              <w:rPr>
                <w:rFonts w:hAnsi="宋体" w:cs="宋体"/>
                <w:color w:val="auto"/>
                <w:sz w:val="21"/>
                <w:szCs w:val="21"/>
                <w:highlight w:val="none"/>
              </w:rPr>
            </w:pPr>
            <w:r>
              <w:rPr>
                <w:rFonts w:hint="eastAsia" w:hAnsi="宋体" w:cs="宋体"/>
                <w:color w:val="auto"/>
                <w:sz w:val="21"/>
                <w:szCs w:val="21"/>
                <w:highlight w:val="none"/>
              </w:rPr>
              <w:t>0.8%</w:t>
            </w:r>
          </w:p>
        </w:tc>
        <w:tc>
          <w:tcPr>
            <w:tcW w:w="2132" w:type="dxa"/>
            <w:vAlign w:val="center"/>
          </w:tcPr>
          <w:p>
            <w:pPr>
              <w:spacing w:before="100" w:beforeAutospacing="1" w:after="100" w:afterAutospacing="1"/>
              <w:jc w:val="center"/>
              <w:rPr>
                <w:rFonts w:hAnsi="宋体" w:cs="宋体"/>
                <w:color w:val="auto"/>
                <w:sz w:val="21"/>
                <w:szCs w:val="21"/>
                <w:highlight w:val="none"/>
              </w:rPr>
            </w:pPr>
            <w:r>
              <w:rPr>
                <w:rFonts w:hint="eastAsia" w:hAnsi="宋体" w:cs="宋体"/>
                <w:color w:val="auto"/>
                <w:sz w:val="21"/>
                <w:szCs w:val="21"/>
                <w:highlight w:val="none"/>
              </w:rPr>
              <w:t>0.45%</w:t>
            </w:r>
          </w:p>
        </w:tc>
        <w:tc>
          <w:tcPr>
            <w:tcW w:w="2132" w:type="dxa"/>
            <w:vAlign w:val="center"/>
          </w:tcPr>
          <w:p>
            <w:pPr>
              <w:spacing w:before="100" w:beforeAutospacing="1" w:after="100" w:afterAutospacing="1"/>
              <w:jc w:val="center"/>
              <w:rPr>
                <w:rFonts w:hAnsi="宋体" w:cs="宋体"/>
                <w:color w:val="auto"/>
                <w:sz w:val="21"/>
                <w:szCs w:val="21"/>
                <w:highlight w:val="none"/>
              </w:rPr>
            </w:pPr>
            <w:r>
              <w:rPr>
                <w:rFonts w:hint="eastAsia" w:hAnsi="宋体" w:cs="宋体"/>
                <w:color w:val="auto"/>
                <w:sz w:val="21"/>
                <w:szCs w:val="21"/>
                <w:highlight w:val="none"/>
              </w:rPr>
              <w:t>0.55%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07" w:hRule="atLeast"/>
          <w:jc w:val="center"/>
        </w:trPr>
        <w:tc>
          <w:tcPr>
            <w:tcW w:w="2132" w:type="dxa"/>
            <w:vAlign w:val="center"/>
          </w:tcPr>
          <w:p>
            <w:pPr>
              <w:spacing w:before="100" w:beforeAutospacing="1" w:after="100" w:afterAutospacing="1"/>
              <w:jc w:val="center"/>
              <w:rPr>
                <w:rFonts w:hAnsi="宋体" w:cs="宋体"/>
                <w:color w:val="auto"/>
                <w:sz w:val="21"/>
                <w:szCs w:val="21"/>
                <w:highlight w:val="none"/>
              </w:rPr>
            </w:pPr>
            <w:r>
              <w:rPr>
                <w:rFonts w:hint="eastAsia" w:hAnsi="宋体" w:cs="宋体"/>
                <w:color w:val="auto"/>
                <w:sz w:val="21"/>
                <w:szCs w:val="21"/>
                <w:highlight w:val="none"/>
              </w:rPr>
              <w:t>1000-5000万元</w:t>
            </w:r>
          </w:p>
        </w:tc>
        <w:tc>
          <w:tcPr>
            <w:tcW w:w="2132" w:type="dxa"/>
            <w:vAlign w:val="center"/>
          </w:tcPr>
          <w:p>
            <w:pPr>
              <w:spacing w:before="100" w:beforeAutospacing="1" w:after="100" w:afterAutospacing="1"/>
              <w:jc w:val="center"/>
              <w:rPr>
                <w:rFonts w:hAnsi="宋体" w:cs="宋体"/>
                <w:color w:val="auto"/>
                <w:sz w:val="21"/>
                <w:szCs w:val="21"/>
                <w:highlight w:val="none"/>
              </w:rPr>
            </w:pPr>
            <w:r>
              <w:rPr>
                <w:rFonts w:hint="eastAsia" w:hAnsi="宋体" w:cs="宋体"/>
                <w:color w:val="auto"/>
                <w:sz w:val="21"/>
                <w:szCs w:val="21"/>
                <w:highlight w:val="none"/>
              </w:rPr>
              <w:t xml:space="preserve">0.5%                </w:t>
            </w:r>
          </w:p>
        </w:tc>
        <w:tc>
          <w:tcPr>
            <w:tcW w:w="2132" w:type="dxa"/>
            <w:vAlign w:val="center"/>
          </w:tcPr>
          <w:p>
            <w:pPr>
              <w:spacing w:before="100" w:beforeAutospacing="1" w:after="100" w:afterAutospacing="1"/>
              <w:jc w:val="center"/>
              <w:rPr>
                <w:rFonts w:hAnsi="宋体" w:cs="宋体"/>
                <w:color w:val="auto"/>
                <w:sz w:val="21"/>
                <w:szCs w:val="21"/>
                <w:highlight w:val="none"/>
              </w:rPr>
            </w:pPr>
            <w:r>
              <w:rPr>
                <w:rFonts w:hint="eastAsia" w:hAnsi="宋体" w:cs="宋体"/>
                <w:color w:val="auto"/>
                <w:sz w:val="21"/>
                <w:szCs w:val="21"/>
                <w:highlight w:val="none"/>
              </w:rPr>
              <w:t>0.25%</w:t>
            </w:r>
          </w:p>
        </w:tc>
        <w:tc>
          <w:tcPr>
            <w:tcW w:w="2132" w:type="dxa"/>
            <w:vAlign w:val="center"/>
          </w:tcPr>
          <w:p>
            <w:pPr>
              <w:spacing w:before="100" w:beforeAutospacing="1" w:after="100" w:afterAutospacing="1"/>
              <w:jc w:val="center"/>
              <w:rPr>
                <w:rFonts w:hAnsi="宋体" w:cs="宋体"/>
                <w:color w:val="auto"/>
                <w:sz w:val="21"/>
                <w:szCs w:val="21"/>
                <w:highlight w:val="none"/>
              </w:rPr>
            </w:pPr>
            <w:r>
              <w:rPr>
                <w:rFonts w:hint="eastAsia" w:hAnsi="宋体" w:cs="宋体"/>
                <w:color w:val="auto"/>
                <w:sz w:val="21"/>
                <w:szCs w:val="21"/>
                <w:highlight w:val="none"/>
              </w:rPr>
              <w:t>0.35%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8" w:hRule="atLeast"/>
          <w:jc w:val="center"/>
        </w:trPr>
        <w:tc>
          <w:tcPr>
            <w:tcW w:w="2132" w:type="dxa"/>
            <w:vAlign w:val="center"/>
          </w:tcPr>
          <w:p>
            <w:pPr>
              <w:spacing w:before="100" w:beforeAutospacing="1" w:after="100" w:afterAutospacing="1"/>
              <w:jc w:val="center"/>
              <w:rPr>
                <w:rFonts w:hAnsi="宋体" w:cs="宋体"/>
                <w:color w:val="auto"/>
                <w:sz w:val="21"/>
                <w:szCs w:val="21"/>
                <w:highlight w:val="none"/>
              </w:rPr>
            </w:pPr>
            <w:r>
              <w:rPr>
                <w:rFonts w:hint="eastAsia" w:hAnsi="宋体" w:cs="宋体"/>
                <w:color w:val="auto"/>
                <w:sz w:val="21"/>
                <w:szCs w:val="21"/>
                <w:highlight w:val="none"/>
              </w:rPr>
              <w:t>5000万元-1亿元</w:t>
            </w:r>
          </w:p>
        </w:tc>
        <w:tc>
          <w:tcPr>
            <w:tcW w:w="2132" w:type="dxa"/>
            <w:vAlign w:val="center"/>
          </w:tcPr>
          <w:p>
            <w:pPr>
              <w:spacing w:before="100" w:beforeAutospacing="1" w:after="100" w:afterAutospacing="1"/>
              <w:jc w:val="center"/>
              <w:rPr>
                <w:rFonts w:hAnsi="宋体" w:cs="宋体"/>
                <w:color w:val="auto"/>
                <w:sz w:val="21"/>
                <w:szCs w:val="21"/>
                <w:highlight w:val="none"/>
              </w:rPr>
            </w:pPr>
            <w:r>
              <w:rPr>
                <w:rFonts w:hint="eastAsia" w:hAnsi="宋体" w:cs="宋体"/>
                <w:color w:val="auto"/>
                <w:sz w:val="21"/>
                <w:szCs w:val="21"/>
                <w:highlight w:val="none"/>
              </w:rPr>
              <w:t xml:space="preserve">0.25%                 </w:t>
            </w:r>
          </w:p>
        </w:tc>
        <w:tc>
          <w:tcPr>
            <w:tcW w:w="2132" w:type="dxa"/>
            <w:vAlign w:val="center"/>
          </w:tcPr>
          <w:p>
            <w:pPr>
              <w:spacing w:before="100" w:beforeAutospacing="1" w:after="100" w:afterAutospacing="1"/>
              <w:jc w:val="center"/>
              <w:rPr>
                <w:rFonts w:hAnsi="宋体" w:cs="宋体"/>
                <w:color w:val="auto"/>
                <w:sz w:val="21"/>
                <w:szCs w:val="21"/>
                <w:highlight w:val="none"/>
              </w:rPr>
            </w:pPr>
            <w:r>
              <w:rPr>
                <w:rFonts w:hint="eastAsia" w:hAnsi="宋体" w:cs="宋体"/>
                <w:color w:val="auto"/>
                <w:sz w:val="21"/>
                <w:szCs w:val="21"/>
                <w:highlight w:val="none"/>
              </w:rPr>
              <w:t>0.1%</w:t>
            </w:r>
          </w:p>
        </w:tc>
        <w:tc>
          <w:tcPr>
            <w:tcW w:w="2132" w:type="dxa"/>
            <w:vAlign w:val="center"/>
          </w:tcPr>
          <w:p>
            <w:pPr>
              <w:spacing w:before="100" w:beforeAutospacing="1" w:after="100" w:afterAutospacing="1"/>
              <w:jc w:val="center"/>
              <w:rPr>
                <w:rFonts w:hAnsi="宋体" w:cs="宋体"/>
                <w:color w:val="auto"/>
                <w:sz w:val="21"/>
                <w:szCs w:val="21"/>
                <w:highlight w:val="none"/>
              </w:rPr>
            </w:pPr>
            <w:r>
              <w:rPr>
                <w:rFonts w:hint="eastAsia" w:hAnsi="宋体" w:cs="宋体"/>
                <w:color w:val="auto"/>
                <w:sz w:val="21"/>
                <w:szCs w:val="21"/>
                <w:highlight w:val="none"/>
              </w:rPr>
              <w:t>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04" w:hRule="atLeast"/>
          <w:jc w:val="center"/>
        </w:trPr>
        <w:tc>
          <w:tcPr>
            <w:tcW w:w="2132" w:type="dxa"/>
            <w:vAlign w:val="center"/>
          </w:tcPr>
          <w:p>
            <w:pPr>
              <w:spacing w:before="100" w:beforeAutospacing="1" w:after="100" w:afterAutospacing="1"/>
              <w:jc w:val="center"/>
              <w:rPr>
                <w:rFonts w:hAnsi="宋体" w:cs="宋体"/>
                <w:color w:val="auto"/>
                <w:sz w:val="21"/>
                <w:szCs w:val="21"/>
                <w:highlight w:val="none"/>
              </w:rPr>
            </w:pPr>
            <w:r>
              <w:rPr>
                <w:rFonts w:hint="eastAsia" w:hAnsi="宋体" w:cs="宋体"/>
                <w:color w:val="auto"/>
                <w:sz w:val="21"/>
                <w:szCs w:val="21"/>
                <w:highlight w:val="none"/>
              </w:rPr>
              <w:t>1-5亿元</w:t>
            </w:r>
          </w:p>
        </w:tc>
        <w:tc>
          <w:tcPr>
            <w:tcW w:w="2132" w:type="dxa"/>
            <w:vAlign w:val="center"/>
          </w:tcPr>
          <w:p>
            <w:pPr>
              <w:spacing w:before="100" w:beforeAutospacing="1" w:after="100" w:afterAutospacing="1"/>
              <w:jc w:val="center"/>
              <w:rPr>
                <w:rFonts w:hAnsi="宋体" w:cs="宋体"/>
                <w:color w:val="auto"/>
                <w:sz w:val="21"/>
                <w:szCs w:val="21"/>
                <w:highlight w:val="none"/>
              </w:rPr>
            </w:pPr>
            <w:r>
              <w:rPr>
                <w:rFonts w:hint="eastAsia" w:hAnsi="宋体" w:cs="宋体"/>
                <w:color w:val="auto"/>
                <w:sz w:val="21"/>
                <w:szCs w:val="21"/>
                <w:highlight w:val="none"/>
              </w:rPr>
              <w:t>0.05%</w:t>
            </w:r>
          </w:p>
        </w:tc>
        <w:tc>
          <w:tcPr>
            <w:tcW w:w="2132" w:type="dxa"/>
            <w:vAlign w:val="center"/>
          </w:tcPr>
          <w:p>
            <w:pPr>
              <w:spacing w:before="100" w:beforeAutospacing="1" w:after="100" w:afterAutospacing="1"/>
              <w:jc w:val="center"/>
              <w:rPr>
                <w:rFonts w:hAnsi="宋体" w:cs="宋体"/>
                <w:color w:val="auto"/>
                <w:sz w:val="21"/>
                <w:szCs w:val="21"/>
                <w:highlight w:val="none"/>
              </w:rPr>
            </w:pPr>
            <w:r>
              <w:rPr>
                <w:rFonts w:hint="eastAsia" w:hAnsi="宋体" w:cs="宋体"/>
                <w:color w:val="auto"/>
                <w:sz w:val="21"/>
                <w:szCs w:val="21"/>
                <w:highlight w:val="none"/>
              </w:rPr>
              <w:t>0.05%</w:t>
            </w:r>
          </w:p>
        </w:tc>
        <w:tc>
          <w:tcPr>
            <w:tcW w:w="2132" w:type="dxa"/>
            <w:vAlign w:val="center"/>
          </w:tcPr>
          <w:p>
            <w:pPr>
              <w:spacing w:before="100" w:beforeAutospacing="1" w:after="100" w:afterAutospacing="1"/>
              <w:jc w:val="center"/>
              <w:rPr>
                <w:rFonts w:hAnsi="宋体" w:cs="宋体"/>
                <w:color w:val="auto"/>
                <w:sz w:val="21"/>
                <w:szCs w:val="21"/>
                <w:highlight w:val="none"/>
              </w:rPr>
            </w:pPr>
            <w:r>
              <w:rPr>
                <w:rFonts w:hint="eastAsia" w:hAnsi="宋体" w:cs="宋体"/>
                <w:color w:val="auto"/>
                <w:sz w:val="21"/>
                <w:szCs w:val="21"/>
                <w:highlight w:val="none"/>
              </w:rPr>
              <w:t>0.05%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1" w:hRule="atLeast"/>
          <w:jc w:val="center"/>
        </w:trPr>
        <w:tc>
          <w:tcPr>
            <w:tcW w:w="2132" w:type="dxa"/>
            <w:vAlign w:val="center"/>
          </w:tcPr>
          <w:p>
            <w:pPr>
              <w:spacing w:before="100" w:beforeAutospacing="1" w:after="100" w:afterAutospacing="1"/>
              <w:jc w:val="center"/>
              <w:rPr>
                <w:rFonts w:hAnsi="宋体" w:cs="宋体"/>
                <w:color w:val="auto"/>
                <w:sz w:val="21"/>
                <w:szCs w:val="21"/>
                <w:highlight w:val="none"/>
              </w:rPr>
            </w:pPr>
            <w:r>
              <w:rPr>
                <w:rFonts w:hint="eastAsia" w:hAnsi="宋体" w:cs="宋体"/>
                <w:color w:val="auto"/>
                <w:sz w:val="21"/>
                <w:szCs w:val="21"/>
                <w:highlight w:val="none"/>
              </w:rPr>
              <w:t>5-10亿元</w:t>
            </w:r>
          </w:p>
        </w:tc>
        <w:tc>
          <w:tcPr>
            <w:tcW w:w="2132" w:type="dxa"/>
            <w:vAlign w:val="center"/>
          </w:tcPr>
          <w:p>
            <w:pPr>
              <w:spacing w:before="100" w:beforeAutospacing="1" w:after="100" w:afterAutospacing="1"/>
              <w:jc w:val="center"/>
              <w:rPr>
                <w:rFonts w:hAnsi="宋体" w:cs="宋体"/>
                <w:color w:val="auto"/>
                <w:sz w:val="21"/>
                <w:szCs w:val="21"/>
                <w:highlight w:val="none"/>
              </w:rPr>
            </w:pPr>
            <w:r>
              <w:rPr>
                <w:rFonts w:hint="eastAsia" w:hAnsi="宋体" w:cs="宋体"/>
                <w:color w:val="auto"/>
                <w:sz w:val="21"/>
                <w:szCs w:val="21"/>
                <w:highlight w:val="none"/>
              </w:rPr>
              <w:t>0.035%</w:t>
            </w:r>
          </w:p>
        </w:tc>
        <w:tc>
          <w:tcPr>
            <w:tcW w:w="2132" w:type="dxa"/>
            <w:vAlign w:val="center"/>
          </w:tcPr>
          <w:p>
            <w:pPr>
              <w:spacing w:before="100" w:beforeAutospacing="1" w:after="100" w:afterAutospacing="1"/>
              <w:jc w:val="center"/>
              <w:rPr>
                <w:rFonts w:hAnsi="宋体" w:cs="宋体"/>
                <w:color w:val="auto"/>
                <w:sz w:val="21"/>
                <w:szCs w:val="21"/>
                <w:highlight w:val="none"/>
              </w:rPr>
            </w:pPr>
            <w:r>
              <w:rPr>
                <w:rFonts w:hint="eastAsia" w:hAnsi="宋体" w:cs="宋体"/>
                <w:color w:val="auto"/>
                <w:sz w:val="21"/>
                <w:szCs w:val="21"/>
                <w:highlight w:val="none"/>
              </w:rPr>
              <w:t>0.035%</w:t>
            </w:r>
          </w:p>
        </w:tc>
        <w:tc>
          <w:tcPr>
            <w:tcW w:w="2132" w:type="dxa"/>
            <w:vAlign w:val="center"/>
          </w:tcPr>
          <w:p>
            <w:pPr>
              <w:spacing w:before="100" w:beforeAutospacing="1" w:after="100" w:afterAutospacing="1"/>
              <w:jc w:val="center"/>
              <w:rPr>
                <w:rFonts w:hAnsi="宋体" w:cs="宋体"/>
                <w:color w:val="auto"/>
                <w:sz w:val="21"/>
                <w:szCs w:val="21"/>
                <w:highlight w:val="none"/>
              </w:rPr>
            </w:pPr>
            <w:r>
              <w:rPr>
                <w:rFonts w:hint="eastAsia" w:hAnsi="宋体" w:cs="宋体"/>
                <w:color w:val="auto"/>
                <w:sz w:val="21"/>
                <w:szCs w:val="21"/>
                <w:highlight w:val="none"/>
              </w:rPr>
              <w:t>0.035%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03" w:hRule="atLeast"/>
          <w:jc w:val="center"/>
        </w:trPr>
        <w:tc>
          <w:tcPr>
            <w:tcW w:w="2132" w:type="dxa"/>
            <w:vAlign w:val="center"/>
          </w:tcPr>
          <w:p>
            <w:pPr>
              <w:spacing w:before="100" w:beforeAutospacing="1" w:after="100" w:afterAutospacing="1"/>
              <w:jc w:val="center"/>
              <w:rPr>
                <w:rFonts w:hAnsi="宋体" w:cs="宋体"/>
                <w:color w:val="auto"/>
                <w:sz w:val="21"/>
                <w:szCs w:val="21"/>
                <w:highlight w:val="none"/>
              </w:rPr>
            </w:pPr>
            <w:r>
              <w:rPr>
                <w:rFonts w:hint="eastAsia" w:hAnsi="宋体" w:cs="宋体"/>
                <w:color w:val="auto"/>
                <w:sz w:val="21"/>
                <w:szCs w:val="21"/>
                <w:highlight w:val="none"/>
              </w:rPr>
              <w:t>10-50亿元</w:t>
            </w:r>
          </w:p>
        </w:tc>
        <w:tc>
          <w:tcPr>
            <w:tcW w:w="2132" w:type="dxa"/>
            <w:vAlign w:val="center"/>
          </w:tcPr>
          <w:p>
            <w:pPr>
              <w:spacing w:before="100" w:beforeAutospacing="1" w:after="100" w:afterAutospacing="1"/>
              <w:jc w:val="center"/>
              <w:rPr>
                <w:rFonts w:hAnsi="宋体" w:cs="宋体"/>
                <w:color w:val="auto"/>
                <w:sz w:val="21"/>
                <w:szCs w:val="21"/>
                <w:highlight w:val="none"/>
              </w:rPr>
            </w:pPr>
            <w:r>
              <w:rPr>
                <w:rFonts w:hint="eastAsia" w:hAnsi="宋体" w:cs="宋体"/>
                <w:color w:val="auto"/>
                <w:sz w:val="21"/>
                <w:szCs w:val="21"/>
                <w:highlight w:val="none"/>
              </w:rPr>
              <w:t>0.008%</w:t>
            </w:r>
          </w:p>
        </w:tc>
        <w:tc>
          <w:tcPr>
            <w:tcW w:w="2132" w:type="dxa"/>
            <w:vAlign w:val="center"/>
          </w:tcPr>
          <w:p>
            <w:pPr>
              <w:spacing w:before="100" w:beforeAutospacing="1" w:after="100" w:afterAutospacing="1"/>
              <w:jc w:val="center"/>
              <w:rPr>
                <w:rFonts w:hAnsi="宋体" w:cs="宋体"/>
                <w:color w:val="auto"/>
                <w:sz w:val="21"/>
                <w:szCs w:val="21"/>
                <w:highlight w:val="none"/>
              </w:rPr>
            </w:pPr>
            <w:r>
              <w:rPr>
                <w:rFonts w:hint="eastAsia" w:hAnsi="宋体" w:cs="宋体"/>
                <w:color w:val="auto"/>
                <w:sz w:val="21"/>
                <w:szCs w:val="21"/>
                <w:highlight w:val="none"/>
              </w:rPr>
              <w:t>0.008%</w:t>
            </w:r>
          </w:p>
        </w:tc>
        <w:tc>
          <w:tcPr>
            <w:tcW w:w="2132" w:type="dxa"/>
            <w:vAlign w:val="center"/>
          </w:tcPr>
          <w:p>
            <w:pPr>
              <w:spacing w:before="100" w:beforeAutospacing="1" w:after="100" w:afterAutospacing="1"/>
              <w:jc w:val="center"/>
              <w:rPr>
                <w:rFonts w:hAnsi="宋体" w:cs="宋体"/>
                <w:color w:val="auto"/>
                <w:sz w:val="21"/>
                <w:szCs w:val="21"/>
                <w:highlight w:val="none"/>
              </w:rPr>
            </w:pPr>
            <w:r>
              <w:rPr>
                <w:rFonts w:hint="eastAsia" w:hAnsi="宋体" w:cs="宋体"/>
                <w:color w:val="auto"/>
                <w:sz w:val="21"/>
                <w:szCs w:val="21"/>
                <w:highlight w:val="none"/>
              </w:rPr>
              <w:t>0.008%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08" w:hRule="atLeast"/>
          <w:jc w:val="center"/>
        </w:trPr>
        <w:tc>
          <w:tcPr>
            <w:tcW w:w="2132" w:type="dxa"/>
            <w:vAlign w:val="center"/>
          </w:tcPr>
          <w:p>
            <w:pPr>
              <w:spacing w:before="100" w:beforeAutospacing="1" w:after="100" w:afterAutospacing="1"/>
              <w:jc w:val="center"/>
              <w:rPr>
                <w:rFonts w:hAnsi="宋体" w:cs="宋体"/>
                <w:color w:val="auto"/>
                <w:sz w:val="21"/>
                <w:szCs w:val="21"/>
                <w:highlight w:val="none"/>
              </w:rPr>
            </w:pPr>
            <w:r>
              <w:rPr>
                <w:rFonts w:hint="eastAsia" w:hAnsi="宋体" w:cs="宋体"/>
                <w:color w:val="auto"/>
                <w:sz w:val="21"/>
                <w:szCs w:val="21"/>
                <w:highlight w:val="none"/>
              </w:rPr>
              <w:t>50-100亿元</w:t>
            </w:r>
          </w:p>
        </w:tc>
        <w:tc>
          <w:tcPr>
            <w:tcW w:w="2132" w:type="dxa"/>
            <w:vAlign w:val="center"/>
          </w:tcPr>
          <w:p>
            <w:pPr>
              <w:spacing w:before="100" w:beforeAutospacing="1" w:after="100" w:afterAutospacing="1"/>
              <w:jc w:val="center"/>
              <w:rPr>
                <w:rFonts w:hAnsi="宋体" w:cs="宋体"/>
                <w:color w:val="auto"/>
                <w:sz w:val="21"/>
                <w:szCs w:val="21"/>
                <w:highlight w:val="none"/>
              </w:rPr>
            </w:pPr>
            <w:r>
              <w:rPr>
                <w:rFonts w:hint="eastAsia" w:hAnsi="宋体" w:cs="宋体"/>
                <w:color w:val="auto"/>
                <w:sz w:val="21"/>
                <w:szCs w:val="21"/>
                <w:highlight w:val="none"/>
              </w:rPr>
              <w:t xml:space="preserve"> 0.006%</w:t>
            </w:r>
          </w:p>
        </w:tc>
        <w:tc>
          <w:tcPr>
            <w:tcW w:w="2132" w:type="dxa"/>
            <w:vAlign w:val="center"/>
          </w:tcPr>
          <w:p>
            <w:pPr>
              <w:spacing w:before="100" w:beforeAutospacing="1" w:after="100" w:afterAutospacing="1"/>
              <w:jc w:val="center"/>
              <w:rPr>
                <w:rFonts w:hAnsi="宋体" w:cs="宋体"/>
                <w:color w:val="auto"/>
                <w:sz w:val="21"/>
                <w:szCs w:val="21"/>
                <w:highlight w:val="none"/>
              </w:rPr>
            </w:pPr>
            <w:r>
              <w:rPr>
                <w:rFonts w:hint="eastAsia" w:hAnsi="宋体" w:cs="宋体"/>
                <w:color w:val="auto"/>
                <w:sz w:val="21"/>
                <w:szCs w:val="21"/>
                <w:highlight w:val="none"/>
              </w:rPr>
              <w:t>0.006%</w:t>
            </w:r>
          </w:p>
        </w:tc>
        <w:tc>
          <w:tcPr>
            <w:tcW w:w="2132" w:type="dxa"/>
            <w:vAlign w:val="center"/>
          </w:tcPr>
          <w:p>
            <w:pPr>
              <w:spacing w:before="100" w:beforeAutospacing="1" w:after="100" w:afterAutospacing="1"/>
              <w:jc w:val="center"/>
              <w:rPr>
                <w:rFonts w:hAnsi="宋体" w:cs="宋体"/>
                <w:color w:val="auto"/>
                <w:sz w:val="21"/>
                <w:szCs w:val="21"/>
                <w:highlight w:val="none"/>
              </w:rPr>
            </w:pPr>
            <w:r>
              <w:rPr>
                <w:rFonts w:hint="eastAsia" w:hAnsi="宋体" w:cs="宋体"/>
                <w:color w:val="auto"/>
                <w:sz w:val="21"/>
                <w:szCs w:val="21"/>
                <w:highlight w:val="none"/>
              </w:rPr>
              <w:t>0.006%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00" w:hRule="atLeast"/>
          <w:jc w:val="center"/>
        </w:trPr>
        <w:tc>
          <w:tcPr>
            <w:tcW w:w="2132" w:type="dxa"/>
            <w:vAlign w:val="center"/>
          </w:tcPr>
          <w:p>
            <w:pPr>
              <w:spacing w:before="100" w:beforeAutospacing="1" w:after="100" w:afterAutospacing="1"/>
              <w:jc w:val="center"/>
              <w:rPr>
                <w:rFonts w:hAnsi="宋体" w:cs="宋体"/>
                <w:color w:val="auto"/>
                <w:sz w:val="21"/>
                <w:szCs w:val="21"/>
                <w:highlight w:val="none"/>
              </w:rPr>
            </w:pPr>
            <w:r>
              <w:rPr>
                <w:rFonts w:hint="eastAsia" w:hAnsi="宋体" w:cs="宋体"/>
                <w:color w:val="auto"/>
                <w:sz w:val="21"/>
                <w:szCs w:val="21"/>
                <w:highlight w:val="none"/>
              </w:rPr>
              <w:t>100亿以上</w:t>
            </w:r>
          </w:p>
        </w:tc>
        <w:tc>
          <w:tcPr>
            <w:tcW w:w="2132" w:type="dxa"/>
            <w:vAlign w:val="center"/>
          </w:tcPr>
          <w:p>
            <w:pPr>
              <w:spacing w:before="100" w:beforeAutospacing="1" w:after="100" w:afterAutospacing="1"/>
              <w:jc w:val="center"/>
              <w:rPr>
                <w:rFonts w:hAnsi="宋体" w:cs="宋体"/>
                <w:color w:val="auto"/>
                <w:sz w:val="21"/>
                <w:szCs w:val="21"/>
                <w:highlight w:val="none"/>
              </w:rPr>
            </w:pPr>
            <w:r>
              <w:rPr>
                <w:rFonts w:hint="eastAsia" w:hAnsi="宋体" w:cs="宋体"/>
                <w:color w:val="auto"/>
                <w:sz w:val="21"/>
                <w:szCs w:val="21"/>
                <w:highlight w:val="none"/>
              </w:rPr>
              <w:t xml:space="preserve"> 0.004%</w:t>
            </w:r>
          </w:p>
        </w:tc>
        <w:tc>
          <w:tcPr>
            <w:tcW w:w="2132" w:type="dxa"/>
            <w:vAlign w:val="center"/>
          </w:tcPr>
          <w:p>
            <w:pPr>
              <w:spacing w:before="100" w:beforeAutospacing="1" w:after="100" w:afterAutospacing="1"/>
              <w:jc w:val="center"/>
              <w:rPr>
                <w:rFonts w:hAnsi="宋体" w:cs="宋体"/>
                <w:color w:val="auto"/>
                <w:sz w:val="21"/>
                <w:szCs w:val="21"/>
                <w:highlight w:val="none"/>
              </w:rPr>
            </w:pPr>
            <w:r>
              <w:rPr>
                <w:rFonts w:hint="eastAsia" w:hAnsi="宋体" w:cs="宋体"/>
                <w:color w:val="auto"/>
                <w:sz w:val="21"/>
                <w:szCs w:val="21"/>
                <w:highlight w:val="none"/>
              </w:rPr>
              <w:t>0.004%</w:t>
            </w:r>
          </w:p>
        </w:tc>
        <w:tc>
          <w:tcPr>
            <w:tcW w:w="2132" w:type="dxa"/>
            <w:vAlign w:val="center"/>
          </w:tcPr>
          <w:p>
            <w:pPr>
              <w:spacing w:before="100" w:beforeAutospacing="1" w:after="100" w:afterAutospacing="1"/>
              <w:jc w:val="center"/>
              <w:rPr>
                <w:rFonts w:hAnsi="宋体" w:cs="宋体"/>
                <w:color w:val="auto"/>
                <w:sz w:val="21"/>
                <w:szCs w:val="21"/>
                <w:highlight w:val="none"/>
              </w:rPr>
            </w:pPr>
            <w:r>
              <w:rPr>
                <w:rFonts w:hint="eastAsia" w:hAnsi="宋体" w:cs="宋体"/>
                <w:color w:val="auto"/>
                <w:sz w:val="21"/>
                <w:szCs w:val="21"/>
                <w:highlight w:val="none"/>
              </w:rPr>
              <w:t>0.004%</w:t>
            </w:r>
          </w:p>
        </w:tc>
      </w:tr>
    </w:tbl>
    <w:p>
      <w:pPr>
        <w:pStyle w:val="117"/>
        <w:spacing w:line="360" w:lineRule="auto"/>
        <w:ind w:left="420" w:firstLine="0" w:firstLineChars="0"/>
        <w:rPr>
          <w:rFonts w:ascii="宋体" w:hAnsi="宋体" w:cs="宋体"/>
          <w:color w:val="auto"/>
          <w:szCs w:val="21"/>
          <w:highlight w:val="none"/>
          <w:lang w:val="zh-CN"/>
        </w:rPr>
      </w:pPr>
      <w:r>
        <w:rPr>
          <w:rFonts w:hint="eastAsia" w:ascii="宋体" w:hAnsi="宋体" w:cs="宋体"/>
          <w:color w:val="auto"/>
          <w:szCs w:val="21"/>
          <w:highlight w:val="none"/>
          <w:lang w:val="zh-CN"/>
        </w:rPr>
        <w:t>例：某服务采购代理业务中标金额为6000万元，计算中标服务收费额如下：</w:t>
      </w:r>
    </w:p>
    <w:p>
      <w:pPr>
        <w:pStyle w:val="117"/>
        <w:spacing w:line="360" w:lineRule="auto"/>
        <w:ind w:left="420" w:firstLine="0" w:firstLineChars="0"/>
        <w:rPr>
          <w:rFonts w:ascii="宋体" w:hAnsi="宋体" w:cs="宋体"/>
          <w:color w:val="auto"/>
          <w:szCs w:val="21"/>
          <w:highlight w:val="none"/>
          <w:lang w:val="zh-CN"/>
        </w:rPr>
      </w:pPr>
      <w:r>
        <w:rPr>
          <w:rFonts w:hint="eastAsia" w:ascii="宋体" w:hAnsi="宋体" w:cs="宋体"/>
          <w:color w:val="auto"/>
          <w:szCs w:val="21"/>
          <w:highlight w:val="none"/>
          <w:lang w:val="zh-CN"/>
        </w:rPr>
        <w:t>100万元×1.5%＝1.5万元</w:t>
      </w:r>
    </w:p>
    <w:p>
      <w:pPr>
        <w:pStyle w:val="117"/>
        <w:spacing w:line="360" w:lineRule="auto"/>
        <w:ind w:left="420" w:firstLine="0" w:firstLineChars="0"/>
        <w:rPr>
          <w:rFonts w:ascii="宋体" w:hAnsi="宋体" w:cs="宋体"/>
          <w:color w:val="auto"/>
          <w:szCs w:val="21"/>
          <w:highlight w:val="none"/>
          <w:lang w:val="zh-CN"/>
        </w:rPr>
      </w:pPr>
      <w:r>
        <w:rPr>
          <w:rFonts w:hint="eastAsia" w:ascii="宋体" w:hAnsi="宋体" w:cs="宋体"/>
          <w:color w:val="auto"/>
          <w:szCs w:val="21"/>
          <w:highlight w:val="none"/>
          <w:lang w:val="zh-CN"/>
        </w:rPr>
        <w:t>(500-100)万元×0.8%＝3.2万元</w:t>
      </w:r>
    </w:p>
    <w:p>
      <w:pPr>
        <w:pStyle w:val="117"/>
        <w:spacing w:line="360" w:lineRule="auto"/>
        <w:ind w:left="420" w:firstLine="0" w:firstLineChars="0"/>
        <w:rPr>
          <w:rFonts w:ascii="宋体" w:hAnsi="宋体" w:cs="宋体"/>
          <w:color w:val="auto"/>
          <w:szCs w:val="21"/>
          <w:highlight w:val="none"/>
          <w:lang w:val="zh-CN"/>
        </w:rPr>
      </w:pPr>
      <w:r>
        <w:rPr>
          <w:rFonts w:hint="eastAsia" w:ascii="宋体" w:hAnsi="宋体" w:cs="宋体"/>
          <w:color w:val="auto"/>
          <w:szCs w:val="21"/>
          <w:highlight w:val="none"/>
          <w:lang w:val="zh-CN"/>
        </w:rPr>
        <w:t>(1000-500)万元×0.45%＝2.25万元</w:t>
      </w:r>
    </w:p>
    <w:p>
      <w:pPr>
        <w:pStyle w:val="117"/>
        <w:spacing w:line="360" w:lineRule="auto"/>
        <w:ind w:left="420" w:firstLine="0" w:firstLineChars="0"/>
        <w:rPr>
          <w:rFonts w:ascii="宋体" w:hAnsi="宋体" w:cs="宋体"/>
          <w:color w:val="auto"/>
          <w:szCs w:val="21"/>
          <w:highlight w:val="none"/>
          <w:lang w:val="zh-CN"/>
        </w:rPr>
      </w:pPr>
      <w:r>
        <w:rPr>
          <w:rFonts w:hint="eastAsia" w:ascii="宋体" w:hAnsi="宋体" w:cs="宋体"/>
          <w:color w:val="auto"/>
          <w:szCs w:val="21"/>
          <w:highlight w:val="none"/>
          <w:lang w:val="zh-CN"/>
        </w:rPr>
        <w:t>(5000-1000)万元×0.25%＝10.0万元</w:t>
      </w:r>
    </w:p>
    <w:p>
      <w:pPr>
        <w:pStyle w:val="117"/>
        <w:spacing w:line="360" w:lineRule="auto"/>
        <w:ind w:left="420" w:firstLine="0" w:firstLineChars="0"/>
        <w:rPr>
          <w:rFonts w:ascii="宋体" w:hAnsi="宋体" w:cs="宋体"/>
          <w:color w:val="auto"/>
          <w:szCs w:val="21"/>
          <w:highlight w:val="none"/>
          <w:lang w:val="zh-CN"/>
        </w:rPr>
      </w:pPr>
      <w:r>
        <w:rPr>
          <w:rFonts w:hint="eastAsia" w:ascii="宋体" w:hAnsi="宋体" w:cs="宋体"/>
          <w:color w:val="auto"/>
          <w:szCs w:val="21"/>
          <w:highlight w:val="none"/>
          <w:lang w:val="zh-CN"/>
        </w:rPr>
        <w:t>(6000-5000)万元×0.1%＝1.0万元</w:t>
      </w:r>
    </w:p>
    <w:p>
      <w:pPr>
        <w:pStyle w:val="117"/>
        <w:spacing w:line="360" w:lineRule="auto"/>
        <w:ind w:left="420" w:firstLine="0" w:firstLineChars="0"/>
        <w:rPr>
          <w:rFonts w:ascii="宋体" w:hAnsi="宋体" w:cs="宋体"/>
          <w:color w:val="auto"/>
          <w:szCs w:val="21"/>
          <w:highlight w:val="none"/>
          <w:lang w:val="zh-CN"/>
        </w:rPr>
      </w:pPr>
      <w:r>
        <w:rPr>
          <w:rFonts w:hint="eastAsia" w:ascii="宋体" w:hAnsi="宋体" w:cs="宋体"/>
          <w:color w:val="auto"/>
          <w:szCs w:val="21"/>
          <w:highlight w:val="none"/>
          <w:lang w:val="zh-CN"/>
        </w:rPr>
        <w:t>合计收费=1.5＋3.2＋2.25＋10.0＋1.0＝17.95（万元）</w:t>
      </w:r>
    </w:p>
    <w:p>
      <w:pPr>
        <w:spacing w:line="360" w:lineRule="auto"/>
        <w:ind w:left="540" w:right="18" w:hanging="54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3</w:t>
      </w:r>
      <w:r>
        <w:rPr>
          <w:rFonts w:hint="eastAsia" w:hAnsi="宋体" w:cs="宋体"/>
          <w:color w:val="auto"/>
          <w:kern w:val="2"/>
          <w:sz w:val="21"/>
          <w:szCs w:val="21"/>
          <w:highlight w:val="none"/>
        </w:rPr>
        <w:t>7</w:t>
      </w:r>
      <w:r>
        <w:rPr>
          <w:rFonts w:hint="eastAsia" w:hAnsi="宋体" w:cs="宋体"/>
          <w:color w:val="auto"/>
          <w:kern w:val="2"/>
          <w:sz w:val="21"/>
          <w:szCs w:val="21"/>
          <w:highlight w:val="none"/>
          <w:lang w:val="zh-CN"/>
        </w:rPr>
        <w:t>.</w:t>
      </w:r>
      <w:r>
        <w:rPr>
          <w:rFonts w:hint="eastAsia" w:hAnsi="宋体" w:cs="宋体"/>
          <w:color w:val="auto"/>
          <w:kern w:val="2"/>
          <w:sz w:val="21"/>
          <w:szCs w:val="21"/>
          <w:highlight w:val="none"/>
        </w:rPr>
        <w:t>3</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中标服务费币种为人民币，只接受银行转帐或电汇。</w:t>
      </w:r>
    </w:p>
    <w:p>
      <w:pPr>
        <w:spacing w:line="360" w:lineRule="auto"/>
        <w:ind w:left="540" w:right="18" w:hanging="54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3</w:t>
      </w:r>
      <w:r>
        <w:rPr>
          <w:rFonts w:hint="eastAsia" w:hAnsi="宋体" w:cs="宋体"/>
          <w:color w:val="auto"/>
          <w:kern w:val="2"/>
          <w:sz w:val="21"/>
          <w:szCs w:val="21"/>
          <w:highlight w:val="none"/>
        </w:rPr>
        <w:t>7</w:t>
      </w:r>
      <w:r>
        <w:rPr>
          <w:rFonts w:hint="eastAsia" w:hAnsi="宋体" w:cs="宋体"/>
          <w:color w:val="auto"/>
          <w:kern w:val="2"/>
          <w:sz w:val="21"/>
          <w:szCs w:val="21"/>
          <w:highlight w:val="none"/>
          <w:lang w:val="zh-CN"/>
        </w:rPr>
        <w:t>.</w:t>
      </w:r>
      <w:r>
        <w:rPr>
          <w:rFonts w:hint="eastAsia" w:hAnsi="宋体" w:cs="宋体"/>
          <w:color w:val="auto"/>
          <w:kern w:val="2"/>
          <w:sz w:val="21"/>
          <w:szCs w:val="21"/>
          <w:highlight w:val="none"/>
        </w:rPr>
        <w:t>4</w:t>
      </w:r>
      <w:r>
        <w:rPr>
          <w:rFonts w:hint="eastAsia" w:hAnsi="宋体" w:cs="宋体"/>
          <w:color w:val="auto"/>
          <w:kern w:val="2"/>
          <w:sz w:val="21"/>
          <w:szCs w:val="21"/>
          <w:highlight w:val="none"/>
          <w:lang w:val="zh-CN"/>
        </w:rPr>
        <w:tab/>
      </w:r>
      <w:r>
        <w:rPr>
          <w:rFonts w:hint="eastAsia" w:hAnsi="宋体" w:cs="宋体"/>
          <w:color w:val="auto"/>
          <w:kern w:val="2"/>
          <w:sz w:val="21"/>
          <w:szCs w:val="21"/>
          <w:highlight w:val="none"/>
          <w:lang w:val="zh-CN"/>
        </w:rPr>
        <w:t>中标服务费收取账户：</w:t>
      </w:r>
    </w:p>
    <w:p>
      <w:pPr>
        <w:spacing w:line="360" w:lineRule="auto"/>
        <w:ind w:left="546" w:leftChars="206" w:right="18" w:hanging="52" w:hangingChars="25"/>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开户名称：广东泰通伟业工程咨询有限公司</w:t>
      </w:r>
    </w:p>
    <w:p>
      <w:pPr>
        <w:spacing w:line="360" w:lineRule="auto"/>
        <w:ind w:left="546" w:leftChars="206" w:right="18" w:hanging="52" w:hangingChars="25"/>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开户银行：中国农业银行股份有限公司东莞盈彩支行</w:t>
      </w:r>
    </w:p>
    <w:p>
      <w:pPr>
        <w:spacing w:line="360" w:lineRule="auto"/>
        <w:ind w:left="546" w:leftChars="206" w:right="18" w:hanging="52" w:hangingChars="25"/>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银行账户: 44272301040001052</w:t>
      </w:r>
    </w:p>
    <w:p>
      <w:pPr>
        <w:spacing w:line="360" w:lineRule="auto"/>
        <w:ind w:left="539" w:right="17" w:hanging="539"/>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3</w:t>
      </w:r>
      <w:r>
        <w:rPr>
          <w:rFonts w:hint="eastAsia" w:hAnsi="宋体" w:cs="宋体"/>
          <w:color w:val="auto"/>
          <w:kern w:val="2"/>
          <w:sz w:val="21"/>
          <w:szCs w:val="21"/>
          <w:highlight w:val="none"/>
        </w:rPr>
        <w:t xml:space="preserve">8 </w:t>
      </w:r>
      <w:r>
        <w:rPr>
          <w:rFonts w:hint="eastAsia" w:hAnsi="宋体" w:cs="宋体"/>
          <w:color w:val="auto"/>
          <w:sz w:val="21"/>
          <w:szCs w:val="21"/>
          <w:highlight w:val="none"/>
        </w:rPr>
        <w:t xml:space="preserve"> </w:t>
      </w:r>
      <w:r>
        <w:rPr>
          <w:rFonts w:hint="eastAsia" w:hAnsi="宋体" w:cs="宋体"/>
          <w:color w:val="auto"/>
          <w:kern w:val="2"/>
          <w:sz w:val="21"/>
          <w:szCs w:val="21"/>
          <w:highlight w:val="none"/>
          <w:lang w:val="zh-CN"/>
        </w:rPr>
        <w:t>采购人在授予合同时变更采购货物和服务数量的权利</w:t>
      </w:r>
    </w:p>
    <w:p>
      <w:pPr>
        <w:spacing w:line="360" w:lineRule="auto"/>
        <w:ind w:left="539" w:right="17" w:hanging="539"/>
        <w:jc w:val="both"/>
        <w:rPr>
          <w:rFonts w:hAnsi="宋体" w:cs="宋体"/>
          <w:color w:val="auto"/>
          <w:kern w:val="2"/>
          <w:sz w:val="21"/>
          <w:szCs w:val="21"/>
          <w:highlight w:val="none"/>
          <w:lang w:val="zh-CN"/>
        </w:rPr>
      </w:pPr>
      <w:bookmarkStart w:id="25" w:name="_Hlk35578184"/>
      <w:bookmarkStart w:id="26" w:name="_Hlk35578185"/>
      <w:bookmarkStart w:id="27" w:name="_Hlk35578186"/>
      <w:r>
        <w:rPr>
          <w:rFonts w:hint="eastAsia" w:hAnsi="宋体" w:cs="宋体"/>
          <w:color w:val="auto"/>
          <w:kern w:val="2"/>
          <w:sz w:val="21"/>
          <w:szCs w:val="21"/>
          <w:highlight w:val="none"/>
          <w:lang w:val="zh-CN"/>
        </w:rPr>
        <w:t>3</w:t>
      </w:r>
      <w:r>
        <w:rPr>
          <w:rFonts w:hint="eastAsia" w:hAnsi="宋体" w:cs="宋体"/>
          <w:color w:val="auto"/>
          <w:kern w:val="2"/>
          <w:sz w:val="21"/>
          <w:szCs w:val="21"/>
          <w:highlight w:val="none"/>
        </w:rPr>
        <w:t>8</w:t>
      </w:r>
      <w:r>
        <w:rPr>
          <w:rFonts w:hint="eastAsia" w:hAnsi="宋体" w:cs="宋体"/>
          <w:color w:val="auto"/>
          <w:kern w:val="2"/>
          <w:sz w:val="21"/>
          <w:szCs w:val="21"/>
          <w:highlight w:val="none"/>
          <w:lang w:val="zh-CN"/>
        </w:rPr>
        <w:t>.1</w:t>
      </w:r>
      <w:bookmarkEnd w:id="25"/>
      <w:bookmarkEnd w:id="26"/>
      <w:bookmarkEnd w:id="27"/>
      <w:r>
        <w:rPr>
          <w:rFonts w:hint="eastAsia" w:hAnsi="宋体" w:cs="宋体"/>
          <w:color w:val="auto"/>
          <w:kern w:val="2"/>
          <w:sz w:val="21"/>
          <w:szCs w:val="21"/>
          <w:highlight w:val="none"/>
          <w:lang w:val="zh-CN"/>
        </w:rPr>
        <w:t xml:space="preserve"> 采购合同履行中，采购人需追加与合同标的相同的货物、工程或者服务的，在不改变合同其他条款的前提下，可以与投标人签订补充合同，但所补充合同的采购金额不得超过</w:t>
      </w:r>
      <w:r>
        <w:rPr>
          <w:rFonts w:hint="eastAsia" w:hAnsi="宋体" w:cs="宋体"/>
          <w:bCs/>
          <w:color w:val="auto"/>
          <w:sz w:val="21"/>
          <w:szCs w:val="21"/>
          <w:highlight w:val="none"/>
        </w:rPr>
        <w:t>原合同采购金额的百分之十</w:t>
      </w:r>
      <w:r>
        <w:rPr>
          <w:rFonts w:hint="eastAsia" w:hAnsi="宋体" w:cs="宋体"/>
          <w:color w:val="auto"/>
          <w:kern w:val="2"/>
          <w:sz w:val="21"/>
          <w:szCs w:val="21"/>
          <w:highlight w:val="none"/>
          <w:lang w:val="zh-CN"/>
        </w:rPr>
        <w:t>。</w:t>
      </w:r>
    </w:p>
    <w:p>
      <w:pPr>
        <w:spacing w:line="360" w:lineRule="auto"/>
        <w:ind w:left="539" w:right="17" w:hanging="539"/>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3</w:t>
      </w:r>
      <w:r>
        <w:rPr>
          <w:rFonts w:hint="eastAsia" w:hAnsi="宋体" w:cs="宋体"/>
          <w:color w:val="auto"/>
          <w:kern w:val="2"/>
          <w:sz w:val="21"/>
          <w:szCs w:val="21"/>
          <w:highlight w:val="none"/>
        </w:rPr>
        <w:t>9</w:t>
      </w:r>
      <w:r>
        <w:rPr>
          <w:rFonts w:hint="eastAsia" w:hAnsi="宋体" w:cs="宋体"/>
          <w:color w:val="auto"/>
          <w:kern w:val="2"/>
          <w:sz w:val="21"/>
          <w:szCs w:val="21"/>
          <w:highlight w:val="none"/>
          <w:lang w:val="zh-CN"/>
        </w:rPr>
        <w:t>.  发票</w:t>
      </w:r>
    </w:p>
    <w:p>
      <w:pPr>
        <w:spacing w:line="360" w:lineRule="auto"/>
        <w:ind w:left="539" w:right="17" w:hanging="539"/>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3</w:t>
      </w:r>
      <w:r>
        <w:rPr>
          <w:rFonts w:hint="eastAsia" w:hAnsi="宋体" w:cs="宋体"/>
          <w:color w:val="auto"/>
          <w:kern w:val="2"/>
          <w:sz w:val="21"/>
          <w:szCs w:val="21"/>
          <w:highlight w:val="none"/>
        </w:rPr>
        <w:t>9</w:t>
      </w:r>
      <w:r>
        <w:rPr>
          <w:rFonts w:hint="eastAsia" w:hAnsi="宋体" w:cs="宋体"/>
          <w:color w:val="auto"/>
          <w:kern w:val="2"/>
          <w:sz w:val="21"/>
          <w:szCs w:val="21"/>
          <w:highlight w:val="none"/>
          <w:lang w:val="zh-CN"/>
        </w:rPr>
        <w:t>.1 该项目获得中标的中标人在执行合同过程中，向采购人出具的发票必须是由中标人开具，不得以其他单位或个人名义出具。</w:t>
      </w:r>
    </w:p>
    <w:p>
      <w:pPr>
        <w:rPr>
          <w:color w:val="auto"/>
          <w:highlight w:val="none"/>
          <w:lang w:val="zh-CN"/>
        </w:rPr>
      </w:pPr>
      <w:bookmarkStart w:id="28" w:name="_Toc396137239"/>
    </w:p>
    <w:p>
      <w:pPr>
        <w:pStyle w:val="7"/>
        <w:spacing w:line="360" w:lineRule="auto"/>
        <w:rPr>
          <w:rFonts w:hAnsi="宋体" w:cs="宋体"/>
          <w:b/>
          <w:bCs/>
          <w:color w:val="auto"/>
          <w:kern w:val="44"/>
          <w:sz w:val="21"/>
          <w:szCs w:val="21"/>
          <w:highlight w:val="none"/>
          <w:lang w:val="zh-CN"/>
        </w:rPr>
      </w:pPr>
      <w:bookmarkStart w:id="29" w:name="_Toc21750"/>
      <w:r>
        <w:rPr>
          <w:rFonts w:hint="eastAsia" w:hAnsi="宋体" w:cs="宋体"/>
          <w:b/>
          <w:bCs/>
          <w:color w:val="auto"/>
          <w:kern w:val="44"/>
          <w:sz w:val="21"/>
          <w:szCs w:val="21"/>
          <w:highlight w:val="none"/>
          <w:lang w:val="zh-CN"/>
        </w:rPr>
        <w:t>（七）</w:t>
      </w:r>
      <w:bookmarkEnd w:id="28"/>
      <w:r>
        <w:rPr>
          <w:rFonts w:hint="eastAsia" w:hAnsi="宋体" w:cs="宋体"/>
          <w:b/>
          <w:bCs/>
          <w:color w:val="auto"/>
          <w:kern w:val="44"/>
          <w:sz w:val="21"/>
          <w:szCs w:val="21"/>
          <w:highlight w:val="none"/>
          <w:lang w:val="zh-CN"/>
        </w:rPr>
        <w:t>询问、质疑与投诉</w:t>
      </w:r>
      <w:bookmarkEnd w:id="29"/>
    </w:p>
    <w:p>
      <w:pPr>
        <w:spacing w:line="360" w:lineRule="auto"/>
        <w:rPr>
          <w:rFonts w:hAnsi="宋体" w:cs="宋体"/>
          <w:color w:val="auto"/>
          <w:sz w:val="21"/>
          <w:szCs w:val="21"/>
          <w:highlight w:val="none"/>
        </w:rPr>
      </w:pPr>
      <w:r>
        <w:rPr>
          <w:rFonts w:hint="eastAsia" w:hAnsi="宋体" w:cs="宋体"/>
          <w:color w:val="auto"/>
          <w:sz w:val="21"/>
          <w:szCs w:val="21"/>
          <w:highlight w:val="none"/>
        </w:rPr>
        <w:t>40.  询问</w:t>
      </w:r>
    </w:p>
    <w:p>
      <w:pPr>
        <w:spacing w:line="360" w:lineRule="auto"/>
        <w:ind w:left="539" w:right="17" w:hanging="539"/>
        <w:jc w:val="both"/>
        <w:rPr>
          <w:rFonts w:hAnsi="宋体" w:cs="宋体"/>
          <w:color w:val="auto"/>
          <w:sz w:val="21"/>
          <w:szCs w:val="21"/>
          <w:highlight w:val="none"/>
        </w:rPr>
      </w:pPr>
      <w:r>
        <w:rPr>
          <w:rFonts w:hint="eastAsia" w:hAnsi="宋体" w:cs="宋体"/>
          <w:color w:val="auto"/>
          <w:sz w:val="21"/>
          <w:szCs w:val="21"/>
          <w:highlight w:val="none"/>
        </w:rPr>
        <w:t>40.1 供应商对采购活动事项有疑问的，可以向采购代理机构提出询问，询问可以口头方式提出，也可以书面方式提出。</w:t>
      </w:r>
    </w:p>
    <w:p>
      <w:pPr>
        <w:spacing w:line="360" w:lineRule="auto"/>
        <w:ind w:left="539" w:right="17" w:hanging="539"/>
        <w:jc w:val="both"/>
        <w:rPr>
          <w:rFonts w:hAnsi="宋体" w:cs="宋体"/>
          <w:color w:val="auto"/>
          <w:sz w:val="21"/>
          <w:szCs w:val="21"/>
          <w:highlight w:val="none"/>
        </w:rPr>
      </w:pPr>
      <w:r>
        <w:rPr>
          <w:rFonts w:hint="eastAsia" w:hAnsi="宋体" w:cs="宋体"/>
          <w:color w:val="auto"/>
          <w:sz w:val="21"/>
          <w:szCs w:val="21"/>
          <w:highlight w:val="none"/>
        </w:rPr>
        <w:t>40.2 供应商以书面形式递交询问函的，递交联系人、联系方式和通讯地址详见本采购文件第一篇投标邀请书。</w:t>
      </w:r>
    </w:p>
    <w:p>
      <w:pPr>
        <w:spacing w:line="360" w:lineRule="auto"/>
        <w:ind w:left="539" w:right="17" w:hanging="539"/>
        <w:jc w:val="both"/>
        <w:rPr>
          <w:rFonts w:hAnsi="宋体" w:cs="宋体"/>
          <w:color w:val="auto"/>
          <w:sz w:val="21"/>
          <w:szCs w:val="21"/>
          <w:highlight w:val="none"/>
        </w:rPr>
      </w:pPr>
      <w:r>
        <w:rPr>
          <w:rFonts w:hint="eastAsia" w:hAnsi="宋体" w:cs="宋体"/>
          <w:color w:val="auto"/>
          <w:sz w:val="21"/>
          <w:szCs w:val="21"/>
          <w:highlight w:val="none"/>
        </w:rPr>
        <w:t>40.3 采购代理机构在三个工作日内对供应商依法提出的询问作出答复。</w:t>
      </w:r>
    </w:p>
    <w:p>
      <w:pPr>
        <w:spacing w:line="360" w:lineRule="auto"/>
        <w:rPr>
          <w:rFonts w:hAnsi="宋体" w:cs="宋体"/>
          <w:color w:val="auto"/>
          <w:sz w:val="21"/>
          <w:szCs w:val="21"/>
          <w:highlight w:val="none"/>
        </w:rPr>
      </w:pPr>
      <w:r>
        <w:rPr>
          <w:rFonts w:hint="eastAsia" w:hAnsi="宋体" w:cs="宋体"/>
          <w:color w:val="auto"/>
          <w:sz w:val="21"/>
          <w:szCs w:val="21"/>
          <w:highlight w:val="none"/>
        </w:rPr>
        <w:t>41.  质疑提出与答复</w:t>
      </w:r>
    </w:p>
    <w:p>
      <w:pPr>
        <w:spacing w:line="360" w:lineRule="auto"/>
        <w:ind w:left="539" w:right="17" w:hanging="539"/>
        <w:jc w:val="both"/>
        <w:rPr>
          <w:rFonts w:hAnsi="宋体" w:cs="宋体"/>
          <w:color w:val="auto"/>
          <w:sz w:val="21"/>
          <w:szCs w:val="21"/>
          <w:highlight w:val="none"/>
        </w:rPr>
      </w:pPr>
      <w:r>
        <w:rPr>
          <w:rFonts w:hint="eastAsia" w:hAnsi="宋体" w:cs="宋体"/>
          <w:color w:val="auto"/>
          <w:sz w:val="21"/>
          <w:szCs w:val="21"/>
          <w:highlight w:val="none"/>
        </w:rPr>
        <w:t>41.1 提出质疑的供应商（以下简称质疑供应商）应当是参与所质疑项目采购活动的供应商。即潜在供应商已依法获取其可质疑的采购文件的，可以对该文件提出质疑。</w:t>
      </w:r>
    </w:p>
    <w:p>
      <w:pPr>
        <w:spacing w:line="360" w:lineRule="auto"/>
        <w:ind w:left="539" w:right="17" w:hanging="539"/>
        <w:jc w:val="both"/>
        <w:rPr>
          <w:rFonts w:hAnsi="宋体" w:cs="宋体"/>
          <w:color w:val="auto"/>
          <w:sz w:val="21"/>
          <w:szCs w:val="21"/>
          <w:highlight w:val="none"/>
        </w:rPr>
      </w:pPr>
      <w:r>
        <w:rPr>
          <w:rFonts w:hint="eastAsia" w:hAnsi="宋体" w:cs="宋体"/>
          <w:color w:val="auto"/>
          <w:sz w:val="21"/>
          <w:szCs w:val="21"/>
          <w:highlight w:val="none"/>
        </w:rPr>
        <w:t>41.2 本项目由采购人委托采购代理机构负责供应商质疑答复，采购代理机构在委托授权范围内作出答复。</w:t>
      </w:r>
    </w:p>
    <w:p>
      <w:pPr>
        <w:spacing w:line="360" w:lineRule="auto"/>
        <w:ind w:left="539" w:right="17" w:hanging="539"/>
        <w:jc w:val="both"/>
        <w:rPr>
          <w:rFonts w:hAnsi="宋体" w:cs="宋体"/>
          <w:color w:val="auto"/>
          <w:sz w:val="21"/>
          <w:szCs w:val="21"/>
          <w:highlight w:val="none"/>
        </w:rPr>
      </w:pPr>
      <w:r>
        <w:rPr>
          <w:rFonts w:hint="eastAsia" w:hAnsi="宋体" w:cs="宋体"/>
          <w:color w:val="auto"/>
          <w:sz w:val="21"/>
          <w:szCs w:val="21"/>
          <w:highlight w:val="none"/>
        </w:rPr>
        <w:t>41.3 质疑期限</w:t>
      </w:r>
    </w:p>
    <w:p>
      <w:pPr>
        <w:numPr>
          <w:ilvl w:val="0"/>
          <w:numId w:val="17"/>
        </w:numPr>
        <w:tabs>
          <w:tab w:val="left" w:pos="540"/>
          <w:tab w:val="left" w:pos="1134"/>
          <w:tab w:val="clear" w:pos="960"/>
        </w:tabs>
        <w:spacing w:line="360" w:lineRule="auto"/>
        <w:ind w:left="1134" w:right="17" w:rightChars="7" w:hanging="594"/>
        <w:jc w:val="both"/>
        <w:rPr>
          <w:rFonts w:hAnsi="宋体" w:cs="宋体"/>
          <w:color w:val="auto"/>
          <w:kern w:val="2"/>
          <w:sz w:val="21"/>
          <w:szCs w:val="21"/>
          <w:highlight w:val="none"/>
          <w:lang w:val="zh-CN"/>
        </w:rPr>
      </w:pPr>
      <w:r>
        <w:rPr>
          <w:rFonts w:hint="eastAsia" w:hAnsi="宋体" w:cs="宋体"/>
          <w:color w:val="auto"/>
          <w:sz w:val="21"/>
          <w:szCs w:val="21"/>
          <w:highlight w:val="none"/>
        </w:rPr>
        <w:t>质疑</w:t>
      </w:r>
      <w:r>
        <w:rPr>
          <w:rFonts w:hint="eastAsia" w:hAnsi="宋体" w:cs="宋体"/>
          <w:color w:val="auto"/>
          <w:kern w:val="2"/>
          <w:sz w:val="21"/>
          <w:szCs w:val="21"/>
          <w:highlight w:val="none"/>
          <w:lang w:val="zh-CN"/>
        </w:rPr>
        <w:t>供应商认为采购文件的内容损害其权益的，应在收到采购文件之日或者采购文件公告期届满之日起七个工作日内提出。</w:t>
      </w:r>
    </w:p>
    <w:p>
      <w:pPr>
        <w:numPr>
          <w:ilvl w:val="0"/>
          <w:numId w:val="17"/>
        </w:numPr>
        <w:tabs>
          <w:tab w:val="left" w:pos="540"/>
          <w:tab w:val="left" w:pos="1134"/>
          <w:tab w:val="clear" w:pos="960"/>
        </w:tabs>
        <w:spacing w:line="360" w:lineRule="auto"/>
        <w:ind w:left="1134" w:right="17" w:rightChars="7" w:hanging="594"/>
        <w:jc w:val="both"/>
        <w:rPr>
          <w:rFonts w:hAnsi="宋体" w:cs="宋体"/>
          <w:color w:val="auto"/>
          <w:kern w:val="2"/>
          <w:sz w:val="21"/>
          <w:szCs w:val="21"/>
          <w:highlight w:val="none"/>
          <w:lang w:val="zh-CN"/>
        </w:rPr>
      </w:pPr>
      <w:r>
        <w:rPr>
          <w:rFonts w:hint="eastAsia" w:hAnsi="宋体" w:cs="宋体"/>
          <w:color w:val="auto"/>
          <w:sz w:val="21"/>
          <w:szCs w:val="21"/>
          <w:highlight w:val="none"/>
        </w:rPr>
        <w:t>质疑</w:t>
      </w:r>
      <w:r>
        <w:rPr>
          <w:rFonts w:hint="eastAsia" w:hAnsi="宋体" w:cs="宋体"/>
          <w:color w:val="auto"/>
          <w:kern w:val="2"/>
          <w:sz w:val="21"/>
          <w:szCs w:val="21"/>
          <w:highlight w:val="none"/>
          <w:lang w:val="zh-CN"/>
        </w:rPr>
        <w:t>供应商认为采购过程损害其权益的，应在各采购程序环节结束之日起七个工作日内提出。</w:t>
      </w:r>
    </w:p>
    <w:p>
      <w:pPr>
        <w:numPr>
          <w:ilvl w:val="0"/>
          <w:numId w:val="17"/>
        </w:numPr>
        <w:tabs>
          <w:tab w:val="left" w:pos="540"/>
          <w:tab w:val="left" w:pos="1134"/>
          <w:tab w:val="clear" w:pos="960"/>
        </w:tabs>
        <w:spacing w:line="360" w:lineRule="auto"/>
        <w:ind w:left="1134" w:right="17" w:rightChars="7" w:hanging="594"/>
        <w:jc w:val="both"/>
        <w:rPr>
          <w:rFonts w:hAnsi="宋体" w:cs="宋体"/>
          <w:color w:val="auto"/>
          <w:kern w:val="2"/>
          <w:sz w:val="21"/>
          <w:szCs w:val="21"/>
          <w:highlight w:val="none"/>
          <w:lang w:val="zh-CN"/>
        </w:rPr>
      </w:pPr>
      <w:r>
        <w:rPr>
          <w:rFonts w:hint="eastAsia" w:hAnsi="宋体" w:cs="宋体"/>
          <w:color w:val="auto"/>
          <w:sz w:val="21"/>
          <w:szCs w:val="21"/>
          <w:highlight w:val="none"/>
        </w:rPr>
        <w:t>质疑</w:t>
      </w:r>
      <w:r>
        <w:rPr>
          <w:rFonts w:hint="eastAsia" w:hAnsi="宋体" w:cs="宋体"/>
          <w:color w:val="auto"/>
          <w:kern w:val="2"/>
          <w:sz w:val="21"/>
          <w:szCs w:val="21"/>
          <w:highlight w:val="none"/>
          <w:lang w:val="zh-CN"/>
        </w:rPr>
        <w:t>供应商认为中标或者成交结果损害其权益的，应在中标或者成交结果公告期限届满之日起七个工作日内提出。</w:t>
      </w:r>
    </w:p>
    <w:p>
      <w:pPr>
        <w:spacing w:line="360" w:lineRule="auto"/>
        <w:ind w:left="539" w:right="17" w:hanging="539"/>
        <w:jc w:val="both"/>
        <w:rPr>
          <w:rFonts w:hAnsi="宋体" w:cs="宋体"/>
          <w:color w:val="auto"/>
          <w:sz w:val="21"/>
          <w:szCs w:val="21"/>
          <w:highlight w:val="none"/>
        </w:rPr>
      </w:pPr>
      <w:r>
        <w:rPr>
          <w:rFonts w:hint="eastAsia" w:hAnsi="宋体" w:cs="宋体"/>
          <w:color w:val="auto"/>
          <w:sz w:val="21"/>
          <w:szCs w:val="21"/>
          <w:highlight w:val="none"/>
        </w:rPr>
        <w:t>41.4 提交要求</w:t>
      </w:r>
    </w:p>
    <w:p>
      <w:pPr>
        <w:numPr>
          <w:ilvl w:val="0"/>
          <w:numId w:val="18"/>
        </w:numPr>
        <w:tabs>
          <w:tab w:val="left" w:pos="540"/>
          <w:tab w:val="left" w:pos="1134"/>
          <w:tab w:val="clear" w:pos="960"/>
        </w:tabs>
        <w:spacing w:line="360" w:lineRule="auto"/>
        <w:ind w:left="1134" w:right="17" w:rightChars="7" w:hanging="594"/>
        <w:jc w:val="both"/>
        <w:rPr>
          <w:rFonts w:hAnsi="宋体" w:cs="宋体"/>
          <w:color w:val="auto"/>
          <w:sz w:val="21"/>
          <w:szCs w:val="21"/>
          <w:highlight w:val="none"/>
        </w:rPr>
      </w:pPr>
      <w:r>
        <w:rPr>
          <w:rFonts w:hint="eastAsia" w:hAnsi="宋体" w:cs="宋体"/>
          <w:color w:val="auto"/>
          <w:sz w:val="21"/>
          <w:szCs w:val="21"/>
          <w:highlight w:val="none"/>
        </w:rPr>
        <w:t>以书面纸质质疑函原件（不包括电报、电传、传真、电子数据交换和电子邮件等形式提出的质疑函）向采购代理机构一次性提出针对同一采购程序环节的质疑。法定质疑期内对同一采购程序分次提出质疑的，以法定质疑期限内最后一次提出质疑的时间作为函件签收时间并以最后一次提交质疑函的内容为准。超出法定质疑期的、重复提出的、内容或形式不符合要求的，质疑供应商将依法承担不利后果。</w:t>
      </w:r>
    </w:p>
    <w:p>
      <w:pPr>
        <w:numPr>
          <w:ilvl w:val="0"/>
          <w:numId w:val="18"/>
        </w:numPr>
        <w:tabs>
          <w:tab w:val="left" w:pos="540"/>
          <w:tab w:val="left" w:pos="1134"/>
          <w:tab w:val="clear" w:pos="960"/>
        </w:tabs>
        <w:spacing w:line="360" w:lineRule="auto"/>
        <w:ind w:left="1134" w:right="17" w:rightChars="7" w:hanging="594"/>
        <w:jc w:val="both"/>
        <w:rPr>
          <w:rFonts w:hAnsi="宋体" w:cs="宋体"/>
          <w:color w:val="auto"/>
          <w:sz w:val="21"/>
          <w:szCs w:val="21"/>
          <w:highlight w:val="none"/>
        </w:rPr>
      </w:pPr>
      <w:r>
        <w:rPr>
          <w:rFonts w:hint="eastAsia" w:hAnsi="宋体" w:cs="宋体"/>
          <w:color w:val="auto"/>
          <w:sz w:val="21"/>
          <w:szCs w:val="21"/>
          <w:highlight w:val="none"/>
        </w:rPr>
        <w:t>以联合体形式参加采购活动的，其质疑应当由组成联合体的所有供应商共同提出。</w:t>
      </w:r>
    </w:p>
    <w:p>
      <w:pPr>
        <w:numPr>
          <w:ilvl w:val="0"/>
          <w:numId w:val="18"/>
        </w:numPr>
        <w:tabs>
          <w:tab w:val="left" w:pos="540"/>
          <w:tab w:val="left" w:pos="1134"/>
          <w:tab w:val="clear" w:pos="960"/>
        </w:tabs>
        <w:spacing w:line="360" w:lineRule="auto"/>
        <w:ind w:left="1134" w:right="17" w:rightChars="7" w:hanging="594"/>
        <w:jc w:val="both"/>
        <w:rPr>
          <w:rFonts w:hAnsi="宋体" w:cs="宋体"/>
          <w:color w:val="auto"/>
          <w:sz w:val="21"/>
          <w:szCs w:val="21"/>
          <w:highlight w:val="none"/>
        </w:rPr>
      </w:pPr>
      <w:r>
        <w:rPr>
          <w:rFonts w:hint="eastAsia" w:hAnsi="宋体" w:cs="宋体"/>
          <w:color w:val="auto"/>
          <w:sz w:val="21"/>
          <w:szCs w:val="21"/>
          <w:highlight w:val="none"/>
        </w:rPr>
        <w:t>质疑函应按采购文件第六篇投标文件格式附件中《质疑函范本》要求提交。</w:t>
      </w:r>
    </w:p>
    <w:p>
      <w:pPr>
        <w:numPr>
          <w:ilvl w:val="0"/>
          <w:numId w:val="18"/>
        </w:numPr>
        <w:tabs>
          <w:tab w:val="left" w:pos="540"/>
          <w:tab w:val="left" w:pos="1134"/>
          <w:tab w:val="clear" w:pos="960"/>
        </w:tabs>
        <w:spacing w:line="360" w:lineRule="auto"/>
        <w:ind w:left="1134" w:right="17" w:rightChars="7" w:hanging="594"/>
        <w:jc w:val="both"/>
        <w:rPr>
          <w:rFonts w:hAnsi="宋体" w:cs="宋体"/>
          <w:color w:val="auto"/>
          <w:sz w:val="21"/>
          <w:szCs w:val="21"/>
          <w:highlight w:val="none"/>
        </w:rPr>
      </w:pPr>
      <w:r>
        <w:rPr>
          <w:rFonts w:hint="eastAsia" w:hAnsi="宋体" w:cs="宋体"/>
          <w:color w:val="auto"/>
          <w:sz w:val="21"/>
          <w:szCs w:val="21"/>
          <w:highlight w:val="none"/>
        </w:rPr>
        <w:t>供应商为自然人的，质疑函应当由本人签名；供应商为法人或者其他组织的，应当由法定代表人、主要负责人或授权代表签名或者盖个人名章，并加盖公章。供应商递交质疑函时非法定代表人亲自办理的，应提供法定代表人授权委托书和授权代表身份证复印件，其授权委托书应载明授权代表的姓名或者名称、代理事项、具体权限、期限和相关事项。</w:t>
      </w:r>
    </w:p>
    <w:p>
      <w:pPr>
        <w:spacing w:line="360" w:lineRule="auto"/>
        <w:ind w:left="539" w:right="17" w:hanging="539"/>
        <w:jc w:val="both"/>
        <w:rPr>
          <w:rFonts w:hAnsi="宋体" w:cs="宋体"/>
          <w:color w:val="auto"/>
          <w:sz w:val="21"/>
          <w:szCs w:val="21"/>
          <w:highlight w:val="none"/>
        </w:rPr>
      </w:pPr>
      <w:r>
        <w:rPr>
          <w:rFonts w:hint="eastAsia" w:hAnsi="宋体" w:cs="宋体"/>
          <w:color w:val="auto"/>
          <w:sz w:val="21"/>
          <w:szCs w:val="21"/>
          <w:highlight w:val="none"/>
        </w:rPr>
        <w:t>41.4 质疑供应商捏造事实、提供虚假材料或者以非法手段取得证明材料不能作为质疑的证明材料。</w:t>
      </w:r>
    </w:p>
    <w:p>
      <w:pPr>
        <w:spacing w:line="360" w:lineRule="auto"/>
        <w:ind w:left="539" w:right="17" w:hanging="539"/>
        <w:jc w:val="both"/>
        <w:rPr>
          <w:rFonts w:hAnsi="宋体" w:cs="宋体"/>
          <w:color w:val="auto"/>
          <w:sz w:val="21"/>
          <w:szCs w:val="21"/>
          <w:highlight w:val="none"/>
        </w:rPr>
      </w:pPr>
      <w:r>
        <w:rPr>
          <w:rFonts w:hint="eastAsia" w:hAnsi="宋体" w:cs="宋体"/>
          <w:color w:val="auto"/>
          <w:sz w:val="21"/>
          <w:szCs w:val="21"/>
          <w:highlight w:val="none"/>
        </w:rPr>
        <w:t>41.5 采购代理机构在收到质疑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w:t>
      </w:r>
    </w:p>
    <w:p>
      <w:pPr>
        <w:spacing w:line="360" w:lineRule="auto"/>
        <w:ind w:left="539" w:right="17" w:hanging="539"/>
        <w:jc w:val="both"/>
        <w:rPr>
          <w:rFonts w:hAnsi="宋体" w:cs="宋体"/>
          <w:color w:val="auto"/>
          <w:sz w:val="21"/>
          <w:szCs w:val="21"/>
          <w:highlight w:val="none"/>
        </w:rPr>
      </w:pPr>
      <w:r>
        <w:rPr>
          <w:rFonts w:hint="eastAsia" w:hAnsi="宋体" w:cs="宋体"/>
          <w:color w:val="auto"/>
          <w:sz w:val="21"/>
          <w:szCs w:val="21"/>
          <w:highlight w:val="none"/>
        </w:rPr>
        <w:t>41.6 采购代理机构接收以书面形式递交的质疑函，接收质疑函的联系人、联系方式和通讯地址详见本采购文件第一篇投标邀请书。</w:t>
      </w:r>
    </w:p>
    <w:p>
      <w:pPr>
        <w:spacing w:line="360" w:lineRule="auto"/>
        <w:rPr>
          <w:rFonts w:hAnsi="宋体" w:cs="宋体"/>
          <w:color w:val="auto"/>
          <w:sz w:val="21"/>
          <w:szCs w:val="21"/>
          <w:highlight w:val="none"/>
        </w:rPr>
      </w:pPr>
      <w:r>
        <w:rPr>
          <w:rFonts w:hint="eastAsia" w:hAnsi="宋体" w:cs="宋体"/>
          <w:color w:val="auto"/>
          <w:sz w:val="21"/>
          <w:szCs w:val="21"/>
          <w:highlight w:val="none"/>
        </w:rPr>
        <w:t>42.  投诉</w:t>
      </w:r>
    </w:p>
    <w:p>
      <w:pPr>
        <w:spacing w:line="360" w:lineRule="auto"/>
        <w:ind w:left="539" w:right="17" w:hanging="539"/>
        <w:jc w:val="both"/>
        <w:rPr>
          <w:rFonts w:hAnsi="宋体" w:cs="宋体"/>
          <w:color w:val="auto"/>
          <w:sz w:val="21"/>
          <w:szCs w:val="21"/>
          <w:highlight w:val="none"/>
        </w:rPr>
      </w:pPr>
      <w:r>
        <w:rPr>
          <w:rFonts w:hint="eastAsia" w:hAnsi="宋体" w:cs="宋体"/>
          <w:color w:val="auto"/>
          <w:sz w:val="21"/>
          <w:szCs w:val="21"/>
          <w:highlight w:val="none"/>
        </w:rPr>
        <w:t>42.1 质疑供应商对采购代理机构的质疑答复不满意，或采购代理机构未在规定期限内作出答复的，可以在答复期满后十五个工作日内向监督管理部门提出投诉。</w:t>
      </w:r>
    </w:p>
    <w:p>
      <w:pPr>
        <w:spacing w:line="360" w:lineRule="auto"/>
        <w:ind w:left="539" w:right="17" w:hanging="539"/>
        <w:jc w:val="both"/>
        <w:rPr>
          <w:rFonts w:hAnsi="宋体" w:cs="宋体"/>
          <w:color w:val="auto"/>
          <w:sz w:val="21"/>
          <w:szCs w:val="21"/>
          <w:highlight w:val="none"/>
        </w:rPr>
      </w:pPr>
      <w:r>
        <w:rPr>
          <w:rFonts w:hint="eastAsia" w:hAnsi="宋体" w:cs="宋体"/>
          <w:color w:val="auto"/>
          <w:sz w:val="21"/>
          <w:szCs w:val="21"/>
          <w:highlight w:val="none"/>
        </w:rPr>
        <w:t>42.2 以联合体形式参加采购活动的，其投诉应当由组成联合体的所有供应商共同提出。</w:t>
      </w:r>
    </w:p>
    <w:p>
      <w:pPr>
        <w:pStyle w:val="7"/>
        <w:spacing w:line="360" w:lineRule="auto"/>
        <w:rPr>
          <w:rFonts w:hAnsi="宋体" w:cs="宋体"/>
          <w:b/>
          <w:bCs/>
          <w:color w:val="auto"/>
          <w:kern w:val="44"/>
          <w:sz w:val="21"/>
          <w:szCs w:val="21"/>
          <w:highlight w:val="none"/>
          <w:lang w:val="zh-CN"/>
        </w:rPr>
      </w:pPr>
      <w:bookmarkStart w:id="30" w:name="_Toc24383"/>
      <w:bookmarkStart w:id="31" w:name="_Toc24861"/>
      <w:r>
        <w:rPr>
          <w:rFonts w:hint="eastAsia" w:hAnsi="宋体" w:cs="宋体"/>
          <w:b/>
          <w:bCs/>
          <w:color w:val="auto"/>
          <w:kern w:val="44"/>
          <w:sz w:val="21"/>
          <w:szCs w:val="21"/>
          <w:highlight w:val="none"/>
          <w:lang w:val="zh-CN"/>
        </w:rPr>
        <w:t>（八）其他</w:t>
      </w:r>
      <w:bookmarkEnd w:id="30"/>
      <w:bookmarkEnd w:id="31"/>
    </w:p>
    <w:p>
      <w:pPr>
        <w:spacing w:line="360" w:lineRule="auto"/>
        <w:ind w:left="539" w:right="17" w:hanging="539"/>
        <w:jc w:val="both"/>
        <w:rPr>
          <w:rFonts w:hAnsi="宋体" w:cs="宋体"/>
          <w:color w:val="auto"/>
          <w:sz w:val="21"/>
          <w:szCs w:val="21"/>
          <w:highlight w:val="none"/>
        </w:rPr>
      </w:pPr>
      <w:bookmarkStart w:id="32" w:name="_Toc10082"/>
      <w:r>
        <w:rPr>
          <w:rFonts w:hint="eastAsia" w:hAnsi="宋体" w:cs="宋体"/>
          <w:color w:val="auto"/>
          <w:sz w:val="21"/>
          <w:szCs w:val="21"/>
          <w:highlight w:val="none"/>
        </w:rPr>
        <w:t>43   采购文件的解释权</w:t>
      </w:r>
      <w:bookmarkEnd w:id="32"/>
    </w:p>
    <w:p>
      <w:pPr>
        <w:spacing w:line="360" w:lineRule="auto"/>
        <w:ind w:left="544" w:leftChars="206" w:right="17" w:hanging="50" w:hangingChars="24"/>
        <w:jc w:val="both"/>
        <w:rPr>
          <w:color w:val="auto"/>
          <w:highlight w:val="none"/>
        </w:rPr>
      </w:pPr>
      <w:r>
        <w:rPr>
          <w:rFonts w:hint="eastAsia" w:hAnsi="宋体" w:cs="宋体"/>
          <w:color w:val="auto"/>
          <w:sz w:val="21"/>
          <w:szCs w:val="21"/>
          <w:highlight w:val="none"/>
        </w:rPr>
        <w:t>本采购文件根据国家有关法律、法规以及采购管理有关规定编制，解释权属本采购人和采购代理机构。</w:t>
      </w:r>
    </w:p>
    <w:p>
      <w:pPr>
        <w:pStyle w:val="5"/>
        <w:keepNext/>
        <w:keepLines/>
        <w:pageBreakBefore/>
        <w:numPr>
          <w:ilvl w:val="0"/>
          <w:numId w:val="8"/>
        </w:numPr>
        <w:tabs>
          <w:tab w:val="left" w:pos="1080"/>
        </w:tabs>
        <w:spacing w:line="360" w:lineRule="auto"/>
        <w:ind w:left="1262" w:hanging="1262" w:hangingChars="449"/>
        <w:jc w:val="center"/>
        <w:rPr>
          <w:rFonts w:hAnsi="宋体" w:cs="宋体"/>
          <w:b/>
          <w:bCs/>
          <w:color w:val="auto"/>
          <w:kern w:val="44"/>
          <w:sz w:val="28"/>
          <w:szCs w:val="28"/>
          <w:highlight w:val="none"/>
          <w:lang w:val="zh-CN"/>
        </w:rPr>
      </w:pPr>
      <w:bookmarkStart w:id="33" w:name="_Toc396137240"/>
      <w:r>
        <w:rPr>
          <w:rFonts w:hint="eastAsia" w:hAnsi="宋体" w:cs="宋体"/>
          <w:b/>
          <w:bCs/>
          <w:color w:val="auto"/>
          <w:kern w:val="44"/>
          <w:sz w:val="28"/>
          <w:szCs w:val="28"/>
          <w:highlight w:val="none"/>
        </w:rPr>
        <w:t xml:space="preserve"> </w:t>
      </w:r>
      <w:bookmarkStart w:id="34" w:name="_Toc24691"/>
      <w:r>
        <w:rPr>
          <w:rFonts w:hint="eastAsia" w:hAnsi="宋体" w:cs="宋体"/>
          <w:b/>
          <w:bCs/>
          <w:color w:val="auto"/>
          <w:kern w:val="44"/>
          <w:sz w:val="28"/>
          <w:szCs w:val="28"/>
          <w:highlight w:val="none"/>
          <w:lang w:val="zh-CN"/>
        </w:rPr>
        <w:t>用户需求书</w:t>
      </w:r>
      <w:bookmarkEnd w:id="33"/>
      <w:bookmarkEnd w:id="34"/>
    </w:p>
    <w:p>
      <w:pPr>
        <w:pStyle w:val="5"/>
        <w:spacing w:line="360" w:lineRule="auto"/>
        <w:jc w:val="center"/>
        <w:rPr>
          <w:rFonts w:hAnsi="宋体" w:cs="宋体"/>
          <w:b/>
          <w:bCs/>
          <w:color w:val="auto"/>
          <w:sz w:val="28"/>
          <w:szCs w:val="28"/>
          <w:highlight w:val="none"/>
        </w:rPr>
      </w:pPr>
      <w:bookmarkStart w:id="35" w:name="_Toc20030"/>
      <w:r>
        <w:rPr>
          <w:rFonts w:hint="eastAsia" w:hAnsi="宋体" w:cs="宋体"/>
          <w:b/>
          <w:bCs/>
          <w:color w:val="auto"/>
          <w:sz w:val="28"/>
          <w:szCs w:val="28"/>
          <w:highlight w:val="none"/>
        </w:rPr>
        <w:t>第一部分 商务需求书</w:t>
      </w:r>
      <w:bookmarkEnd w:id="35"/>
    </w:p>
    <w:tbl>
      <w:tblPr>
        <w:tblStyle w:val="52"/>
        <w:tblW w:w="8629"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07"/>
        <w:gridCol w:w="1483"/>
        <w:gridCol w:w="6439"/>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07" w:type="dxa"/>
            <w:vAlign w:val="center"/>
          </w:tcPr>
          <w:p>
            <w:pPr>
              <w:spacing w:line="440" w:lineRule="exact"/>
              <w:jc w:val="center"/>
              <w:rPr>
                <w:rFonts w:hAnsi="宋体" w:cs="宋体"/>
                <w:b/>
                <w:bCs/>
                <w:color w:val="auto"/>
                <w:sz w:val="21"/>
                <w:szCs w:val="21"/>
                <w:highlight w:val="none"/>
              </w:rPr>
            </w:pPr>
            <w:r>
              <w:rPr>
                <w:rFonts w:hint="eastAsia" w:hAnsi="宋体" w:cs="宋体"/>
                <w:b/>
                <w:bCs/>
                <w:color w:val="auto"/>
                <w:sz w:val="21"/>
                <w:szCs w:val="21"/>
                <w:highlight w:val="none"/>
              </w:rPr>
              <w:t>序号</w:t>
            </w:r>
          </w:p>
        </w:tc>
        <w:tc>
          <w:tcPr>
            <w:tcW w:w="1483" w:type="dxa"/>
            <w:vAlign w:val="center"/>
          </w:tcPr>
          <w:p>
            <w:pPr>
              <w:spacing w:line="440" w:lineRule="exact"/>
              <w:jc w:val="center"/>
              <w:rPr>
                <w:rFonts w:hAnsi="宋体" w:cs="宋体"/>
                <w:b/>
                <w:bCs/>
                <w:color w:val="auto"/>
                <w:sz w:val="21"/>
                <w:szCs w:val="21"/>
                <w:highlight w:val="none"/>
              </w:rPr>
            </w:pPr>
            <w:r>
              <w:rPr>
                <w:rFonts w:hint="eastAsia" w:hAnsi="宋体" w:cs="宋体"/>
                <w:b/>
                <w:bCs/>
                <w:color w:val="auto"/>
                <w:sz w:val="21"/>
                <w:szCs w:val="21"/>
                <w:highlight w:val="none"/>
              </w:rPr>
              <w:t>条款名称</w:t>
            </w:r>
          </w:p>
        </w:tc>
        <w:tc>
          <w:tcPr>
            <w:tcW w:w="6439" w:type="dxa"/>
            <w:vAlign w:val="center"/>
          </w:tcPr>
          <w:p>
            <w:pPr>
              <w:spacing w:line="440" w:lineRule="exact"/>
              <w:jc w:val="center"/>
              <w:rPr>
                <w:rFonts w:hAnsi="宋体" w:cs="宋体"/>
                <w:b/>
                <w:bCs/>
                <w:color w:val="auto"/>
                <w:sz w:val="21"/>
                <w:szCs w:val="21"/>
                <w:highlight w:val="none"/>
              </w:rPr>
            </w:pPr>
            <w:r>
              <w:rPr>
                <w:rFonts w:hint="eastAsia" w:hAnsi="宋体" w:cs="宋体"/>
                <w:b/>
                <w:bCs/>
                <w:color w:val="auto"/>
                <w:sz w:val="21"/>
                <w:szCs w:val="21"/>
                <w:highlight w:val="none"/>
              </w:rPr>
              <w:t>说明</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680" w:hRule="atLeast"/>
          <w:jc w:val="center"/>
        </w:trPr>
        <w:tc>
          <w:tcPr>
            <w:tcW w:w="707" w:type="dxa"/>
            <w:vAlign w:val="center"/>
          </w:tcPr>
          <w:p>
            <w:pPr>
              <w:spacing w:line="440" w:lineRule="exact"/>
              <w:jc w:val="center"/>
              <w:rPr>
                <w:rFonts w:hAnsi="宋体" w:cs="宋体"/>
                <w:color w:val="auto"/>
                <w:sz w:val="21"/>
                <w:szCs w:val="21"/>
                <w:highlight w:val="none"/>
              </w:rPr>
            </w:pPr>
            <w:r>
              <w:rPr>
                <w:rFonts w:hint="eastAsia" w:hAnsi="宋体" w:cs="宋体"/>
                <w:color w:val="auto"/>
                <w:sz w:val="21"/>
                <w:szCs w:val="21"/>
                <w:highlight w:val="none"/>
              </w:rPr>
              <w:t>1</w:t>
            </w:r>
          </w:p>
        </w:tc>
        <w:tc>
          <w:tcPr>
            <w:tcW w:w="1483" w:type="dxa"/>
            <w:vAlign w:val="center"/>
          </w:tcPr>
          <w:p>
            <w:pPr>
              <w:spacing w:line="440" w:lineRule="exact"/>
              <w:jc w:val="center"/>
              <w:rPr>
                <w:rFonts w:hAnsi="宋体" w:cs="宋体"/>
                <w:color w:val="auto"/>
                <w:sz w:val="21"/>
                <w:szCs w:val="21"/>
                <w:highlight w:val="none"/>
              </w:rPr>
            </w:pPr>
            <w:r>
              <w:rPr>
                <w:rFonts w:hint="eastAsia" w:hAnsi="宋体" w:cs="宋体"/>
                <w:color w:val="auto"/>
                <w:sz w:val="21"/>
                <w:szCs w:val="21"/>
                <w:highlight w:val="none"/>
              </w:rPr>
              <w:t>合格投标人</w:t>
            </w:r>
          </w:p>
        </w:tc>
        <w:tc>
          <w:tcPr>
            <w:tcW w:w="6439" w:type="dxa"/>
            <w:vAlign w:val="center"/>
          </w:tcPr>
          <w:p>
            <w:pPr>
              <w:numPr>
                <w:ilvl w:val="0"/>
                <w:numId w:val="19"/>
              </w:numPr>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投标人须是在中华人民共和国境电文内登记注册的具有独立承担民事责任能力的法人。</w:t>
            </w:r>
          </w:p>
          <w:p>
            <w:pPr>
              <w:numPr>
                <w:ilvl w:val="0"/>
                <w:numId w:val="19"/>
              </w:numPr>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投标人参加采购活动前三年内，在经营活动中没有重大违法记录。（须提供书面声明）</w:t>
            </w:r>
          </w:p>
          <w:p>
            <w:pPr>
              <w:numPr>
                <w:ilvl w:val="0"/>
                <w:numId w:val="19"/>
              </w:numPr>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投标人的单位负责人为同一人或者存在直接控股、管理关系的不同供应商，不得参加同一合同项下的采购活动。</w:t>
            </w:r>
          </w:p>
          <w:p>
            <w:pPr>
              <w:numPr>
                <w:ilvl w:val="0"/>
                <w:numId w:val="19"/>
              </w:numPr>
              <w:spacing w:line="400" w:lineRule="exact"/>
              <w:ind w:firstLine="420" w:firstLineChars="200"/>
              <w:rPr>
                <w:rFonts w:hAnsi="宋体" w:cs="宋体"/>
                <w:color w:val="auto"/>
                <w:sz w:val="21"/>
                <w:szCs w:val="21"/>
                <w:highlight w:val="none"/>
              </w:rPr>
            </w:pPr>
            <w:r>
              <w:rPr>
                <w:rFonts w:hint="eastAsia" w:hAnsi="宋体"/>
                <w:color w:val="auto"/>
                <w:kern w:val="2"/>
                <w:sz w:val="21"/>
                <w:szCs w:val="21"/>
                <w:highlight w:val="none"/>
              </w:rPr>
              <w:t>未被列入“信用中国”网站(www.creditchina.gov.cn)“记录失信被执行人或重大税收违法案件当事人名单”记录名单（以采购代理机构投标截止日当天在“信用中国”网站</w:t>
            </w:r>
          </w:p>
          <w:p>
            <w:pPr>
              <w:numPr>
                <w:ilvl w:val="0"/>
                <w:numId w:val="19"/>
              </w:numPr>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投标人须具有公安部门颁发的《广东省安全技术防范系统设计、施工、维修资格证》三级及以上等级资质【非广东省内颁发的，须提供广东省公安厅备案的证明文件】。</w:t>
            </w:r>
          </w:p>
          <w:p>
            <w:pPr>
              <w:numPr>
                <w:ilvl w:val="0"/>
                <w:numId w:val="19"/>
              </w:numPr>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本项目不接受联合体投标。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07" w:type="dxa"/>
            <w:vAlign w:val="center"/>
          </w:tcPr>
          <w:p>
            <w:pPr>
              <w:spacing w:line="440" w:lineRule="exact"/>
              <w:jc w:val="center"/>
              <w:rPr>
                <w:rFonts w:hAnsi="宋体" w:cs="宋体"/>
                <w:color w:val="auto"/>
                <w:sz w:val="21"/>
                <w:szCs w:val="21"/>
                <w:highlight w:val="none"/>
              </w:rPr>
            </w:pPr>
            <w:r>
              <w:rPr>
                <w:rFonts w:hint="eastAsia" w:hAnsi="宋体" w:cs="宋体"/>
                <w:color w:val="auto"/>
                <w:sz w:val="21"/>
                <w:szCs w:val="21"/>
                <w:highlight w:val="none"/>
              </w:rPr>
              <w:t>2</w:t>
            </w:r>
          </w:p>
        </w:tc>
        <w:tc>
          <w:tcPr>
            <w:tcW w:w="1483" w:type="dxa"/>
            <w:vAlign w:val="center"/>
          </w:tcPr>
          <w:p>
            <w:pPr>
              <w:spacing w:line="440" w:lineRule="exact"/>
              <w:jc w:val="center"/>
              <w:rPr>
                <w:rFonts w:hAnsi="宋体" w:cs="宋体"/>
                <w:color w:val="auto"/>
                <w:sz w:val="21"/>
                <w:szCs w:val="21"/>
                <w:highlight w:val="none"/>
              </w:rPr>
            </w:pPr>
            <w:r>
              <w:rPr>
                <w:rFonts w:hint="eastAsia" w:hAnsi="宋体" w:cs="宋体"/>
                <w:color w:val="auto"/>
                <w:sz w:val="21"/>
                <w:szCs w:val="21"/>
                <w:highlight w:val="none"/>
              </w:rPr>
              <w:t>完工期</w:t>
            </w:r>
          </w:p>
        </w:tc>
        <w:tc>
          <w:tcPr>
            <w:tcW w:w="6439" w:type="dxa"/>
            <w:vAlign w:val="center"/>
          </w:tcPr>
          <w:p>
            <w:pPr>
              <w:spacing w:line="440" w:lineRule="exact"/>
              <w:rPr>
                <w:rFonts w:hAnsi="宋体" w:cs="宋体"/>
                <w:color w:val="auto"/>
                <w:sz w:val="21"/>
                <w:szCs w:val="21"/>
                <w:highlight w:val="none"/>
              </w:rPr>
            </w:pPr>
            <w:r>
              <w:rPr>
                <w:rFonts w:hint="eastAsia" w:hAnsi="宋体" w:cs="宋体"/>
                <w:color w:val="auto"/>
                <w:sz w:val="21"/>
                <w:szCs w:val="21"/>
                <w:highlight w:val="none"/>
              </w:rPr>
              <w:t>签订合同之日起75个日历日内完成供货、施工、安装调试及验收交付采购人使用。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07" w:type="dxa"/>
            <w:vAlign w:val="center"/>
          </w:tcPr>
          <w:p>
            <w:pPr>
              <w:spacing w:line="440" w:lineRule="exact"/>
              <w:jc w:val="center"/>
              <w:rPr>
                <w:rFonts w:hAnsi="宋体" w:cs="宋体"/>
                <w:color w:val="auto"/>
                <w:sz w:val="21"/>
                <w:szCs w:val="21"/>
                <w:highlight w:val="none"/>
              </w:rPr>
            </w:pPr>
            <w:r>
              <w:rPr>
                <w:rFonts w:hint="eastAsia" w:hAnsi="宋体" w:cs="宋体"/>
                <w:color w:val="auto"/>
                <w:sz w:val="21"/>
                <w:szCs w:val="21"/>
                <w:highlight w:val="none"/>
              </w:rPr>
              <w:t>3</w:t>
            </w:r>
          </w:p>
        </w:tc>
        <w:tc>
          <w:tcPr>
            <w:tcW w:w="1483" w:type="dxa"/>
            <w:vAlign w:val="center"/>
          </w:tcPr>
          <w:p>
            <w:pPr>
              <w:spacing w:line="440" w:lineRule="exact"/>
              <w:jc w:val="center"/>
              <w:rPr>
                <w:rFonts w:hAnsi="宋体" w:cs="宋体"/>
                <w:color w:val="auto"/>
                <w:sz w:val="21"/>
                <w:szCs w:val="21"/>
                <w:highlight w:val="none"/>
              </w:rPr>
            </w:pPr>
            <w:r>
              <w:rPr>
                <w:rFonts w:hint="eastAsia" w:hAnsi="宋体" w:cs="宋体"/>
                <w:color w:val="auto"/>
                <w:sz w:val="21"/>
                <w:szCs w:val="21"/>
                <w:highlight w:val="none"/>
              </w:rPr>
              <w:t>质保期</w:t>
            </w:r>
          </w:p>
        </w:tc>
        <w:tc>
          <w:tcPr>
            <w:tcW w:w="6439" w:type="dxa"/>
            <w:vAlign w:val="center"/>
          </w:tcPr>
          <w:p>
            <w:pPr>
              <w:pStyle w:val="162"/>
              <w:wordWrap w:val="0"/>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验收合格起两年。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07" w:type="dxa"/>
            <w:vAlign w:val="center"/>
          </w:tcPr>
          <w:p>
            <w:pPr>
              <w:spacing w:line="440" w:lineRule="exact"/>
              <w:jc w:val="center"/>
              <w:rPr>
                <w:rFonts w:hAnsi="宋体" w:cs="宋体"/>
                <w:color w:val="auto"/>
                <w:sz w:val="21"/>
                <w:szCs w:val="21"/>
                <w:highlight w:val="none"/>
              </w:rPr>
            </w:pPr>
            <w:r>
              <w:rPr>
                <w:rFonts w:hint="eastAsia" w:hAnsi="宋体" w:cs="宋体"/>
                <w:color w:val="auto"/>
                <w:sz w:val="21"/>
                <w:szCs w:val="21"/>
                <w:highlight w:val="none"/>
              </w:rPr>
              <w:t>4</w:t>
            </w:r>
          </w:p>
        </w:tc>
        <w:tc>
          <w:tcPr>
            <w:tcW w:w="1483" w:type="dxa"/>
            <w:vAlign w:val="center"/>
          </w:tcPr>
          <w:p>
            <w:pPr>
              <w:spacing w:line="440" w:lineRule="exact"/>
              <w:jc w:val="center"/>
              <w:rPr>
                <w:rFonts w:hAnsi="宋体" w:cs="宋体"/>
                <w:color w:val="auto"/>
                <w:sz w:val="21"/>
                <w:szCs w:val="21"/>
                <w:highlight w:val="none"/>
              </w:rPr>
            </w:pPr>
            <w:r>
              <w:rPr>
                <w:rFonts w:hint="eastAsia" w:hAnsi="宋体" w:cs="宋体"/>
                <w:color w:val="auto"/>
                <w:sz w:val="21"/>
                <w:szCs w:val="21"/>
                <w:highlight w:val="none"/>
              </w:rPr>
              <w:t>售后服务</w:t>
            </w:r>
          </w:p>
        </w:tc>
        <w:tc>
          <w:tcPr>
            <w:tcW w:w="6439" w:type="dxa"/>
            <w:vAlign w:val="center"/>
          </w:tcPr>
          <w:p>
            <w:pPr>
              <w:pStyle w:val="162"/>
              <w:wordWrap w:val="0"/>
              <w:spacing w:line="440" w:lineRule="exact"/>
              <w:ind w:firstLine="0" w:firstLineChars="0"/>
              <w:rPr>
                <w:rFonts w:ascii="宋体" w:hAnsi="宋体" w:cs="宋体"/>
                <w:color w:val="auto"/>
                <w:szCs w:val="21"/>
                <w:highlight w:val="none"/>
              </w:rPr>
            </w:pPr>
            <w:r>
              <w:rPr>
                <w:rFonts w:hint="eastAsia" w:ascii="宋体" w:hAnsi="宋体" w:cs="宋体"/>
                <w:bCs/>
                <w:color w:val="auto"/>
                <w:szCs w:val="21"/>
                <w:highlight w:val="none"/>
              </w:rPr>
              <w:t>质保期内</w:t>
            </w:r>
            <w:r>
              <w:rPr>
                <w:rFonts w:hint="eastAsia" w:hAnsi="宋体" w:cs="宋体"/>
                <w:color w:val="auto"/>
                <w:highlight w:val="none"/>
              </w:rPr>
              <w:t>中标人须提供7×24服务；接到报修电话1个小时内作出响应、4个小时内达现场</w:t>
            </w:r>
            <w:r>
              <w:rPr>
                <w:rFonts w:hint="eastAsia" w:ascii="宋体" w:hAnsi="宋体" w:cs="宋体"/>
                <w:color w:val="auto"/>
                <w:szCs w:val="21"/>
                <w:highlight w:val="none"/>
              </w:rPr>
              <w:t>，</w:t>
            </w:r>
            <w:r>
              <w:rPr>
                <w:rFonts w:hint="eastAsia" w:ascii="宋体" w:hAnsi="宋体" w:cs="宋体"/>
                <w:bCs/>
                <w:color w:val="auto"/>
                <w:szCs w:val="21"/>
                <w:highlight w:val="none"/>
              </w:rPr>
              <w:t>小故障</w:t>
            </w:r>
            <w:r>
              <w:rPr>
                <w:rFonts w:ascii="宋体" w:hAnsi="宋体" w:cs="宋体"/>
                <w:bCs/>
                <w:color w:val="auto"/>
                <w:szCs w:val="21"/>
                <w:highlight w:val="none"/>
              </w:rPr>
              <w:t>2</w:t>
            </w:r>
            <w:r>
              <w:rPr>
                <w:rFonts w:hint="eastAsia" w:ascii="宋体" w:hAnsi="宋体" w:cs="宋体"/>
                <w:bCs/>
                <w:color w:val="auto"/>
                <w:szCs w:val="21"/>
                <w:highlight w:val="none"/>
              </w:rPr>
              <w:t>小时内修复，大故障2</w:t>
            </w:r>
            <w:r>
              <w:rPr>
                <w:rFonts w:ascii="宋体" w:hAnsi="宋体" w:cs="宋体"/>
                <w:bCs/>
                <w:color w:val="auto"/>
                <w:szCs w:val="21"/>
                <w:highlight w:val="none"/>
              </w:rPr>
              <w:t>4</w:t>
            </w:r>
            <w:r>
              <w:rPr>
                <w:rFonts w:hint="eastAsia" w:ascii="宋体" w:hAnsi="宋体" w:cs="宋体"/>
                <w:bCs/>
                <w:color w:val="auto"/>
                <w:szCs w:val="21"/>
                <w:highlight w:val="none"/>
              </w:rPr>
              <w:t>小时内修复，质保服务方式均为中标人上门服务。非采购人的人为原因而出现产品质量及安装问题，由中标人负责包修、包换或包退。并承担上述情况产生的一切费用。质保期后如果采购人要求，中标人应长期负责有偿优惠维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07" w:type="dxa"/>
            <w:vAlign w:val="center"/>
          </w:tcPr>
          <w:p>
            <w:pPr>
              <w:spacing w:line="440" w:lineRule="exact"/>
              <w:jc w:val="center"/>
              <w:rPr>
                <w:rFonts w:hAnsi="宋体" w:cs="宋体"/>
                <w:color w:val="auto"/>
                <w:sz w:val="21"/>
                <w:szCs w:val="21"/>
                <w:highlight w:val="none"/>
              </w:rPr>
            </w:pPr>
            <w:r>
              <w:rPr>
                <w:rFonts w:hint="eastAsia" w:hAnsi="宋体" w:cs="宋体"/>
                <w:color w:val="auto"/>
                <w:sz w:val="21"/>
                <w:szCs w:val="21"/>
                <w:highlight w:val="none"/>
              </w:rPr>
              <w:t>5</w:t>
            </w:r>
          </w:p>
        </w:tc>
        <w:tc>
          <w:tcPr>
            <w:tcW w:w="1483" w:type="dxa"/>
            <w:vAlign w:val="center"/>
          </w:tcPr>
          <w:p>
            <w:pPr>
              <w:numPr>
                <w:ilvl w:val="1"/>
                <w:numId w:val="0"/>
              </w:numPr>
              <w:tabs>
                <w:tab w:val="left" w:pos="-28"/>
              </w:tabs>
              <w:spacing w:line="440" w:lineRule="exact"/>
              <w:jc w:val="center"/>
              <w:rPr>
                <w:rFonts w:hAnsi="宋体" w:cs="宋体"/>
                <w:color w:val="auto"/>
                <w:sz w:val="21"/>
                <w:szCs w:val="21"/>
                <w:highlight w:val="none"/>
              </w:rPr>
            </w:pPr>
            <w:r>
              <w:rPr>
                <w:rFonts w:hint="eastAsia" w:hAnsi="宋体" w:cs="宋体"/>
                <w:color w:val="auto"/>
                <w:sz w:val="21"/>
                <w:szCs w:val="21"/>
                <w:highlight w:val="none"/>
              </w:rPr>
              <w:t>付款</w:t>
            </w:r>
          </w:p>
        </w:tc>
        <w:tc>
          <w:tcPr>
            <w:tcW w:w="6439" w:type="dxa"/>
            <w:vAlign w:val="center"/>
          </w:tcPr>
          <w:p>
            <w:pPr>
              <w:numPr>
                <w:ilvl w:val="0"/>
                <w:numId w:val="20"/>
              </w:numPr>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lang w:val="en-US" w:eastAsia="zh-CN"/>
              </w:rPr>
              <w:t>中标通知书发出后，合同签订前中标人向采购人提交为本合同总价10%的不可撤销银行保函或履约保证金；</w:t>
            </w:r>
          </w:p>
          <w:p>
            <w:pPr>
              <w:numPr>
                <w:ilvl w:val="0"/>
                <w:numId w:val="20"/>
              </w:numPr>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lang w:val="en-US" w:eastAsia="zh-CN"/>
              </w:rPr>
              <w:t>双方签订</w:t>
            </w:r>
            <w:r>
              <w:rPr>
                <w:rFonts w:hint="eastAsia" w:hAnsi="宋体" w:cs="宋体"/>
                <w:color w:val="auto"/>
                <w:sz w:val="21"/>
                <w:szCs w:val="21"/>
                <w:highlight w:val="none"/>
              </w:rPr>
              <w:t>合同</w:t>
            </w:r>
            <w:r>
              <w:rPr>
                <w:rFonts w:hint="eastAsia" w:hAnsi="宋体" w:cs="宋体"/>
                <w:color w:val="auto"/>
                <w:sz w:val="21"/>
                <w:szCs w:val="21"/>
                <w:highlight w:val="none"/>
                <w:lang w:val="en-US" w:eastAsia="zh-CN"/>
              </w:rPr>
              <w:t>后，</w:t>
            </w:r>
            <w:r>
              <w:rPr>
                <w:rFonts w:hint="eastAsia" w:hAnsi="宋体" w:cs="宋体"/>
                <w:color w:val="auto"/>
                <w:sz w:val="21"/>
                <w:szCs w:val="21"/>
                <w:highlight w:val="none"/>
              </w:rPr>
              <w:t>中标人提交符合采购人要求的请款报告及相关资料后7天内，支付至合同总额的20%；</w:t>
            </w:r>
          </w:p>
          <w:p>
            <w:pPr>
              <w:numPr>
                <w:ilvl w:val="0"/>
                <w:numId w:val="20"/>
              </w:numPr>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所有设备安装调试</w:t>
            </w:r>
            <w:r>
              <w:rPr>
                <w:rFonts w:hint="eastAsia" w:hAnsi="宋体" w:cs="宋体"/>
                <w:color w:val="auto"/>
                <w:sz w:val="21"/>
                <w:szCs w:val="21"/>
                <w:highlight w:val="none"/>
                <w:lang w:val="en-US" w:eastAsia="zh-CN"/>
              </w:rPr>
              <w:t>并经采购人书面确认调试合格的</w:t>
            </w:r>
            <w:r>
              <w:rPr>
                <w:rFonts w:hint="eastAsia" w:hAnsi="宋体" w:cs="宋体"/>
                <w:color w:val="auto"/>
                <w:sz w:val="21"/>
                <w:szCs w:val="21"/>
                <w:highlight w:val="none"/>
              </w:rPr>
              <w:t>，中标人提交符合采购人要求的请款报告及相关资料后7天内，支付至合同总额的80%；</w:t>
            </w:r>
          </w:p>
          <w:p>
            <w:pPr>
              <w:numPr>
                <w:ilvl w:val="0"/>
                <w:numId w:val="20"/>
              </w:numPr>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项目竣工验收合格并结算完成后，中标人提交符合采购人要求的请款报告及相关资料后7天内，支付至结算价的97%；</w:t>
            </w:r>
          </w:p>
          <w:p>
            <w:pPr>
              <w:numPr>
                <w:ilvl w:val="0"/>
                <w:numId w:val="20"/>
              </w:numPr>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剩余结算价的3%为项目质保金，自竣工验收合格之日起计满2年后，中标人提交符合采购人要求的请款报告及相关资料后7天内采购人一次性无息付清。</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07" w:type="dxa"/>
            <w:vAlign w:val="center"/>
          </w:tcPr>
          <w:p>
            <w:pPr>
              <w:spacing w:line="440" w:lineRule="exact"/>
              <w:jc w:val="center"/>
              <w:rPr>
                <w:rFonts w:hAnsi="宋体" w:cs="宋体"/>
                <w:color w:val="auto"/>
                <w:sz w:val="21"/>
                <w:szCs w:val="21"/>
                <w:highlight w:val="none"/>
              </w:rPr>
            </w:pPr>
            <w:r>
              <w:rPr>
                <w:rFonts w:hint="eastAsia" w:hAnsi="宋体" w:cs="宋体"/>
                <w:color w:val="auto"/>
                <w:sz w:val="21"/>
                <w:szCs w:val="21"/>
                <w:highlight w:val="none"/>
              </w:rPr>
              <w:t>6</w:t>
            </w:r>
          </w:p>
        </w:tc>
        <w:tc>
          <w:tcPr>
            <w:tcW w:w="1483" w:type="dxa"/>
            <w:vAlign w:val="center"/>
          </w:tcPr>
          <w:p>
            <w:pPr>
              <w:spacing w:line="440" w:lineRule="exact"/>
              <w:jc w:val="center"/>
              <w:rPr>
                <w:rFonts w:hAnsi="宋体" w:cs="宋体"/>
                <w:color w:val="auto"/>
                <w:sz w:val="21"/>
                <w:szCs w:val="21"/>
                <w:highlight w:val="none"/>
              </w:rPr>
            </w:pPr>
            <w:r>
              <w:rPr>
                <w:rFonts w:hint="eastAsia" w:hAnsi="宋体" w:cs="宋体"/>
                <w:color w:val="auto"/>
                <w:sz w:val="21"/>
                <w:szCs w:val="21"/>
                <w:highlight w:val="none"/>
              </w:rPr>
              <w:t>服务地点</w:t>
            </w:r>
          </w:p>
        </w:tc>
        <w:tc>
          <w:tcPr>
            <w:tcW w:w="6439" w:type="dxa"/>
            <w:vAlign w:val="center"/>
          </w:tcPr>
          <w:p>
            <w:pPr>
              <w:spacing w:line="440" w:lineRule="exact"/>
              <w:rPr>
                <w:rFonts w:hAnsi="宋体" w:cs="宋体"/>
                <w:bCs/>
                <w:color w:val="auto"/>
                <w:sz w:val="21"/>
                <w:szCs w:val="21"/>
                <w:highlight w:val="none"/>
              </w:rPr>
            </w:pPr>
            <w:r>
              <w:rPr>
                <w:rFonts w:hint="eastAsia" w:hAnsi="宋体" w:cs="宋体"/>
                <w:bCs/>
                <w:color w:val="auto"/>
                <w:sz w:val="21"/>
                <w:szCs w:val="21"/>
                <w:highlight w:val="none"/>
              </w:rPr>
              <w:t>采购人指定地点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07" w:type="dxa"/>
            <w:vAlign w:val="center"/>
          </w:tcPr>
          <w:p>
            <w:pPr>
              <w:spacing w:line="440" w:lineRule="exact"/>
              <w:jc w:val="center"/>
              <w:rPr>
                <w:rFonts w:hAnsi="宋体" w:cs="宋体"/>
                <w:color w:val="auto"/>
                <w:sz w:val="21"/>
                <w:szCs w:val="21"/>
                <w:highlight w:val="none"/>
              </w:rPr>
            </w:pPr>
            <w:r>
              <w:rPr>
                <w:rFonts w:hint="eastAsia" w:hAnsi="宋体" w:cs="宋体"/>
                <w:color w:val="auto"/>
                <w:sz w:val="21"/>
                <w:szCs w:val="21"/>
                <w:highlight w:val="none"/>
              </w:rPr>
              <w:t>7</w:t>
            </w:r>
          </w:p>
        </w:tc>
        <w:tc>
          <w:tcPr>
            <w:tcW w:w="1483" w:type="dxa"/>
            <w:vAlign w:val="center"/>
          </w:tcPr>
          <w:p>
            <w:pPr>
              <w:numPr>
                <w:ilvl w:val="1"/>
                <w:numId w:val="0"/>
              </w:numPr>
              <w:tabs>
                <w:tab w:val="left" w:pos="-28"/>
              </w:tabs>
              <w:spacing w:line="440" w:lineRule="exact"/>
              <w:jc w:val="center"/>
              <w:rPr>
                <w:rFonts w:hAnsi="宋体" w:cs="宋体"/>
                <w:color w:val="auto"/>
                <w:sz w:val="21"/>
                <w:szCs w:val="21"/>
                <w:highlight w:val="none"/>
              </w:rPr>
            </w:pPr>
            <w:r>
              <w:rPr>
                <w:rFonts w:hint="eastAsia" w:hAnsi="宋体" w:cs="宋体"/>
                <w:color w:val="auto"/>
                <w:sz w:val="21"/>
                <w:szCs w:val="21"/>
                <w:highlight w:val="none"/>
              </w:rPr>
              <w:t>报价内容</w:t>
            </w:r>
          </w:p>
        </w:tc>
        <w:tc>
          <w:tcPr>
            <w:tcW w:w="6439" w:type="dxa"/>
            <w:vAlign w:val="center"/>
          </w:tcPr>
          <w:p>
            <w:pPr>
              <w:numPr>
                <w:ilvl w:val="0"/>
                <w:numId w:val="21"/>
              </w:numPr>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报价应包含系统深化设计及其所需的货物及所需附件的购置费、采保费、运输费、安装、调试费、保险费、各种税费、检测费、售后服务费及合同实施过程中的应预见和不可预见费用等完成合同规定责任和义务、达到合同目的的一切费用。</w:t>
            </w:r>
          </w:p>
          <w:p>
            <w:pPr>
              <w:numPr>
                <w:ilvl w:val="0"/>
                <w:numId w:val="21"/>
              </w:numPr>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投标价应包括所有应支付的对专利权和版权、设计或其他知识产权而需要向其他方支付的版税。</w:t>
            </w:r>
          </w:p>
          <w:p>
            <w:pPr>
              <w:numPr>
                <w:ilvl w:val="0"/>
                <w:numId w:val="21"/>
              </w:numPr>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lang w:val="hr-HR"/>
              </w:rPr>
              <w:t>合同总价为</w:t>
            </w:r>
            <w:r>
              <w:rPr>
                <w:rFonts w:hint="eastAsia" w:hAnsi="宋体" w:cs="宋体"/>
                <w:color w:val="auto"/>
                <w:sz w:val="21"/>
                <w:szCs w:val="21"/>
                <w:highlight w:val="none"/>
                <w:lang w:val="en-US" w:eastAsia="zh-CN"/>
              </w:rPr>
              <w:t>含税</w:t>
            </w:r>
            <w:r>
              <w:rPr>
                <w:rFonts w:hint="eastAsia" w:hAnsi="宋体" w:cs="宋体"/>
                <w:color w:val="auto"/>
                <w:sz w:val="21"/>
                <w:szCs w:val="21"/>
                <w:highlight w:val="none"/>
                <w:lang w:val="hr-HR"/>
              </w:rPr>
              <w:t>包干价。</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07" w:type="dxa"/>
            <w:vAlign w:val="center"/>
          </w:tcPr>
          <w:p>
            <w:pPr>
              <w:spacing w:line="440" w:lineRule="exact"/>
              <w:jc w:val="center"/>
              <w:rPr>
                <w:rFonts w:hAnsi="宋体" w:cs="宋体"/>
                <w:color w:val="auto"/>
                <w:sz w:val="21"/>
                <w:szCs w:val="21"/>
                <w:highlight w:val="none"/>
              </w:rPr>
            </w:pPr>
            <w:r>
              <w:rPr>
                <w:rFonts w:hint="eastAsia" w:hAnsi="宋体" w:cs="宋体"/>
                <w:color w:val="auto"/>
                <w:sz w:val="21"/>
                <w:szCs w:val="21"/>
                <w:highlight w:val="none"/>
              </w:rPr>
              <w:t>8</w:t>
            </w:r>
          </w:p>
        </w:tc>
        <w:tc>
          <w:tcPr>
            <w:tcW w:w="1483" w:type="dxa"/>
            <w:vAlign w:val="center"/>
          </w:tcPr>
          <w:p>
            <w:pPr>
              <w:spacing w:line="440" w:lineRule="exact"/>
              <w:jc w:val="center"/>
              <w:rPr>
                <w:rFonts w:hAnsi="宋体" w:cs="宋体"/>
                <w:color w:val="auto"/>
                <w:sz w:val="21"/>
                <w:szCs w:val="21"/>
                <w:highlight w:val="none"/>
              </w:rPr>
            </w:pPr>
            <w:r>
              <w:rPr>
                <w:rFonts w:hint="eastAsia" w:hAnsi="宋体" w:cs="宋体"/>
                <w:color w:val="auto"/>
                <w:sz w:val="21"/>
                <w:szCs w:val="21"/>
                <w:highlight w:val="none"/>
              </w:rPr>
              <w:t>合同条款</w:t>
            </w:r>
          </w:p>
        </w:tc>
        <w:tc>
          <w:tcPr>
            <w:tcW w:w="6439" w:type="dxa"/>
            <w:vAlign w:val="center"/>
          </w:tcPr>
          <w:p>
            <w:pPr>
              <w:spacing w:line="440" w:lineRule="exact"/>
              <w:rPr>
                <w:rFonts w:hAnsi="宋体" w:cs="宋体"/>
                <w:b/>
                <w:color w:val="auto"/>
                <w:sz w:val="21"/>
                <w:szCs w:val="21"/>
                <w:highlight w:val="none"/>
              </w:rPr>
            </w:pPr>
            <w:r>
              <w:rPr>
                <w:rFonts w:hint="eastAsia" w:hAnsi="宋体" w:cs="宋体"/>
                <w:color w:val="auto"/>
                <w:sz w:val="21"/>
                <w:szCs w:val="21"/>
                <w:highlight w:val="none"/>
              </w:rPr>
              <w:t>投标人实质响应合同各条款。</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07" w:type="dxa"/>
            <w:vAlign w:val="center"/>
          </w:tcPr>
          <w:p>
            <w:pPr>
              <w:spacing w:line="440" w:lineRule="exact"/>
              <w:jc w:val="center"/>
              <w:rPr>
                <w:rFonts w:hAnsi="宋体" w:cs="宋体"/>
                <w:color w:val="auto"/>
                <w:sz w:val="21"/>
                <w:szCs w:val="21"/>
                <w:highlight w:val="none"/>
              </w:rPr>
            </w:pPr>
            <w:r>
              <w:rPr>
                <w:rFonts w:hint="eastAsia" w:hAnsi="宋体" w:cs="宋体"/>
                <w:color w:val="auto"/>
                <w:sz w:val="21"/>
                <w:szCs w:val="21"/>
                <w:highlight w:val="none"/>
              </w:rPr>
              <w:t>9</w:t>
            </w:r>
          </w:p>
        </w:tc>
        <w:tc>
          <w:tcPr>
            <w:tcW w:w="1483" w:type="dxa"/>
            <w:vAlign w:val="center"/>
          </w:tcPr>
          <w:p>
            <w:pPr>
              <w:spacing w:line="400" w:lineRule="exact"/>
              <w:jc w:val="center"/>
              <w:rPr>
                <w:rFonts w:hAnsi="宋体" w:cs="宋体"/>
                <w:color w:val="auto"/>
                <w:sz w:val="21"/>
                <w:szCs w:val="21"/>
                <w:highlight w:val="none"/>
              </w:rPr>
            </w:pPr>
            <w:r>
              <w:rPr>
                <w:rFonts w:hint="eastAsia" w:hAnsi="宋体" w:cs="宋体"/>
                <w:color w:val="auto"/>
                <w:sz w:val="21"/>
                <w:szCs w:val="21"/>
                <w:highlight w:val="none"/>
              </w:rPr>
              <w:t>★其它要求</w:t>
            </w:r>
          </w:p>
        </w:tc>
        <w:tc>
          <w:tcPr>
            <w:tcW w:w="6439" w:type="dxa"/>
            <w:vAlign w:val="center"/>
          </w:tcPr>
          <w:p>
            <w:pPr>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为确保产品质量和售后服务，投标人必须承诺所供产品是厂家的正规产品及保证采购人采购之货物和服务能够同时享受制造商提供的原厂服务，投标人如若中标须在中标结果公示结束之日起7个日历日内提供所投产品中监控设备厂商出具的针对本项目的售后服务承诺函原件（加盖厂商公章），无法提供或虚假响应将取消中标资格。（注：须提供承诺函加盖投标人公章，承诺函格式不限）</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07" w:type="dxa"/>
            <w:vAlign w:val="center"/>
          </w:tcPr>
          <w:p>
            <w:pPr>
              <w:spacing w:line="440" w:lineRule="exact"/>
              <w:jc w:val="center"/>
              <w:rPr>
                <w:rFonts w:hAnsi="宋体" w:cs="宋体"/>
                <w:color w:val="auto"/>
                <w:sz w:val="21"/>
                <w:szCs w:val="21"/>
                <w:highlight w:val="none"/>
              </w:rPr>
            </w:pPr>
            <w:r>
              <w:rPr>
                <w:rFonts w:hint="eastAsia" w:hAnsi="宋体" w:cs="宋体"/>
                <w:color w:val="auto"/>
                <w:sz w:val="21"/>
                <w:szCs w:val="21"/>
                <w:highlight w:val="none"/>
              </w:rPr>
              <w:t>10</w:t>
            </w:r>
          </w:p>
        </w:tc>
        <w:tc>
          <w:tcPr>
            <w:tcW w:w="1483" w:type="dxa"/>
            <w:vAlign w:val="center"/>
          </w:tcPr>
          <w:p>
            <w:pPr>
              <w:spacing w:line="400" w:lineRule="exact"/>
              <w:jc w:val="center"/>
              <w:rPr>
                <w:rFonts w:hAnsi="宋体" w:cs="宋体"/>
                <w:color w:val="auto"/>
                <w:sz w:val="21"/>
                <w:szCs w:val="21"/>
                <w:highlight w:val="none"/>
              </w:rPr>
            </w:pPr>
            <w:r>
              <w:rPr>
                <w:rFonts w:hint="eastAsia" w:hAnsi="宋体" w:cs="宋体"/>
                <w:color w:val="auto"/>
                <w:sz w:val="21"/>
                <w:szCs w:val="21"/>
                <w:highlight w:val="none"/>
              </w:rPr>
              <w:t>★对接要求</w:t>
            </w:r>
          </w:p>
        </w:tc>
        <w:tc>
          <w:tcPr>
            <w:tcW w:w="6439" w:type="dxa"/>
            <w:vAlign w:val="center"/>
          </w:tcPr>
          <w:p>
            <w:pPr>
              <w:spacing w:line="400" w:lineRule="exact"/>
              <w:rPr>
                <w:rFonts w:hAnsi="宋体" w:cs="宋体"/>
                <w:color w:val="auto"/>
                <w:sz w:val="21"/>
                <w:szCs w:val="21"/>
                <w:highlight w:val="none"/>
              </w:rPr>
            </w:pPr>
            <w:r>
              <w:rPr>
                <w:rFonts w:hint="eastAsia" w:hAnsi="宋体" w:cs="宋体"/>
                <w:color w:val="auto"/>
                <w:sz w:val="21"/>
                <w:szCs w:val="21"/>
                <w:highlight w:val="none"/>
              </w:rPr>
              <w:t>项目所建系统需要无缝对接原有智慧园区管理平台，无须增加对接费用。（注：须提供承诺函加盖投标人公章，承诺函格式不限）</w:t>
            </w:r>
          </w:p>
        </w:tc>
      </w:tr>
    </w:tbl>
    <w:p>
      <w:pPr>
        <w:rPr>
          <w:rFonts w:ascii="仿宋" w:hAnsi="仿宋" w:eastAsia="仿宋" w:cs="仿宋"/>
          <w:color w:val="auto"/>
          <w:highlight w:val="none"/>
        </w:rPr>
      </w:pPr>
    </w:p>
    <w:p>
      <w:pPr>
        <w:pStyle w:val="5"/>
        <w:spacing w:line="360" w:lineRule="auto"/>
        <w:jc w:val="center"/>
        <w:rPr>
          <w:rFonts w:hAnsi="宋体" w:cs="宋体"/>
          <w:b/>
          <w:color w:val="auto"/>
          <w:sz w:val="28"/>
          <w:szCs w:val="28"/>
          <w:highlight w:val="none"/>
        </w:rPr>
      </w:pPr>
      <w:bookmarkStart w:id="36" w:name="_Toc31720"/>
      <w:r>
        <w:rPr>
          <w:rFonts w:hint="eastAsia" w:hAnsi="宋体" w:cs="宋体"/>
          <w:b/>
          <w:color w:val="auto"/>
          <w:sz w:val="28"/>
          <w:szCs w:val="28"/>
          <w:highlight w:val="none"/>
        </w:rPr>
        <w:t>第二部分 技术需求书</w:t>
      </w:r>
      <w:bookmarkEnd w:id="36"/>
    </w:p>
    <w:p>
      <w:pPr>
        <w:pStyle w:val="7"/>
        <w:spacing w:line="360" w:lineRule="auto"/>
        <w:rPr>
          <w:rFonts w:hAnsi="宋体" w:cs="宋体"/>
          <w:b/>
          <w:bCs/>
          <w:color w:val="auto"/>
          <w:sz w:val="21"/>
          <w:szCs w:val="21"/>
          <w:highlight w:val="none"/>
          <w:lang w:val="zh-CN"/>
        </w:rPr>
      </w:pPr>
      <w:r>
        <w:rPr>
          <w:rFonts w:hint="eastAsia" w:hAnsi="宋体" w:cs="宋体"/>
          <w:b/>
          <w:bCs/>
          <w:color w:val="auto"/>
          <w:sz w:val="21"/>
          <w:szCs w:val="21"/>
          <w:highlight w:val="none"/>
          <w:lang w:val="zh-CN"/>
        </w:rPr>
        <w:t>一、项目概况</w:t>
      </w:r>
    </w:p>
    <w:p>
      <w:pPr>
        <w:spacing w:line="360" w:lineRule="auto"/>
        <w:ind w:firstLine="420" w:firstLineChars="200"/>
        <w:rPr>
          <w:rFonts w:hAnsi="宋体" w:cs="宋体"/>
          <w:bCs/>
          <w:snapToGrid w:val="0"/>
          <w:color w:val="auto"/>
          <w:sz w:val="21"/>
          <w:szCs w:val="21"/>
          <w:highlight w:val="none"/>
        </w:rPr>
      </w:pPr>
      <w:r>
        <w:rPr>
          <w:rFonts w:hint="eastAsia" w:hAnsi="宋体" w:cs="宋体"/>
          <w:bCs/>
          <w:snapToGrid w:val="0"/>
          <w:color w:val="auto"/>
          <w:sz w:val="21"/>
          <w:szCs w:val="21"/>
          <w:highlight w:val="none"/>
        </w:rPr>
        <w:t>为提升双创社区安防等级，在室外园区、楼栋监控盲区部分补充摄像机；对园区楼栋内大门、地下室主要出入口增加人脸识别门禁系统。大堂出入口增加人行摆闸管理系统；地下室部分客梯厅防火门更换为防火玻璃门；公租房增加高空抛物摄像机；将园区所有楼栋的电梯五方通话控制中心迁移到G4栋2楼控制室，统一管理控制。</w:t>
      </w:r>
    </w:p>
    <w:p>
      <w:pPr>
        <w:pStyle w:val="3"/>
        <w:spacing w:line="360" w:lineRule="auto"/>
        <w:ind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 xml:space="preserve"> 建设内容：</w:t>
      </w:r>
    </w:p>
    <w:p>
      <w:pPr>
        <w:pStyle w:val="3"/>
        <w:spacing w:line="360" w:lineRule="auto"/>
        <w:ind w:firstLine="422" w:firstLineChars="200"/>
        <w:rPr>
          <w:rFonts w:ascii="宋体" w:hAnsi="宋体" w:cs="宋体"/>
          <w:b/>
          <w:bCs/>
          <w:color w:val="auto"/>
          <w:szCs w:val="21"/>
          <w:highlight w:val="none"/>
          <w:lang w:val="zh-CN"/>
        </w:rPr>
      </w:pPr>
      <w:r>
        <w:rPr>
          <w:rFonts w:hint="eastAsia" w:ascii="宋体" w:hAnsi="宋体" w:cs="宋体"/>
          <w:b/>
          <w:bCs/>
          <w:color w:val="auto"/>
          <w:szCs w:val="21"/>
          <w:highlight w:val="none"/>
          <w:lang w:val="zh-CN"/>
        </w:rPr>
        <w:t>（一）监控系统：</w:t>
      </w:r>
    </w:p>
    <w:p>
      <w:pPr>
        <w:pStyle w:val="3"/>
        <w:spacing w:line="360" w:lineRule="auto"/>
        <w:ind w:firstLineChars="200"/>
        <w:rPr>
          <w:rFonts w:ascii="宋体" w:hAnsi="宋体" w:cs="宋体"/>
          <w:color w:val="auto"/>
          <w:szCs w:val="21"/>
          <w:highlight w:val="none"/>
          <w:lang w:val="zh-CN"/>
        </w:rPr>
      </w:pPr>
      <w:r>
        <w:rPr>
          <w:rFonts w:hint="eastAsia" w:ascii="宋体" w:hAnsi="宋体" w:cs="宋体"/>
          <w:color w:val="auto"/>
          <w:szCs w:val="21"/>
          <w:highlight w:val="none"/>
        </w:rPr>
        <w:t>对双创社区现有监控设备，存在部分区域监控盲区，有安全隐患，现对盲区部分补充摄像机，在A3/A5/B2/C1/G1/G2/G3/G4/H1/H3各楼栋停车场主要出入口、电梯厅、楼梯间区域：14台400万枪机、1台400万球机；</w:t>
      </w:r>
      <w:r>
        <w:rPr>
          <w:rFonts w:hint="eastAsia" w:ascii="宋体" w:hAnsi="宋体" w:cs="宋体"/>
          <w:color w:val="auto"/>
          <w:kern w:val="24"/>
          <w:szCs w:val="21"/>
          <w:highlight w:val="none"/>
        </w:rPr>
        <w:t xml:space="preserve"> </w:t>
      </w:r>
      <w:r>
        <w:rPr>
          <w:rFonts w:hint="eastAsia" w:ascii="宋体" w:hAnsi="宋体" w:cs="宋体"/>
          <w:color w:val="auto"/>
          <w:szCs w:val="21"/>
          <w:highlight w:val="none"/>
        </w:rPr>
        <w:t>园区停车场、人行通道等公共区域：24台400万枪机、2台400万球机</w:t>
      </w:r>
    </w:p>
    <w:p>
      <w:pPr>
        <w:pStyle w:val="3"/>
        <w:spacing w:line="360" w:lineRule="auto"/>
        <w:ind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（二）门禁系统</w:t>
      </w:r>
    </w:p>
    <w:p>
      <w:pPr>
        <w:spacing w:line="360" w:lineRule="auto"/>
        <w:ind w:firstLine="420" w:firstLineChars="200"/>
        <w:rPr>
          <w:rFonts w:hAnsi="宋体" w:cs="宋体"/>
          <w:bCs/>
          <w:snapToGrid w:val="0"/>
          <w:color w:val="auto"/>
          <w:sz w:val="21"/>
          <w:szCs w:val="21"/>
          <w:highlight w:val="none"/>
        </w:rPr>
      </w:pPr>
      <w:r>
        <w:rPr>
          <w:rFonts w:hint="eastAsia" w:hAnsi="宋体" w:cs="宋体"/>
          <w:bCs/>
          <w:snapToGrid w:val="0"/>
          <w:color w:val="auto"/>
          <w:sz w:val="21"/>
          <w:szCs w:val="21"/>
          <w:highlight w:val="none"/>
        </w:rPr>
        <w:t xml:space="preserve">   1、每栋办公楼大厅出入口布置人脸识别测温门禁（含与设备同品牌的二维码识别模块）及人行摆闸通道；地下室客梯厅出入口</w:t>
      </w:r>
      <w:r>
        <w:rPr>
          <w:rFonts w:hint="eastAsia" w:hAnsi="宋体" w:cs="宋体"/>
          <w:bCs/>
          <w:snapToGrid w:val="0"/>
          <w:color w:val="auto"/>
          <w:sz w:val="21"/>
          <w:szCs w:val="21"/>
          <w:highlight w:val="none"/>
          <w:lang w:val="en-US" w:eastAsia="zh-CN"/>
        </w:rPr>
        <w:t>等位置</w:t>
      </w:r>
      <w:r>
        <w:rPr>
          <w:rFonts w:hint="eastAsia" w:hAnsi="宋体" w:cs="宋体"/>
          <w:bCs/>
          <w:snapToGrid w:val="0"/>
          <w:color w:val="auto"/>
          <w:sz w:val="21"/>
          <w:szCs w:val="21"/>
          <w:highlight w:val="none"/>
        </w:rPr>
        <w:t>布置人脸识别测温门禁（含与设备同品牌的二维码识别模块）。可通过人脸识别与测温、刷卡（不可复制）、社区APP或访客邀请链接生成的的访客二维码（可自定义上传健康码截图功能，方便被访单位审核），实现感应开门、远程开门、访客二维码通行，如温度异常、冲闸等情况会发出警示并自动抓拍影像资料，不允许入内。当发生火警时，可与消防联动，能够将疏散通道上和出入口处的门禁断电解锁，有效防止逃生人员被困。门禁系统后台需对接社区智慧园区平台，支持对通行权限进行多角色设置以及用户通行权限设置。可集中控制允许开门的时间段。设备支持口罩检测模式，可配置提醒戴口罩模式、强制戴口罩模式</w:t>
      </w:r>
    </w:p>
    <w:p>
      <w:pPr>
        <w:spacing w:line="360" w:lineRule="auto"/>
        <w:ind w:firstLine="420" w:firstLineChars="200"/>
        <w:rPr>
          <w:rFonts w:hAnsi="宋体" w:cs="宋体"/>
          <w:bCs/>
          <w:snapToGrid w:val="0"/>
          <w:color w:val="auto"/>
          <w:sz w:val="21"/>
          <w:szCs w:val="21"/>
          <w:highlight w:val="none"/>
        </w:rPr>
      </w:pPr>
      <w:r>
        <w:rPr>
          <w:rFonts w:hint="eastAsia" w:hAnsi="宋体" w:cs="宋体"/>
          <w:bCs/>
          <w:snapToGrid w:val="0"/>
          <w:color w:val="auto"/>
          <w:sz w:val="21"/>
          <w:szCs w:val="21"/>
          <w:highlight w:val="none"/>
        </w:rPr>
        <w:t>系统需具备保安模式功能，在保安模式下，开门超时、使用无效卡、门被强制打开或读卡器被破坏都将触发报警。</w:t>
      </w:r>
    </w:p>
    <w:p>
      <w:pPr>
        <w:spacing w:line="360" w:lineRule="auto"/>
        <w:ind w:firstLine="420" w:firstLineChars="200"/>
        <w:rPr>
          <w:rFonts w:hAnsi="宋体" w:cs="宋体"/>
          <w:bCs/>
          <w:snapToGrid w:val="0"/>
          <w:color w:val="auto"/>
          <w:sz w:val="21"/>
          <w:szCs w:val="21"/>
          <w:highlight w:val="none"/>
        </w:rPr>
      </w:pPr>
      <w:r>
        <w:rPr>
          <w:rFonts w:hint="eastAsia" w:hAnsi="宋体" w:cs="宋体"/>
          <w:bCs/>
          <w:snapToGrid w:val="0"/>
          <w:color w:val="auto"/>
          <w:sz w:val="21"/>
          <w:szCs w:val="21"/>
          <w:highlight w:val="none"/>
        </w:rPr>
        <w:t>系统后台可记录每次通行管理信息且可按照读卡器类别、部门、通行日期、时间等形成统计报表。</w:t>
      </w:r>
    </w:p>
    <w:p>
      <w:pPr>
        <w:spacing w:line="360" w:lineRule="auto"/>
        <w:ind w:firstLine="420" w:firstLineChars="200"/>
        <w:rPr>
          <w:rFonts w:hAnsi="宋体" w:cs="宋体"/>
          <w:bCs/>
          <w:snapToGrid w:val="0"/>
          <w:color w:val="auto"/>
          <w:sz w:val="21"/>
          <w:szCs w:val="21"/>
          <w:highlight w:val="none"/>
        </w:rPr>
      </w:pPr>
      <w:r>
        <w:rPr>
          <w:rFonts w:hint="eastAsia" w:hAnsi="宋体" w:cs="宋体"/>
          <w:bCs/>
          <w:snapToGrid w:val="0"/>
          <w:color w:val="auto"/>
          <w:sz w:val="21"/>
          <w:szCs w:val="21"/>
          <w:highlight w:val="none"/>
        </w:rPr>
        <w:t>门禁系统配备卡（不可复制）</w:t>
      </w:r>
      <w:r>
        <w:rPr>
          <w:rFonts w:hAnsi="宋体" w:cs="宋体"/>
          <w:bCs/>
          <w:snapToGrid w:val="0"/>
          <w:color w:val="auto"/>
          <w:sz w:val="21"/>
          <w:szCs w:val="21"/>
          <w:highlight w:val="none"/>
        </w:rPr>
        <w:t>200</w:t>
      </w:r>
      <w:r>
        <w:rPr>
          <w:rFonts w:hint="eastAsia" w:hAnsi="宋体" w:cs="宋体"/>
          <w:bCs/>
          <w:snapToGrid w:val="0"/>
          <w:color w:val="auto"/>
          <w:sz w:val="21"/>
          <w:szCs w:val="21"/>
          <w:highlight w:val="none"/>
        </w:rPr>
        <w:t>张，并配置2台发卡器。</w:t>
      </w:r>
    </w:p>
    <w:p>
      <w:pPr>
        <w:ind w:firstLine="420" w:firstLineChars="200"/>
        <w:rPr>
          <w:rFonts w:hAnsi="宋体" w:cs="宋体"/>
          <w:bCs/>
          <w:snapToGrid w:val="0"/>
          <w:color w:val="auto"/>
          <w:sz w:val="21"/>
          <w:szCs w:val="21"/>
          <w:highlight w:val="none"/>
        </w:rPr>
      </w:pPr>
      <w:r>
        <w:rPr>
          <w:rFonts w:hint="eastAsia" w:hAnsi="宋体" w:cs="宋体"/>
          <w:color w:val="auto"/>
          <w:sz w:val="21"/>
          <w:szCs w:val="21"/>
          <w:highlight w:val="none"/>
        </w:rPr>
        <w:t>2、</w:t>
      </w:r>
      <w:r>
        <w:rPr>
          <w:rFonts w:hint="eastAsia" w:hAnsi="宋体" w:cs="宋体"/>
          <w:bCs/>
          <w:snapToGrid w:val="0"/>
          <w:color w:val="auto"/>
          <w:sz w:val="21"/>
          <w:szCs w:val="21"/>
          <w:highlight w:val="none"/>
        </w:rPr>
        <w:t>AI人脸识别测温门禁机功能需求：</w:t>
      </w:r>
    </w:p>
    <w:p>
      <w:pPr>
        <w:pStyle w:val="3"/>
        <w:spacing w:line="360" w:lineRule="auto"/>
        <w:ind w:firstLineChars="200"/>
        <w:rPr>
          <w:rFonts w:ascii="宋体" w:hAnsi="宋体" w:cs="宋体"/>
          <w:color w:val="auto"/>
          <w:szCs w:val="21"/>
          <w:highlight w:val="none"/>
        </w:rPr>
      </w:pPr>
      <w:r>
        <w:rPr>
          <w:rFonts w:hint="eastAsia" w:ascii="宋体" w:hAnsi="宋体" w:cs="宋体"/>
          <w:color w:val="auto"/>
          <w:szCs w:val="21"/>
          <w:highlight w:val="none"/>
        </w:rPr>
        <w:t>1）人员身份识别功能</w:t>
      </w:r>
    </w:p>
    <w:p>
      <w:pPr>
        <w:pStyle w:val="3"/>
        <w:spacing w:line="360" w:lineRule="auto"/>
        <w:ind w:firstLineChars="200"/>
        <w:rPr>
          <w:rFonts w:ascii="宋体" w:hAnsi="宋体" w:cs="宋体"/>
          <w:color w:val="auto"/>
          <w:szCs w:val="21"/>
          <w:highlight w:val="none"/>
        </w:rPr>
      </w:pPr>
      <w:r>
        <w:rPr>
          <w:rFonts w:hint="eastAsia" w:ascii="宋体" w:hAnsi="宋体" w:cs="宋体"/>
          <w:color w:val="auto"/>
          <w:szCs w:val="21"/>
          <w:highlight w:val="none"/>
        </w:rPr>
        <w:t>要支持主动刷卡或自动刷卡，人脸身份识别方式，通过时无需停留。</w:t>
      </w:r>
    </w:p>
    <w:p>
      <w:pPr>
        <w:pStyle w:val="3"/>
        <w:spacing w:line="360" w:lineRule="auto"/>
        <w:ind w:firstLineChars="200"/>
        <w:rPr>
          <w:rFonts w:ascii="宋体" w:hAnsi="宋体" w:cs="宋体"/>
          <w:color w:val="auto"/>
          <w:szCs w:val="21"/>
          <w:highlight w:val="none"/>
        </w:rPr>
      </w:pPr>
      <w:r>
        <w:rPr>
          <w:rFonts w:hint="eastAsia" w:ascii="宋体" w:hAnsi="宋体" w:cs="宋体"/>
          <w:color w:val="auto"/>
          <w:szCs w:val="21"/>
          <w:highlight w:val="none"/>
        </w:rPr>
        <w:t>2）进出抓拍功能</w:t>
      </w:r>
    </w:p>
    <w:p>
      <w:pPr>
        <w:pStyle w:val="3"/>
        <w:spacing w:line="360" w:lineRule="auto"/>
        <w:ind w:firstLineChars="200"/>
        <w:rPr>
          <w:rFonts w:ascii="宋体" w:hAnsi="宋体" w:cs="宋体"/>
          <w:color w:val="auto"/>
          <w:szCs w:val="21"/>
          <w:highlight w:val="none"/>
        </w:rPr>
      </w:pPr>
      <w:r>
        <w:rPr>
          <w:rFonts w:hint="eastAsia" w:ascii="宋体" w:hAnsi="宋体" w:cs="宋体"/>
          <w:color w:val="auto"/>
          <w:szCs w:val="21"/>
          <w:highlight w:val="none"/>
        </w:rPr>
        <w:t>在人员进出时，对进出人员前、后自动进行图像抓拍。记录通行人员的使用时间及个人信息，系统所有记录及功能均可在门禁管理系统上查看及设置。</w:t>
      </w:r>
    </w:p>
    <w:p>
      <w:pPr>
        <w:pStyle w:val="3"/>
        <w:spacing w:line="360" w:lineRule="auto"/>
        <w:ind w:firstLineChars="200"/>
        <w:rPr>
          <w:rFonts w:ascii="宋体" w:hAnsi="宋体" w:cs="宋体"/>
          <w:color w:val="auto"/>
          <w:szCs w:val="21"/>
          <w:highlight w:val="none"/>
        </w:rPr>
      </w:pPr>
      <w:r>
        <w:rPr>
          <w:rFonts w:hint="eastAsia" w:ascii="宋体" w:hAnsi="宋体" w:cs="宋体"/>
          <w:color w:val="auto"/>
          <w:szCs w:val="21"/>
          <w:highlight w:val="none"/>
        </w:rPr>
        <w:t>3）后台控制</w:t>
      </w:r>
    </w:p>
    <w:p>
      <w:pPr>
        <w:pStyle w:val="3"/>
        <w:spacing w:line="360" w:lineRule="auto"/>
        <w:ind w:firstLineChars="200"/>
        <w:rPr>
          <w:rFonts w:ascii="宋体" w:hAnsi="宋体" w:cs="宋体"/>
          <w:color w:val="auto"/>
          <w:szCs w:val="21"/>
          <w:highlight w:val="none"/>
        </w:rPr>
      </w:pPr>
      <w:r>
        <w:rPr>
          <w:rFonts w:hint="eastAsia" w:ascii="宋体" w:hAnsi="宋体" w:cs="宋体"/>
          <w:color w:val="auto"/>
          <w:szCs w:val="21"/>
          <w:highlight w:val="none"/>
        </w:rPr>
        <w:t>针对不同类型的人员（VIP、普通客户、访客、物业服务人员等）系统需有灵活的权限管理，可集中控制允许开门的时间段，实现时控功能。</w:t>
      </w:r>
    </w:p>
    <w:p>
      <w:pPr>
        <w:pStyle w:val="3"/>
        <w:spacing w:line="360" w:lineRule="auto"/>
        <w:ind w:firstLineChars="200"/>
        <w:rPr>
          <w:rFonts w:ascii="宋体" w:hAnsi="宋体" w:cs="宋体"/>
          <w:color w:val="auto"/>
          <w:szCs w:val="21"/>
          <w:highlight w:val="none"/>
        </w:rPr>
      </w:pPr>
      <w:r>
        <w:rPr>
          <w:rFonts w:hint="eastAsia" w:ascii="宋体" w:hAnsi="宋体" w:cs="宋体"/>
          <w:color w:val="auto"/>
          <w:szCs w:val="21"/>
          <w:highlight w:val="none"/>
        </w:rPr>
        <w:t>4）脱机运行</w:t>
      </w:r>
    </w:p>
    <w:p>
      <w:pPr>
        <w:pStyle w:val="3"/>
        <w:spacing w:line="360" w:lineRule="auto"/>
        <w:ind w:firstLineChars="200"/>
        <w:rPr>
          <w:rFonts w:ascii="宋体" w:hAnsi="宋体" w:cs="宋体"/>
          <w:color w:val="auto"/>
          <w:szCs w:val="21"/>
          <w:highlight w:val="none"/>
        </w:rPr>
      </w:pPr>
      <w:r>
        <w:rPr>
          <w:rFonts w:hint="eastAsia" w:ascii="宋体" w:hAnsi="宋体" w:cs="宋体"/>
          <w:color w:val="auto"/>
          <w:szCs w:val="21"/>
          <w:highlight w:val="none"/>
        </w:rPr>
        <w:t>当系统出现故障时，门禁控制器仍可脱机工作，并可记录至少一万条脱机数据，故障排除后，所有脱机数据可及时上传数据库。</w:t>
      </w:r>
    </w:p>
    <w:p>
      <w:pPr>
        <w:pStyle w:val="3"/>
        <w:spacing w:line="360" w:lineRule="auto"/>
        <w:ind w:firstLineChars="200"/>
        <w:rPr>
          <w:rFonts w:ascii="宋体" w:hAnsi="宋体" w:cs="宋体"/>
          <w:color w:val="auto"/>
          <w:szCs w:val="21"/>
          <w:highlight w:val="none"/>
        </w:rPr>
      </w:pPr>
      <w:r>
        <w:rPr>
          <w:rFonts w:hint="eastAsia" w:ascii="宋体" w:hAnsi="宋体" w:cs="宋体"/>
          <w:color w:val="auto"/>
          <w:szCs w:val="21"/>
          <w:highlight w:val="none"/>
        </w:rPr>
        <w:t>5）数据统计</w:t>
      </w:r>
    </w:p>
    <w:p>
      <w:pPr>
        <w:pStyle w:val="3"/>
        <w:spacing w:line="360" w:lineRule="auto"/>
        <w:ind w:firstLineChars="200"/>
        <w:rPr>
          <w:rFonts w:ascii="宋体" w:hAnsi="宋体" w:cs="宋体"/>
          <w:color w:val="auto"/>
          <w:szCs w:val="21"/>
          <w:highlight w:val="none"/>
        </w:rPr>
      </w:pPr>
      <w:r>
        <w:rPr>
          <w:rFonts w:hint="eastAsia" w:ascii="宋体" w:hAnsi="宋体" w:cs="宋体"/>
          <w:color w:val="auto"/>
          <w:szCs w:val="21"/>
          <w:highlight w:val="none"/>
        </w:rPr>
        <w:t xml:space="preserve">记录每次通行管理信息且可按照人员类别、部门、通行日期、时间等统计分析报表。                                                                                                                     </w:t>
      </w:r>
    </w:p>
    <w:p>
      <w:pPr>
        <w:spacing w:line="360" w:lineRule="auto"/>
        <w:ind w:firstLine="420" w:firstLineChars="200"/>
        <w:rPr>
          <w:rFonts w:hAnsi="宋体" w:cs="宋体"/>
          <w:bCs/>
          <w:snapToGrid w:val="0"/>
          <w:color w:val="auto"/>
          <w:sz w:val="21"/>
          <w:szCs w:val="21"/>
          <w:highlight w:val="none"/>
        </w:rPr>
      </w:pPr>
      <w:r>
        <w:rPr>
          <w:rFonts w:hint="eastAsia" w:hAnsi="宋体" w:cs="宋体"/>
          <w:bCs/>
          <w:snapToGrid w:val="0"/>
          <w:color w:val="auto"/>
          <w:sz w:val="21"/>
          <w:szCs w:val="21"/>
          <w:highlight w:val="none"/>
        </w:rPr>
        <w:t xml:space="preserve">  3、将A3#、A4#、A5#、B1#、B2#、C1#、D1#、D2#、D3#、E2A塔、E2B塔G1#、G2#、G3#、G4#、H1#、H2#、H3#地下室客梯厅</w:t>
      </w:r>
      <w:r>
        <w:rPr>
          <w:rFonts w:hint="eastAsia" w:hAnsi="宋体" w:cs="宋体"/>
          <w:bCs/>
          <w:snapToGrid w:val="0"/>
          <w:color w:val="auto"/>
          <w:sz w:val="21"/>
          <w:szCs w:val="21"/>
          <w:highlight w:val="none"/>
          <w:lang w:eastAsia="zh-CN"/>
        </w:rPr>
        <w:t>等</w:t>
      </w:r>
      <w:r>
        <w:rPr>
          <w:rFonts w:hint="eastAsia" w:hAnsi="宋体" w:cs="宋体"/>
          <w:bCs/>
          <w:snapToGrid w:val="0"/>
          <w:color w:val="auto"/>
          <w:sz w:val="21"/>
          <w:szCs w:val="21"/>
          <w:highlight w:val="none"/>
        </w:rPr>
        <w:t>区域更换玻璃防火门。</w:t>
      </w:r>
    </w:p>
    <w:p>
      <w:pPr>
        <w:pStyle w:val="3"/>
        <w:spacing w:line="360" w:lineRule="auto"/>
        <w:ind w:firstLineChars="200"/>
        <w:rPr>
          <w:rFonts w:ascii="宋体" w:hAnsi="宋体" w:cs="宋体"/>
          <w:color w:val="auto"/>
          <w:szCs w:val="21"/>
          <w:highlight w:val="none"/>
        </w:rPr>
      </w:pPr>
      <w:r>
        <w:rPr>
          <w:rFonts w:hint="eastAsia" w:ascii="宋体" w:hAnsi="宋体" w:cs="宋体"/>
          <w:color w:val="auto"/>
          <w:szCs w:val="21"/>
          <w:highlight w:val="none"/>
        </w:rPr>
        <w:t>（三）高空抛物系统</w:t>
      </w:r>
    </w:p>
    <w:p>
      <w:pPr>
        <w:pStyle w:val="3"/>
        <w:spacing w:line="360" w:lineRule="auto"/>
        <w:ind w:firstLineChars="200"/>
        <w:rPr>
          <w:rFonts w:ascii="宋体" w:hAnsi="宋体" w:cs="宋体"/>
          <w:color w:val="auto"/>
          <w:szCs w:val="21"/>
          <w:highlight w:val="none"/>
        </w:rPr>
      </w:pPr>
      <w:r>
        <w:rPr>
          <w:rFonts w:hint="eastAsia" w:ascii="宋体" w:hAnsi="宋体" w:cs="宋体"/>
          <w:color w:val="auto"/>
          <w:szCs w:val="21"/>
          <w:highlight w:val="none"/>
        </w:rPr>
        <w:t>1、对H1、H2、H3公租房区域共设计4个立杆，31个800W高空抛物摄像机；2台400万枪机；</w:t>
      </w:r>
    </w:p>
    <w:p>
      <w:pPr>
        <w:pStyle w:val="3"/>
        <w:spacing w:line="360" w:lineRule="auto"/>
        <w:ind w:firstLineChars="200"/>
        <w:rPr>
          <w:rFonts w:ascii="宋体" w:hAnsi="宋体" w:cs="宋体"/>
          <w:color w:val="auto"/>
          <w:szCs w:val="21"/>
          <w:highlight w:val="none"/>
        </w:rPr>
      </w:pPr>
      <w:r>
        <w:rPr>
          <w:rFonts w:hint="eastAsia" w:ascii="宋体" w:hAnsi="宋体" w:cs="宋体"/>
          <w:color w:val="auto"/>
          <w:szCs w:val="21"/>
          <w:highlight w:val="none"/>
        </w:rPr>
        <w:t xml:space="preserve">  2、摄像机部署：根据楼层高度、宽度的整体划分，H1公租房楼层最高为12层，需布置1台800W高空抛物摄像机，分别覆盖2-12层;H2公租房楼层最高为26层，需布置6台800W高空抛物摄像机，分别覆盖3-13层、8-19层、15-26层。H3公租房楼层最高为29层，需布置8台800W高空抛物摄像机，分别覆盖3-9层、7-16层、14-23层、21-29层；采用六类网线接入交换机，通过光纤将数据回传到监控中心。</w:t>
      </w:r>
    </w:p>
    <w:p>
      <w:pPr>
        <w:pStyle w:val="3"/>
        <w:spacing w:line="360" w:lineRule="auto"/>
        <w:ind w:firstLineChars="200"/>
        <w:rPr>
          <w:rFonts w:ascii="宋体" w:hAnsi="宋体" w:cs="宋体"/>
          <w:color w:val="auto"/>
          <w:szCs w:val="21"/>
          <w:highlight w:val="none"/>
        </w:rPr>
      </w:pPr>
      <w:r>
        <w:rPr>
          <w:rFonts w:hint="eastAsia" w:ascii="宋体" w:hAnsi="宋体" w:cs="宋体"/>
          <w:color w:val="auto"/>
          <w:szCs w:val="21"/>
          <w:highlight w:val="none"/>
        </w:rPr>
        <w:t xml:space="preserve">  3、立杆部署：对每个单元楼分别立杆部署，安装在楼面的中轴线位置，部署在小区楼前的绿化带或空地处,距离为覆盖监控面前20-30米。</w:t>
      </w:r>
    </w:p>
    <w:p>
      <w:pPr>
        <w:pStyle w:val="3"/>
        <w:spacing w:line="360" w:lineRule="auto"/>
        <w:ind w:firstLineChars="200"/>
        <w:rPr>
          <w:rFonts w:ascii="宋体" w:hAnsi="宋体" w:cs="宋体"/>
          <w:color w:val="auto"/>
          <w:szCs w:val="21"/>
          <w:highlight w:val="none"/>
        </w:rPr>
      </w:pPr>
      <w:r>
        <w:rPr>
          <w:rFonts w:hint="eastAsia" w:ascii="宋体" w:hAnsi="宋体" w:cs="宋体"/>
          <w:color w:val="auto"/>
          <w:szCs w:val="21"/>
          <w:highlight w:val="none"/>
        </w:rPr>
        <w:t xml:space="preserve">  4、中心部分：在原有的监控系统设备的基础上需增加网络硬盘录像机。网络硬盘录像机用于实现视频存储、预览、回放、上墙业务。</w:t>
      </w:r>
    </w:p>
    <w:p>
      <w:pPr>
        <w:pStyle w:val="3"/>
        <w:spacing w:line="360" w:lineRule="auto"/>
        <w:ind w:firstLineChars="200"/>
        <w:rPr>
          <w:rFonts w:ascii="宋体" w:hAnsi="宋体" w:cs="宋体"/>
          <w:color w:val="auto"/>
          <w:szCs w:val="21"/>
          <w:highlight w:val="none"/>
        </w:rPr>
      </w:pPr>
      <w:r>
        <w:rPr>
          <w:rFonts w:hint="eastAsia" w:ascii="宋体" w:hAnsi="宋体" w:cs="宋体"/>
          <w:color w:val="auto"/>
          <w:szCs w:val="21"/>
          <w:highlight w:val="none"/>
        </w:rPr>
        <w:t>（四）社区五方通话迁移系统</w:t>
      </w:r>
    </w:p>
    <w:p>
      <w:pPr>
        <w:pStyle w:val="3"/>
        <w:spacing w:line="360" w:lineRule="auto"/>
        <w:ind w:firstLineChars="200"/>
        <w:rPr>
          <w:rFonts w:ascii="宋体" w:hAnsi="宋体" w:cs="宋体"/>
          <w:color w:val="auto"/>
          <w:szCs w:val="21"/>
          <w:highlight w:val="none"/>
        </w:rPr>
      </w:pPr>
      <w:r>
        <w:rPr>
          <w:rFonts w:hint="eastAsia" w:ascii="宋体" w:hAnsi="宋体" w:cs="宋体"/>
          <w:color w:val="auto"/>
          <w:szCs w:val="21"/>
          <w:highlight w:val="none"/>
        </w:rPr>
        <w:t>将园区所有楼栋的电梯五方通话控制中心迁移到G4栋2楼控制室。统一管理控制，减少管理人员。电梯出现故障时，可以通过报警话机发现故障电梯的位置，控制室配置2台值班主机、1台语音网关。当2台主机占线时，语音网关会自动拨通物业管理电话，以便及时采取措施</w:t>
      </w:r>
    </w:p>
    <w:p>
      <w:pPr>
        <w:pStyle w:val="7"/>
        <w:rPr>
          <w:rFonts w:hAnsi="宋体" w:cs="宋体"/>
          <w:b/>
          <w:bCs/>
          <w:color w:val="auto"/>
          <w:sz w:val="21"/>
          <w:szCs w:val="21"/>
          <w:highlight w:val="none"/>
        </w:rPr>
      </w:pPr>
      <w:r>
        <w:rPr>
          <w:rFonts w:hint="eastAsia" w:hAnsi="宋体" w:cs="宋体"/>
          <w:b/>
          <w:bCs/>
          <w:color w:val="auto"/>
          <w:sz w:val="21"/>
          <w:szCs w:val="21"/>
          <w:highlight w:val="none"/>
        </w:rPr>
        <w:t>二、</w:t>
      </w:r>
      <w:r>
        <w:rPr>
          <w:rFonts w:hint="eastAsia" w:hAnsi="宋体" w:cs="宋体"/>
          <w:b/>
          <w:bCs/>
          <w:color w:val="auto"/>
          <w:sz w:val="21"/>
          <w:szCs w:val="21"/>
          <w:highlight w:val="none"/>
          <w:lang w:val="zh-CN"/>
        </w:rPr>
        <w:t>采购设备</w:t>
      </w:r>
      <w:r>
        <w:rPr>
          <w:rFonts w:hint="eastAsia" w:hAnsi="宋体" w:cs="宋体"/>
          <w:b/>
          <w:bCs/>
          <w:color w:val="auto"/>
          <w:sz w:val="21"/>
          <w:szCs w:val="21"/>
          <w:highlight w:val="none"/>
        </w:rPr>
        <w:t>清单</w:t>
      </w:r>
    </w:p>
    <w:p>
      <w:pPr>
        <w:spacing w:line="440" w:lineRule="exact"/>
        <w:ind w:firstLine="422" w:firstLineChars="200"/>
        <w:rPr>
          <w:rFonts w:hAnsi="宋体" w:cs="仿宋"/>
          <w:b/>
          <w:bCs/>
          <w:color w:val="auto"/>
          <w:sz w:val="21"/>
          <w:szCs w:val="21"/>
          <w:highlight w:val="none"/>
        </w:rPr>
      </w:pPr>
      <w:r>
        <w:rPr>
          <w:rFonts w:hint="eastAsia" w:hAnsi="宋体" w:cs="仿宋"/>
          <w:b/>
          <w:bCs/>
          <w:color w:val="auto"/>
          <w:sz w:val="21"/>
          <w:szCs w:val="21"/>
          <w:highlight w:val="none"/>
        </w:rPr>
        <w:t>注：采购清单中 “</w:t>
      </w:r>
      <w:r>
        <w:rPr>
          <w:rFonts w:hint="eastAsia" w:hAnsi="宋体" w:cs="仿宋"/>
          <w:color w:val="auto"/>
          <w:sz w:val="21"/>
          <w:szCs w:val="21"/>
          <w:highlight w:val="none"/>
        </w:rPr>
        <w:t>●</w:t>
      </w:r>
      <w:r>
        <w:rPr>
          <w:rFonts w:hint="eastAsia" w:hAnsi="宋体" w:cs="仿宋"/>
          <w:b/>
          <w:bCs/>
          <w:color w:val="auto"/>
          <w:sz w:val="21"/>
          <w:szCs w:val="21"/>
          <w:highlight w:val="none"/>
        </w:rPr>
        <w:t>”为采购的主要标的（核心产品），在《采购清单》中所提供的货物参数要求，其目的仅仅是为了使投标人更加准确地了解采购要求，不构成对投标单位所报品牌的任何约束；投标人所投货物参数应不低于《采购清单》中的要求。打“▲”号条款为重要技术参数(如有)，若有部分“▲”条款未响应或不满足，将根据评审要求影响其得分，但不作为无效投标(响应)条款。</w:t>
      </w:r>
    </w:p>
    <w:p>
      <w:pPr>
        <w:widowControl/>
        <w:spacing w:line="360" w:lineRule="auto"/>
        <w:rPr>
          <w:rFonts w:hAnsi="宋体"/>
          <w:color w:val="auto"/>
          <w:sz w:val="22"/>
          <w:szCs w:val="22"/>
          <w:highlight w:val="none"/>
        </w:rPr>
      </w:pPr>
      <w:r>
        <w:rPr>
          <w:rFonts w:hint="eastAsia" w:hAnsi="宋体"/>
          <w:color w:val="auto"/>
          <w:sz w:val="22"/>
          <w:szCs w:val="22"/>
          <w:highlight w:val="none"/>
        </w:rPr>
        <w:t>（一）安装部分</w:t>
      </w:r>
    </w:p>
    <w:tbl>
      <w:tblPr>
        <w:tblStyle w:val="5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5"/>
        <w:gridCol w:w="1374"/>
        <w:gridCol w:w="1470"/>
        <w:gridCol w:w="4654"/>
        <w:gridCol w:w="409"/>
        <w:gridCol w:w="8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73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项目编码</w:t>
            </w:r>
          </w:p>
        </w:tc>
        <w:tc>
          <w:tcPr>
            <w:tcW w:w="78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项目名称</w:t>
            </w:r>
          </w:p>
        </w:tc>
        <w:tc>
          <w:tcPr>
            <w:tcW w:w="252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项目特征描述</w:t>
            </w:r>
          </w:p>
        </w:tc>
        <w:tc>
          <w:tcPr>
            <w:tcW w:w="212"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计量单位</w:t>
            </w:r>
          </w:p>
        </w:tc>
        <w:tc>
          <w:tcPr>
            <w:tcW w:w="474"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73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78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252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21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47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73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78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252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21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47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盲区监控系统</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030507008001</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400万星光级网络高清枪机</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1.产品名称:400万星光级网络高清摄像机(枪机)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2.规格参数:)图像传感器：400万 1/2.7" CMOS ICR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2)最低照度:彩色：0.005 Lux @（F1.2，AGC ON），0 Lux with Light。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3)红外波长范围: 850 nm，补光距离: 红外光最远可达50 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4)视频压缩标准: 主码流：H.265/H.264。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5)最大图像尺寸: 2560 × 1440。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6)支持防补光过曝。</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7)在2560x1440下分辨力可达到1400TVL。</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8)内置1个麦克风，1个RJ45网络接口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9)支持IP66防尘防水。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3.其它:含电源、支架制作及安装；</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4.其他参数要求：详见图纸及设备参数</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030507008002</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400万星光级网络高清球机</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1.产品名称:400万星光级网络高清球机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2.规格参数:1)支持区域入侵侦测，越界侦测，进入区域侦测和离开区域侦等智能侦测并联动跟踪</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2)传感器类型: 1/2.8＂progressive scan CMOS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3)最低照度: 彩色：0.005 Lux @（F1.6，AGC ON）；黑白：0.001 Lux @（F1.6，AGC ON）；0 Lux with IR</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4)宽动态: 120 dB超宽动态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5)焦距: 4.8 mm~110 mm，23倍光学变倍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6)视场角: 55°~2.7°（广角~望远）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3.其它:含电源、支架制作及安装；</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4.其他参数要求：详见图纸及设备参数</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030507013001</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网络硬盘录像机（64路16盘）</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1.产品名称:网络硬盘录像机（64路16盘）</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参数:1)具有≥2个HDMI接口、≥2个VGA接口、≥2个RJ45网络接口、≥2个USB2.0接口、≥1个USB3.0接口、≥1个RS232接口、≥1个RS485接口（可接入RS485键盘）、≥1个eSata接口；具有≥1路音频输入接口、≥2路音频输出接口，≥16路报警输入接口、≥8路报警输出接口；可内置≥16个SATA接口硬盘</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2)可接入1T、2T、3T、4T、6T、8T、10T、12TB、14TB、16TB、18TB容量的SATA接口硬盘</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3)可接入≥64路分辨率为1920×1080的视频图像；支持最大接入带宽≥640Mbps，最大存储带宽≥640Mbps，最大转发带宽≥640Mbps，最大回放带宽≥640Mbps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预览分辨率支持：8160×3616(25帧/秒)、8208×3072（25帧/秒）、8160×2304（25帧/秒）、6912×2800(25帧/秒)、5760×1696(25帧/秒)、5520×2400（25帧/秒）、4096×2160（25帧/秒）、4000×3000(25帧/秒)、3072×3072(25帧/秒)、4096×2160（25帧/秒）、3840×2160(25帧/秒)、2560×2560(25帧/秒)、2560×1440(25帧/秒)、1920×1080(25帧/秒) 、1280×960(25帧/秒)、1280×720(25帧/秒)、704×576(25帧/秒)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3.其他参数要求：详见图纸及设备参数</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030608002002</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视频监控专业存储硬盘（6TB）</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1.名称:视频监控专业存储硬盘（6TB）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2.规格:6000G,5400RPM；265M；SATA</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030411001003</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配管PVC25</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1.名称:电气配管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2.材质:塑料管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3.规格:PVC25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4.配置形式:暗配</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1567.35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030411001002</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配管JDG25</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1.名称:镀锌电线管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2.规格:JDG25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3.配置形式:暗配</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030411001001</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配管JDG20</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1.名称:镀锌电线管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2.规格:JDG20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3.配置形式:暗配</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030502005001</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超六类网线</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1.名称:超六类网线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2.规格:CAT6</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3.敷设方式:管内穿线</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2505.74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030411004001</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配线</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1.名称:电气配线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2.配线形式:管内穿线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3.规格:RVV3*1.0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4.材质:铜芯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5.配线部位:暗敷</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144.52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030507017001</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监控平台授权</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1.名称:监控平台授权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2.扩容授权,在原有基础上增加监控设备点位授权3、支持视频实时预览、智能规则展示、资源视图管理、全景视频监控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预览、录像计划管理、录像回放、模式切换、场景管理、上墙控制、事件布撤防能力</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路</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030507017007</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安全防范分系统调试</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1.名称:摄像机 调试</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系统</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030507017008</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前端设备接口</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1.名称:前端设备接口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2.规格:定制开发接口</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路</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高空抛物系统</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030507008003</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高空抛物摄像机（800万）</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1.产品名称:高空抛物摄像机（800万）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2.类别:1)需具有800万像素 CMOS传感器。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2)需具有不小于1/1.2"靶面尺寸。不小于1颗内置GPU芯片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3)光圈大小为F1.0±5%。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4)最低照度彩色不大于0.0002 lx</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5)最大亮度等级≥11级。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6)信噪比不低于62dB，照度适应范围需不低于140dB。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7)设备水平中心分辨力需不小于2000TVL。</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8)支持H.264、H.265、MJPEG视频编码格式，且具有High Profile编码能力。</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3.其它:含电源、支架制作及安装</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4.其他参数要求：详见图纸及设备参数</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030507008005</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400万星光级网络高清枪机</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1.名称:400万星光级网络高清枪机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2、规格参数：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1)图像传感器：400万 1/2.7" CMOS ICR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2)最低照度:彩色：0.005 Lux @（F1.2，AGC ON），0 Lux with Light。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3)红外波长范围: 850 nm，补光距离: 红外光最远可达50 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4)视频压缩标准: 主码流：H.265/H.264。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5)最大图像尺寸: 2560 × 1440。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6)支持防补光过曝。</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7)在2560x1440下分辨力可达到1400TVL。</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8)内置1个麦克风，1个RJ45网络接口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9)支持IP66防尘防水。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3.其它:含电源、支架制作及安装；</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粤030507021003</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T字监控立杆（4米）</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1.产品名称:T字监控立杆（4米）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2.规格:1）材质：镀锌管；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2）立杆规格：长度4000mm, 直径114MM，壁厚2.5mm；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3）横杆规格：长度1500mm*直径60mm*壁厚2.0mm；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4）杆体颜色：黑色"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3.含C25砼1000mm*1000mm*1200mm基础</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4.含土方开挖及外运；运距</w:t>
            </w:r>
            <w:r>
              <w:rPr>
                <w:rFonts w:hint="eastAsia"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0km</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粤030507021002</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L字监控立杆（4米）</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1.产品名称:L字监控立杆（4米）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2.规格:1）材质：镀锌管；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2）立杆规格：长度4000mm, 直径114MM，壁厚2.5mm；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3）横杆规格：长度1500mm*直径60mm*壁厚2.0mm；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4）杆体颜色：黑色"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3.含C25砼1000mm*1000mm*1200mm基础</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4.含土方开挖及外运；运距</w:t>
            </w:r>
            <w:r>
              <w:rPr>
                <w:rFonts w:hint="eastAsia"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0km</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粤030507021004</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1.5米横臂</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1.名称:1.5米横臂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2.规格:1）材质：镀锌管；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2）规格：长度1500mm*直径60mm*壁厚2.0mm；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3）杆体颜色：黑色</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030501010001</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工业级1光1电光纤交换机</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1.产品名称:工业级1光1电光纤交换机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2.规格:1）物理端口: 1千兆光(SC/FC/ST/LC可选）+1千兆电组成;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2）交换容量: 12Gbps, 转发速率：6Mpps；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3）标准协议: IEEE802.3i,IEEE802.3u；</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4）光纤端口: 1000Base-GX端口（SC/FC/ST/SFP可选）；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5）RJ45端口: 支持10/100/1000M,全/半双工, MDI/MDI-X自适应功能；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6）传输距离: 双绞线100m, 多模光纤500m~2km, 单模光纤20km~120km;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7）兼容性强: Broadcom芯片, 兼容HUAWEI,CISCO,H3C,RUIJIE等主流品牌；</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8）机械结构: IP40,防雷击6KV,防浪涌,全铝机身, 无风扇设计, 导轨/壁挂式；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9）电源参数: 3P工业端子, DC12～56V双电源冗余设计,防反接/过流保护；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10）环境参数: 工作温度: -40~85℃, 存储温度: -40C～90℃。</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030501012001</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工业级1光4电POE光纤交换机</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1.产品名称:工业级1光4电POE光纤交换机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2.规格:1）物理端口: 1千兆光(SC/FC/ST/LC可选）+4千兆PoE电组成;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2）交换容量: 48Gbps, 转发速率：22Mpps；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3）RJ45端口: 支持10/100/1000M,全/半双工, MDI/MDI-X自适应功能；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4）PoE协议: 支持标准IEEE 802.3af/at协议, 单口15.4W/30W 输出；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5）传输距离: PoE供电距离100m（标准CAT5/CAT5e线缆）；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6）供电标准: 电口PoE智能检测识别符合标准的受电设备，并为其供电；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7）兼容性强: Broadcom芯片, 兼容HUAWEI,CISCO,H3C,RUIJIE等主流品牌；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8）机械结构: IP40,防雷击6KV,防浪涌,全铝机身, 无风扇设计, 导轨/壁挂式；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9）电源参数: 6P工业端子, DC48～52V双电源冗余设计,防反接/过流保护；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10）环境参数: 工作温度: -40~85℃, 存储温度: -40C～90℃。</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030501012002</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工业级1光8电POE光纤交换机</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1.产品名称:工业级1光8电POE光纤交换机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2.规格:1）8千兆POE电口，1千兆SFP口，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2）交换容量: 48Gbps, 转发速率：22Mpps；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3）标准协议: IEEE802.3i,IEEE802.3u,IEEE802.3ab,IEEE802.3z；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4）光纤端口: 1000Base-GX端口（SC/FC/ST/SFP可选）；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5）RJ45端口: 支持10/100/1000M,全/半双工, MDI/MDI-X自适应功能；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6）传输距离: 双绞线100m, 多模光纤500m~2km, 单模光纤20km~120km;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7）机械结构: IP40,防雷击6KV,防浪涌,全铝机身, 无风扇设计, 导轨/壁挂式；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8）电源参数: 6P工业端子, 内置AC/DC110V~265V电源, 防反接/过流保护；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9）环境参数: 工作温度: -40℃~85℃, 存储温度: -40℃～90℃。</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030904008001</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千兆光纤模块（20KM工业级）</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1.产品名称:千兆光纤模块（20KM工业级）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2.规格:1.25G, T3/R5; 单模/单纤/LC/20km"</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030507013002</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高空抛物智能超脑</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1.产品名称:高空抛物智能超脑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2.规格:1)需支持接入双目、三目、800w、1600w球型鹰眼、2400w环型鹰眼相机，3200w摄像机，并可将视频画面以多画面分割方式显示，可自定义画面布局</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需支持组合报警模式，可设置将NVR的报警输入口关联IPC的报警事件，只有当两个报警事件同时触发才能产生报警，组合报警模式支持遮挡报警、移动侦测、人脸抓拍、人脸侦测、车辆检测、越界侦测、区域入侵侦测、进入/离开区域侦测、人员聚集侦测、快速移动侦测、物品遗留侦测、物品拿取侦测、停车侦测、徘徊侦测、场景变更侦测、虚焦侦测、音频异常侦测报警事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3)可同时正放或倒放32路H.265编码的视频图像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4)需支持设备级联，NVR接入NVR、DVR、XVR设备，选择通道添加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3.其他参数要求：详见图纸及设备参数</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030608002001</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视频监控专业存储硬盘（8TB）</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1.名称:视频监控专业存储硬盘（8TB）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2.规格:3.5英寸 8TB 5640RPM 256M SATA3</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030507017006</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安全防范分系统调试</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1.名称:摄像机 调试</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系统</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030507017004</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前端设备接口</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1.名称:前端设备接口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2.规格:定制开发接口</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路</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030507017002</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监控平台授权</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1.名称:监控平台授权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2.规格:扩容授权,在原有基础上增加监控设备点位授权3、支持视频实时预览、智能规则展示、资源视图管理、全景视频监控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预览、录像计划管理、录像回放、模式切换、场景管理、上墙控制、事件布撤防能力</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路</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030502015001</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4口光纤盒</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1.名称:4口光纤盒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2.含光纤熔接:含光纤熔接</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030502013001</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8口光纤盒</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1.名称:8口光纤盒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2.类别:含光纤熔接</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030502009001</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LC/SC光纤跳线</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1.名称:LC/SC光纤跳线</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030404017001</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园区立杆防水箱</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1.名称:园区立杆防水箱</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2.规格:400*300*150mm</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030404017002</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抱杆机箱</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1.名称:抱杆机箱</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2.规格:500*600*200mm</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030411001004</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配管PVC20</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1.名称:电气配管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2.材质:塑料管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3.规格:PVC20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4.配置形式:暗配</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030411001005</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配管PVC32</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1.名称:电气配管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2.材质:塑料管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3.规格:PVC32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4.配置形式:暗配</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263.53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030502007002</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4芯光纤</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1.名称:光纤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2.规格:1*4芯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3.敷设方式:管内穿线</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448.81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030411004002</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配线</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1.名称:电气配线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2.配线形式:管内穿线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3.规格:RVV3*1.5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4.材质:铜芯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5.配线部位:暗敷</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448.81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030502005002</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超六类网线</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1.名称:超六类网线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2.规格:CAT6</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3.敷设方式:管内穿线</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040101002001</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挖沟槽土方</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1.土壤类别:一、二类土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2.挖土深度:2m 内</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050101009001</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种植土回(换)填</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1.回填土质要求:种植土回填</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040103001001</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回填砂</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1.填方材料品种:回填砂</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040103001002</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回填原土</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1.填方材料品种:回填原土</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040103002001</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余方弃置</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1.废弃料品种:土方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2.运距:</w:t>
            </w:r>
            <w:r>
              <w:rPr>
                <w:rFonts w:hint="eastAsia"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0km</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040504001001</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通信井 400*400*400mm</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1.名称:通信井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2.规格:400*400*400mm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3.垫层:150mm厚片石夯实</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4.100mm砂层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5.材质:M5水泥砂浆砖砌</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6.抹灰:井内外壁抹面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7.井盖:成品复合树脂井盖400*400mm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8.弃土运距:</w:t>
            </w:r>
            <w:r>
              <w:rPr>
                <w:rFonts w:hint="eastAsia"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0km</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座</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门禁系统</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030411001006</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配管PVC25</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1.名称:电气配管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2.材质:塑料管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3.规格:PVC25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4.配置形式:暗配</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3723.21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030502005003</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超六类网线</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1.名称:超六类网线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2.规格:CAT6</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3.敷设方式:槽内穿线</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749.71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030502005008</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超六类网线</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1.名称:超六类网线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2.规格:CAT6</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3.敷设方式:管内穿线</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1778.34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030411004004</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配线</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1.名称:电气配线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2.配线形式:管内穿线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3.规格:RVV3*1.0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4.材质:铜芯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5.配线部位:暗敷</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1778.34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030411004018</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线槽配线</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1.名称:电气配线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2.配线形式:线槽穿线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3.规格:RVV3*1.0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4.材质:铜芯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5.配线部位:暗敷</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749.71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030411004005</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配线</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1.名称:电气配线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2.配线形式:管内穿线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3.规格:RVV3*2.5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4.材质:铜芯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5.配线部位:暗敷</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030411004019</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线槽配线</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1.名称:电气配线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2.配线形式:线槽穿线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3.规格:RVV3*2.5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4.材质:铜芯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5.配线部位:暗敷</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030411004003</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配线</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1.名称:电气配线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2.配线形式:管内穿线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3.规格:RVV2*0.5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4.材质:铜芯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5.配线部位:暗敷</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030411004020</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线槽配线</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1.名称:电气配线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2.配线形式:线槽穿线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3.规格:RVV2*0.5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4.材质:铜芯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5.配线部位:暗敷</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030411004006</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配线</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1.名称:电气配线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2.配线形式:管内穿线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3.规格:RVV4*1.0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4.材质:铜芯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5.配线部位:暗敷</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208.76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030411004021</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线槽配线</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1.名称:电气配线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2.配线形式:线槽穿线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3.规格:RVV4*1.0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4.材质:铜芯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5.配线部位:暗敷</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030411004022</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配线</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1.名称:电气配线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2.配线形式:管内穿线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3.规格:RVV4*0.5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4.材质:铜芯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5.配线部位:暗敷</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1668.34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030411004023</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配线</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1.名称:电气配线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2.配线形式:线槽穿线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3.规格:RVV4*0.5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4.材质:铜芯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5.配线部位:暗敷</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749.71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030411004024</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配线</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1.名称:电气配线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2.配线形式:管内穿线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3.规格:RVV2*1.0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4.材质:铜芯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5.配线部位:暗敷</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030411004025</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配线</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1.名称:电气配线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2.配线形式:线槽穿线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3.规格:RVV2*1.0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4.材质:铜芯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5.配线部位:暗敷</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040205022001</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摆闸（单机芯）</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1.名称:摆闸（单机芯）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2.规格、型号:1）具有故障自检和报警提示功能，方便用户维护及使用；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2）具有断电自动打开,来电自检并自动恢复在加锁状态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3）具有多种工作模式可供选择，即可双向读卡，也可一边读卡、另一方向禁行，一边读卡、另一方向自由通行，且闸机工作模式可通过主板菜单进行设定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4）当行人读有效卡通行后,红外检测到行人通行完毕自动关闸或行人通行后延时关闸,延时10秒可通过主板菜单自行设定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5）具有自动复位功能。当读有效卡后，通行者在规定的时间内未通行时，系统将自动取消通行者的本次通行权限，且限制的通行时间可由管理人员自行设定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6）防冲功能，在没有接收到开闸信号时，摆臂自动锁死</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7）机械防夹功能，在摆臂复位的过程中遇阻时，自动反弹或在规定的时间内电机自动停止工作，同时发出报警信号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3.其他参数要求：详见图纸及设备参数</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040205022002</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摆闸（双机芯）</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1.名称:摆闸（双机芯）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2.规格、型号:1）具有故障自检和报警提示功能，方便用户维护及使用；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2）具有断电自动打开,来电自检并自动恢复在加锁状态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3）具有多种工作模式可供选择，即可双向读卡，也可一边读卡、另一方向禁行，一边读卡、另一方向自由通行，且闸机工作模式可通过主板菜单进行设定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4）当行人读有效卡通行后,红外检测到行人通行完毕自动关闸或行人通行后延时关闸,延时10秒可通过主板菜单自行设定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5）具有自动复位功能。当读有效卡后，通行者在规定的时间内未通行时，系统将自动取消通行者的本次通行权限，且限制的通行时间可由管理人员自行设定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6）防冲功能，在没有接收到开闸信号时，摆臂自动锁死</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7）机械防夹功能，在摆臂复位的过程中遇阻时，自动反弹或在规定的时间内电机自动停止工作，同时发出报警信号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3.其他参数要求：详见图纸及设备参数</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030507005001</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AI人脸识别测温门禁（含二维码识别模块、支架）</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1.名称:AI人脸识别测温门禁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2.规格:1）屏幕：≥7英寸，全视角IPS液晶屏；支持显示界面DIY、认证结果DIY。</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2）摄像头：≥200W像素，双目摄像头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3）接口：≥1个音频输出接口，≥2个RS232接口，≥1个485/WG输入接口，≥1个WG输出接口，≥1个韦根接口，≥1个RJ45网络接口，≥1个type-c接口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4）本地人脸库≥100000张；≥100000张卡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5）支持人脸识别与测温、刷加密卡、访客二维码、APP远程开门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6）可同时检测跟踪≥5个人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7）人脸识别率≥99%</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8）测温距离：0,5-3米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9）测温响应时间≤300 毫秒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10）温度检测精度≤0.1℃</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3.其他参数要求：详见图纸及设备参数</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030904003001</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出门按钮</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1.名称:出门按钮</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030507006001</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电插锁</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1.名称:电插锁</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031101001002</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门禁电源</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1.种类:门禁电源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2.型号:12V 5A</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030507006002</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单门门禁控制器</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1.名称:单门门禁控制器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2.规格:单门</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030507006003</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双门门禁控制器</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1.名称:双门门禁控制器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2.规格:双门</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030507006004</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四门门禁控制器</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1.名称:四门门禁控制器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2.规格:四门</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030404031001</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继电器控制</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1.名称:继电器控制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2.规格:20A</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030501012004</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24口千兆POE交换机</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1.名称:24口千兆POE交换机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2.规格:1）包转发率：≥51Mpps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2）交换容量：≥336Gbps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3）固定端口：≥24 个 10/100/1000BASE-T 以太网端口,≥4 个千兆SFP,PoE+,交流供电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4）支持MAC地址自动学习和老化</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5）支持静态、动态、黑洞MAC表项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6）支持源MAC地址过滤；支持接口MAC地址学习个数限制。支持4K个VLAN；支持Guest VLAN、Voice VLAN；支持GVRP协议；支持MUX VLAN功能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3.其他参数要求：详见图纸及设备参数</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030501013001</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管理服务器</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1.名称:管理服务器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2.规格:1)英特尔至强银牌4210(2.2GHz/10-Core/13.75MB/85W)处理器，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2)2*32GB-2933MT/s-2Rank(2G*16bit)-1.2V-ECC内存，</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3)2*2400GB-SAS 12Gb/s-10K rpm-128MB硬盘，</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4)raid1，2*GE+2*10GE光口，2*550W电源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5)8*2.5盘位/2U</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030501002002</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管理主机（I5/8G/1T）</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1.产品名称:管理主机（I5/8G/1T）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2.规格:1）CPU：I5-12400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2）内存：8G DRR4 2666</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3）硬盘：HDD 1T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4）无光驱/260W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5）21.5寸显示器</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030507008004</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人脸录入摄像头</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1.名称:人脸录入摄像头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2.规格:1）分辨率：720p/30fps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2）视野：55°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3）有自动光线校正功能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4）对焦类型: 固定焦距</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5）内置麦克风: 单声道</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6）麦克风范围: 长达 1 米</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030501017001</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软件对接开发</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1.名称:软件综合管理平台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2.模块名称:现场预约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(1)功能:1)支持被邀约人现场扫描二维码进行预约,以H5页面实现2)支持微信扫码录入信息3)支持二维码开门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3、模块名称:线上邀约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(1)功能:1)支持微信分享实现访客信息录入、审核、到访形成闭环2)支持上传拜访人健康码信息3)支持二维码开门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4、模块名称:远程开门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(1)功能:1)实现远程通过APP解锁门禁开门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5、模块名称:人员管理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(1)功能:1)实现对指定拥有楼栋开门人员权限管理、时间段管理,在后台中增加设置权限。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6、模块名称:开门管理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(1)功能:1)实现开门次数、开门记录,开门抓拍图像、测温数据统计管理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7、接口名称:远程开门接口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8、接口名称:人体测温接口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9、接口名称:人脸识别接口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10、接口名称:访客信息接口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11、接口名称:温度告警接口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12、接口名称:语音播报接口</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030501017002</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访客管理模块</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1.产品名称:访客管理模块</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2.增加本次建设门禁访客管理模块,提供访客预约、登记、权限、签离、短信通知、记录查询管理应用</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030501017003</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门禁管理授权</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1.产品名称:门禁管理授权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2.规格:扩容授权,在原有基础上增加本次建设门禁管理授权,提供门禁权限管理、事件管理、状态查看及远程控制、人员出入记录实时展示应用</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点</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030507017009</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安全防范分系统调试</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1.名称:安全防范分系统调试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2.摆闸、人脸识别调试</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系统</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010606009001</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不锈钢护栏</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1.钢材品种、规格:不锈钢护栏</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030411002001</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304不锈钢线槽</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1.名称:304不锈钢线槽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2.材质:304不锈钢</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030411002002</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塑料线槽</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1.名称:塑料线槽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2.材质:PVC</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3.规格:19*39mm</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030413002001</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凿(压)槽</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1.名称:凿(压)槽及修补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2.类型:混凝土结构</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030506001002</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发卡器</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1.名称:发卡器</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81</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030506001003</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CUP卡</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1.名称:CUP卡</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五方通话</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粤R2-4-71</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机房话机（拆除）</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1.机房话机（拆除）</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030904006001</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机房话机</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1.名称:机房话机（购买新设备）</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部</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粤R2-4-71</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轿厢话机（拆除）</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1.轿厢话机（拆除）</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080603009001</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轿厢话机</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1.名称:轿厢话机（购买新设备）</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粤R2-4-71</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轿顶话机（拆除）</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1.轿顶话机（拆除）</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87</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080603009002</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轿顶话机</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1.名称:轿顶话机（购买新设备）</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粤R2-4-71</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底坑话机（拆除）</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1.底坑话机（拆除）</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89</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080603009003</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底坑话机</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1.名称:底坑话机（购买新设备）</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030411001009</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配管</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1.名称:配管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2.规格:JDG25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3.配置形式:暗配</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1767.15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030411001012</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配管</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1.名称:配管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2.规格:JDG20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3.配置形式:暗配</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030502005006</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超六类网线</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1.名称:超六类网线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2.规格:CAT6</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3.敷设方式:管内穿线</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030411004013</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配线</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1.名称:配线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2.配线形式:管内配线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3.型号:RVV3*1.0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4.配线部位:暗配</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94</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030411004014</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配线</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1.名称:配线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2.配线形式:管内配线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3.型号:RVVP4*0.75</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1249.45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030411004015</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配线</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1.名称:配线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2.配线形式:线槽配线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3.型号:RVVP4*0.75</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2043.43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030411004026</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配线</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1.名称:配线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2.型号:HDMI*1</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3.敷设方式:管内穿线</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97</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030502007003</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4芯光纤</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1.名称:光纤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2.规格:1*4芯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3.敷设方式:管内穿线</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030501012005</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汇聚交换机</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1.名称:汇聚交换机</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030506001001</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1路网络分机</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1.产品名称:1路网络分机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2.规格:1）可以控制1部电梯。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2）可以单独呼叫多台主机。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3）可以与主机进行双向通话。</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4）可以实现电梯机房、电梯轿厢、电梯轿顶、电梯底坑之间自主通话，无需呼叫主机。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5）宽带 ADC/DAC 16KHz 采样、窄带编码: G.711a/u, G.723.1, G.726-32K, G.729AB、宽带编码: G.722、全双工免提通话, 支持声学回音消除(AEC)</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6）10/100Mbps、IP获取方式：静态IP 设置相关协议 SIP2.0、UDP/TCP、RTP/RTCP/SRTP、STUN、DHCP、LLDP、</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PPPoE802.1x、L2TP、OpenVPN、SNTP、FTP/TFTP、HTTP/</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HTTPS、TR-069</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3.其他参数要求：详见图纸及设备参数</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030506001001</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3路网络分机</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1.产品名称:3路网络分机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2.规格:1）可以控制3部电梯。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2）可以单独呼叫多台主机。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3）可以与主机进行双向通话。</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4）可以实现电梯机房、电梯轿厢、电梯轿顶、电梯底坑之间自主通话，无需呼叫主机。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5）宽带 ADC/DAC 16KHz 采样、窄带编码: G.711a/u, G.723.1, G.726-32K, G.729AB、宽带编码: G.722、全双工免提通话, 支持声学回音消除(AEC)</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6）10/100Mbps、IP获取方式：静态IP 设置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7）相关协议：SIP2.0、UDP/TCP、RTP/RTCP/SRTP、STUN、DHCP、LLDP、</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PPPoE802.1x、L2TP、OpenVPN、SNTP、FTP/TFTP、HTTP/</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HTTPS、TR-069</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3.其他参数要求：详见图纸及设备参数</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030506001001</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4路网络分机</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1.产品名称:4路网络分机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2.规格:1）可以控制4部电梯。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2）可以单独呼叫多台主机。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3）可以与主机进行双向通话。</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4）可以实现电梯机房、电梯轿厢、电梯轿顶、电梯底坑之间自主通话，无需呼叫主机。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5）宽带 ADC/DAC 16KHz 采样、窄带编码: G.711a/u, G.723.1, G.726-32K, G.729AB、宽带编码: G.722、全双工免提通话, 支持声学回音消除(AEC)</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6）10/100Mbps、IP获取方式：静态IP 设置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7）相关协议 SIP2.0、UDP/TCP、RTP/RTCP/SRTP、STUN、DHCP、LLDP、</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PPPoE802.1x、L2TP、OpenVPN、SNTP、FTP/TFTP、HTTP/</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HTTPS、TR-069</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3.其他参数要求：详见图纸及设备参数</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102</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080608003001</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UPS应急电源</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1.产品名称:UPS应急电源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2.规格:1）规格尺寸：250*160*70mm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2）工作电压：DC-12V，工作电流：4A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待机电压：DC-12V，待机电流：180mA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3）工作温度范围：-30℃～70℃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4）最大功率：≤60W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5）固定方式：壁挂或平放</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6）应急供电24小时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7）外壳为铁壳，不易损坏</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103</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030501002001</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非可视化网络主机</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1.产品名称:非可视化网络主机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2.规格:1）联接电梯无数量限制。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2）可以单独接收或呼叫所控制的每一部电梯。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3）巡检:可以与所控制的每一部电梯进行双向通讯。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4）来电显分机的具体位置。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5）支持SIP通讯协议、支持SIP服务器、全双工模式对讲、回声消除、支持丢包补偿，自适应抖动缓冲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6）适配器输入：100-240V、适配器输出：12V/1A、WAN口-10/100 Base-T RJ-45 接局域网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7）功耗-空闲;2.5W/活动：5W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8）工作温度：0~40℃工作湿度：10~65％、CPU：RK3288</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104</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030501003001</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语音网关</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1.名称:语音网关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2.规格:无人值守，转接手机</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030505010002</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高清解码器（16路）</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1.产品名称:高清解码器（16路）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16个HDMI输出接口、≥1个VGA输入接口、1个DVI输入接口、≥2个USB口、≥1个语音对讲输入、≥1个语音对讲输出、≥16个音频输出、≥8个报警输入、≥8个报警输出、≥1个RS485接口、≥1个RS232接口、≥2个千兆网口、≥2个光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2)具有1个电源指示灯、1个VGA信号接入指示灯和1个DVI信号接入指示灯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3)支持对输入的视频画面进行90°、180°、270°旋转显示。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4)支持黑白名单功能，可设置256个黑白名单；当设置白名单时，只允许白名单IP访问设备；当设置黑名单时，黑名单内IP无法访问设备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5)输入信号接入解码器后上墙显示，支持YUV422上墙显示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6)可通过客户端软件设置HDMI接口输出分辨率为3840*2160(30Hz、1920*1080(50Hz)、1920*1080(60Hz)、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1680*1050(60Hz)、1600*1200(60Hz)、1280*1024(60Hz)、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1280*720(60Hz)、1280*720(50Hz)、1024*768(60Hz)。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3.其他参数要求：详见图纸及设备参数</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106</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030507014003</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55寸高清超窄边拼接屏</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1.产品名称:55寸高清超窄边拼接屏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2.规格:）LCD液晶显示单元；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2）尺寸：55英寸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3）分辨率：1920x1080；视角：178°(水平)/ 178°(垂直)；响应时间：6.5 ms (G to 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4）对比度：3000:1；亮度：500cd/㎡；物理拼缝：3.5mm；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5）输入接口：VGA × 1, HDMI × 1, DVI × 1</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6）功耗：≤190W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7）电源要求：AC 100-240V～, 50/60Hz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8）寿命：≥60000 小时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9）工作温度和湿度：0℃--40℃，20%--80%(无凝露)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10）外形尺寸：1213.50 (W) mm × 684.30 (H) mm × 71.19 (D) mm</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107</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030505004001</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电视墙（3*3 55寸）</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1.名称:电视墙（3*3 55寸）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2.规格:1）采用1.5-1.0mm的优质冷轧钢板；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2）电视墙为组装式结构，方便运输及安装，任意自由组合拼装；</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3）表面处理：去油、酸洗、磷化、防静电喷涂，采用高硬度粉沫，达到了BS6497国际标准，级表 面处理，全自动ICI 高强度粉沫静电喷涂高温烤焗工艺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4）后部开有散热孔，并配有散热风扇，具有良好的通风散热条件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5）每联配有一块散热风扇、固定层板一块下柜19英寸标准制作；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6）颜色：黑色"</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108</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030505004002</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操作台（3联）</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1.名称:操作台（3联）</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2.规格:1)1800*920*750；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2)材料采用优质冷轧钢板制作；材料厚度：1.2-1.5MM"</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030608002003</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服务器存储硬盘</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1.产品名称:服务器存储硬盘</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2.规格:2.4TB 10K RPM SAS 硬盘单元；2.5英寸(2.5英寸托架)</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030904008002</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千兆光纤模块（20KM工业级）</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1.名称:千兆光纤模块（20KM工业级）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2.规格:1.25G, T3/R5; 单模/单纤/LC/20km"</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111</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030502015002</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4口光纤盒</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1.名称:4口光纤盒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2.含光纤熔接:含光纤熔接</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030502009002</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LC/SC光纤跳线</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1.名称:LC/SC光纤跳线</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113</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030502010001</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六类24口非屏蔽配线架</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1.名称:六类24口非屏蔽配线架</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030502017001</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理线架</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1.名称:理线架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2.规格:24口</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E区小会议室</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030411001010</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配管</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1.名称:配管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2.规格:JDG20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3.配置形式:暗配</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030502005007</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超六类网线</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1.名称:超六类网线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2.规格:CAT6</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3.敷设方式:管内穿线</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117</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030411004016</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配线</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1.名称:配线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2.型号:HDMI*1</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3.敷设方式:管内穿线</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030501010002</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HDMI延长器</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1、产品名称：HDMI延长器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1)最远距离：单网线（推荐CAT-6线）60m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2)分辨率：1920*1080P</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3)外壳材质：铁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4)支持输入：1080P/10802i/720P/576P/576i/480P/480i</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5)红外支持：38KHz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6)电源：DC5V</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对</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119</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030413002003</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凿(压)槽</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1.名称:凿(压)槽及修补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2.类型:混凝土结构</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20楼会议室</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030411001011</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配管</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1.名称:配管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2.规格:JDG25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3.配置形式:暗配</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030411004017</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配线</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1.名称:配线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2.型号:HDMI*1</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3.敷设方式:管内穿线</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122</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030506007001</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高清HDMI矩阵（4进4出）</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1.产品名称:高清HDMI矩阵（4进4出）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2.规格:一、功能特点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1）4路HDMI信号输入，4路HDMI信号输出，交叉切换；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2）支持高清1080P、支持3D、支持4K；</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3）具有1路RS-232通讯接口；支持RS-232转RS-485通信接口；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3.其他参数要求：详见图纸及设备参数</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123</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030413002002</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凿(压)槽</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1.名称:凿(压)槽及修补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2.类型:混凝土结构</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措施项目</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124</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041102002001</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立杆基础</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1.构件类型:立杆基础</w:t>
            </w: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031302007001</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高层施工增加</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6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126</w:t>
            </w:r>
          </w:p>
        </w:tc>
        <w:tc>
          <w:tcPr>
            <w:tcW w:w="7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031301017001</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脚手架搭拆费</w:t>
            </w:r>
          </w:p>
        </w:tc>
        <w:tc>
          <w:tcPr>
            <w:tcW w:w="2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2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bl>
    <w:p>
      <w:pPr>
        <w:widowControl/>
        <w:spacing w:line="360" w:lineRule="auto"/>
        <w:rPr>
          <w:rFonts w:hAnsi="宋体"/>
          <w:color w:val="auto"/>
          <w:sz w:val="22"/>
          <w:szCs w:val="22"/>
          <w:highlight w:val="none"/>
        </w:rPr>
      </w:pPr>
    </w:p>
    <w:p>
      <w:pPr>
        <w:spacing w:line="400" w:lineRule="exact"/>
        <w:rPr>
          <w:rFonts w:hAnsi="宋体"/>
          <w:color w:val="auto"/>
          <w:sz w:val="21"/>
          <w:szCs w:val="21"/>
          <w:highlight w:val="none"/>
        </w:rPr>
      </w:pPr>
      <w:r>
        <w:rPr>
          <w:rFonts w:hint="eastAsia" w:hAnsi="宋体"/>
          <w:color w:val="auto"/>
          <w:sz w:val="21"/>
          <w:szCs w:val="21"/>
          <w:highlight w:val="none"/>
        </w:rPr>
        <w:t>（二）土建部分</w:t>
      </w:r>
    </w:p>
    <w:tbl>
      <w:tblPr>
        <w:tblStyle w:val="5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4"/>
        <w:gridCol w:w="1416"/>
        <w:gridCol w:w="1510"/>
        <w:gridCol w:w="4590"/>
        <w:gridCol w:w="416"/>
        <w:gridCol w:w="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74"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733"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82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247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21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478"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7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3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2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47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1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7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7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3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2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47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1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7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玻璃门</w:t>
            </w:r>
          </w:p>
        </w:tc>
        <w:tc>
          <w:tcPr>
            <w:tcW w:w="2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A3、A4、A5栋玻璃门</w:t>
            </w:r>
          </w:p>
        </w:tc>
        <w:tc>
          <w:tcPr>
            <w:tcW w:w="2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010802003001</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单开防火玻璃门</w:t>
            </w:r>
          </w:p>
        </w:tc>
        <w:tc>
          <w:tcPr>
            <w:tcW w:w="2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1.门代号及洞口尺寸:1160*1960mm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2.名称:单门防火玻璃平开门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3.门框、扇材质:黑色镜面不锈钢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4.玻璃规格、尺寸:12mm防火钢化玻璃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5.拉手:常用不锈钢拉手450mm长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6.其他:门夹、地弹簧、顶轴（含安装、五金配件）</w:t>
            </w:r>
          </w:p>
        </w:tc>
        <w:tc>
          <w:tcPr>
            <w:tcW w:w="2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4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7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010802001001</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双开防火玻璃门</w:t>
            </w:r>
          </w:p>
        </w:tc>
        <w:tc>
          <w:tcPr>
            <w:tcW w:w="2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1.门代号及洞口尺寸:1480*1980mm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2.名称:双门防火玻璃平开门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3.门框、扇材质:黑色镜面不锈钢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4.玻璃规格、尺寸:12mm防火钢化玻璃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5.拉手:常用不锈钢拉手450mm长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6.其他:门夹、地弹簧、顶轴（含安装、五金配件）</w:t>
            </w:r>
          </w:p>
        </w:tc>
        <w:tc>
          <w:tcPr>
            <w:tcW w:w="2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4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7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010802001016</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双开防火玻璃门</w:t>
            </w:r>
          </w:p>
        </w:tc>
        <w:tc>
          <w:tcPr>
            <w:tcW w:w="2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1.门代号及洞口尺寸:2000*2020mm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2.名称:双门防火玻璃平开门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3.门框、扇材质:黑色镜面不锈钢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4.玻璃规格、尺寸:12mm防火钢化玻璃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5.拉手:常用不锈钢拉手450mm长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6.其他:门夹、地弹簧、顶轴（含安装、五金配件）</w:t>
            </w:r>
          </w:p>
        </w:tc>
        <w:tc>
          <w:tcPr>
            <w:tcW w:w="2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4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B1栋</w:t>
            </w:r>
          </w:p>
        </w:tc>
        <w:tc>
          <w:tcPr>
            <w:tcW w:w="2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7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010802001002</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双开防火玻璃门</w:t>
            </w:r>
          </w:p>
        </w:tc>
        <w:tc>
          <w:tcPr>
            <w:tcW w:w="2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1.门代号及洞口尺寸:1980*2080mm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2.名称:双门防火玻璃平开门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3.门框、扇材质:黑色镜面不锈钢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4.玻璃规格、尺寸:12mm防火钢化玻璃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5.拉手:常用不锈钢拉手450mm长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6.其他:门夹、地弹簧、顶轴（含安装、五金配件）</w:t>
            </w:r>
          </w:p>
        </w:tc>
        <w:tc>
          <w:tcPr>
            <w:tcW w:w="2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4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B2栋</w:t>
            </w:r>
          </w:p>
        </w:tc>
        <w:tc>
          <w:tcPr>
            <w:tcW w:w="2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7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010802001003</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双开防火玻璃门</w:t>
            </w:r>
          </w:p>
        </w:tc>
        <w:tc>
          <w:tcPr>
            <w:tcW w:w="2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1.门代号及洞口尺寸:1980*2080mm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2.名称:双门防火玻璃平开门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3.门框、扇材质:黑色镜面不锈钢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4.玻璃规格、尺寸:12mm防火钢化玻璃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5.拉手:常用不锈钢拉手450mm长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6.其他:门夹、地弹簧、顶轴（含安装、五金配件）</w:t>
            </w:r>
          </w:p>
        </w:tc>
        <w:tc>
          <w:tcPr>
            <w:tcW w:w="2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4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D1、D2栋</w:t>
            </w:r>
          </w:p>
        </w:tc>
        <w:tc>
          <w:tcPr>
            <w:tcW w:w="2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7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010802001004</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双开防火玻璃门</w:t>
            </w:r>
          </w:p>
        </w:tc>
        <w:tc>
          <w:tcPr>
            <w:tcW w:w="2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1.门代号及洞口尺寸:1470*2250mm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2.名称:双门防火玻璃平开门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3.门框、扇材质:黑色镜面不锈钢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4.玻璃规格、尺寸:12mm防火钢化玻璃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5.拉手:常用不锈钢拉手450mm长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6.其他:门夹、地弹簧、顶轴（含安装、五金配件）</w:t>
            </w:r>
          </w:p>
        </w:tc>
        <w:tc>
          <w:tcPr>
            <w:tcW w:w="2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4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E2栋</w:t>
            </w:r>
          </w:p>
        </w:tc>
        <w:tc>
          <w:tcPr>
            <w:tcW w:w="2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7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010802003002</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单开防火玻璃门</w:t>
            </w:r>
          </w:p>
        </w:tc>
        <w:tc>
          <w:tcPr>
            <w:tcW w:w="2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1.门代号及洞口尺寸:1200*2160mm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2.名称:单门防火玻璃平开门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3.门框、扇材质:黑色镜面不锈钢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4.玻璃规格、尺寸:12mm防火钢化玻璃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5.拉手:常用不锈钢拉手450mm长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6.其他:门夹、地弹簧、顶轴（含安装、五金配件）</w:t>
            </w:r>
          </w:p>
        </w:tc>
        <w:tc>
          <w:tcPr>
            <w:tcW w:w="2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4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7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010802003004</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单开防火玻璃门</w:t>
            </w:r>
          </w:p>
        </w:tc>
        <w:tc>
          <w:tcPr>
            <w:tcW w:w="2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1.门代号及洞口尺寸:1280*2000mm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2.名称:单门防火玻璃平开门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3.门框、扇材质:黑色镜面不锈钢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4.玻璃规格、尺寸:12mm防火钢化玻璃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5.拉手:常用不锈钢拉手450mm长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6.其他:门夹、地弹簧、顶轴（含安装、五金配件）</w:t>
            </w:r>
          </w:p>
        </w:tc>
        <w:tc>
          <w:tcPr>
            <w:tcW w:w="2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4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7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010802003005</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单开防火玻璃门</w:t>
            </w:r>
          </w:p>
        </w:tc>
        <w:tc>
          <w:tcPr>
            <w:tcW w:w="2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1.门代号及洞口尺寸:1280*2400mm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2.名称:单门防火玻璃平开门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3.门框、扇材质:黑色镜面不锈钢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4.玻璃规格、尺寸:12mm防火钢化玻璃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5.拉手:常用不锈钢拉手450mm长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6.其他:门夹、地弹簧、顶轴（含安装、五金配件）</w:t>
            </w:r>
          </w:p>
        </w:tc>
        <w:tc>
          <w:tcPr>
            <w:tcW w:w="2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4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7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010802003006</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单开防火玻璃门</w:t>
            </w:r>
          </w:p>
        </w:tc>
        <w:tc>
          <w:tcPr>
            <w:tcW w:w="2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1.门代号及洞口尺寸:1280*2100mm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2.名称:单门防火玻璃平开门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3.门框、扇材质:黑色镜面不锈钢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4.玻璃规格、尺寸:12mm防火钢化玻璃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5.拉手:常用不锈钢拉手450mm长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6.其他:门夹、地弹簧、顶轴（含安装、五金配件）</w:t>
            </w:r>
          </w:p>
        </w:tc>
        <w:tc>
          <w:tcPr>
            <w:tcW w:w="2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4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7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010802001017</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双开防火玻璃门</w:t>
            </w:r>
          </w:p>
        </w:tc>
        <w:tc>
          <w:tcPr>
            <w:tcW w:w="2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1.门代号及洞口尺寸:1940*2180mm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2.名称:双门防火玻璃平开门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3.门框、扇材质:黑色镜面不锈钢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4.玻璃规格、尺寸:12mm防火钢化玻璃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5.拉手:常用不锈钢拉手450mm长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6.其他:门夹、地弹簧、顶轴（含安装、五金配件）</w:t>
            </w:r>
          </w:p>
        </w:tc>
        <w:tc>
          <w:tcPr>
            <w:tcW w:w="2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4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7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010802001018</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双开防火玻璃门</w:t>
            </w:r>
          </w:p>
        </w:tc>
        <w:tc>
          <w:tcPr>
            <w:tcW w:w="2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1.门代号及洞口尺寸:1580*2190mm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2.名称:双门防火玻璃平开门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3.门框、扇材质:黑色镜面不锈钢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4.玻璃规格、尺寸:12mm防火钢化玻璃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5.拉手:常用不锈钢拉手450mm长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6.其他:门夹、地弹簧、顶轴（含安装、五金配件）</w:t>
            </w:r>
          </w:p>
        </w:tc>
        <w:tc>
          <w:tcPr>
            <w:tcW w:w="2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4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7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010802001019</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双开防火玻璃门</w:t>
            </w:r>
          </w:p>
        </w:tc>
        <w:tc>
          <w:tcPr>
            <w:tcW w:w="2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1.门代号及洞口尺寸:2000*2190mm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2.名称:双门防火玻璃平开门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3.门框、扇材质:黑色镜面不锈钢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4.玻璃规格、尺寸:12mm防火钢化玻璃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5.拉手:常用不锈钢拉手450mm长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6.其他:门夹、地弹簧、顶轴（含安装、五金配件）</w:t>
            </w:r>
          </w:p>
        </w:tc>
        <w:tc>
          <w:tcPr>
            <w:tcW w:w="2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4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7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010802001020</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双开防火玻璃门</w:t>
            </w:r>
          </w:p>
        </w:tc>
        <w:tc>
          <w:tcPr>
            <w:tcW w:w="2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1.门代号及洞口尺寸:1790*2300mm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2.名称:双门防火玻璃平开门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3.门框、扇材质:黑色镜面不锈钢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4.玻璃规格、尺寸:12mm防火钢化玻璃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5.拉手:常用不锈钢拉手450mm长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6.其他:门夹、地弹簧、顶轴（含安装、五金配件）</w:t>
            </w:r>
          </w:p>
        </w:tc>
        <w:tc>
          <w:tcPr>
            <w:tcW w:w="2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4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7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010802001021</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双开防火玻璃门</w:t>
            </w:r>
          </w:p>
        </w:tc>
        <w:tc>
          <w:tcPr>
            <w:tcW w:w="2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1.门代号及洞口尺寸:1400*2180mm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2.名称:双门防火玻璃平开门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3.门框、扇材质:黑色镜面不锈钢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4.玻璃规格、尺寸:12mm防火钢化玻璃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5.拉手:常用不锈钢拉手450mm长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6.其他:门夹、地弹簧、顶轴（含安装、五金配件）</w:t>
            </w:r>
          </w:p>
        </w:tc>
        <w:tc>
          <w:tcPr>
            <w:tcW w:w="2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4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7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010802001022</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双开防火玻璃门</w:t>
            </w:r>
          </w:p>
        </w:tc>
        <w:tc>
          <w:tcPr>
            <w:tcW w:w="2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1.门代号及洞口尺寸:1460*2180mm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2.名称:双门防火玻璃平开门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3.门框、扇材质:黑色镜面不锈钢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4.玻璃规格、尺寸:12mm防火钢化玻璃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5.拉手:常用不锈钢拉手450mm长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6.其他:门夹、地弹簧、顶轴（含安装、五金配件）</w:t>
            </w:r>
          </w:p>
        </w:tc>
        <w:tc>
          <w:tcPr>
            <w:tcW w:w="2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4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7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010802001023</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双开防火玻璃门</w:t>
            </w:r>
          </w:p>
        </w:tc>
        <w:tc>
          <w:tcPr>
            <w:tcW w:w="2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1.门代号及洞口尺寸:1590*2200mm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2.名称:双门防火玻璃平开门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3.门框、扇材质:黑色镜面不锈钢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4.玻璃规格、尺寸:12mm防火钢化玻璃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5.拉手:常用不锈钢拉手450mm长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6.其他:门夹、地弹簧、顶轴（含安装、五金配件）</w:t>
            </w:r>
          </w:p>
        </w:tc>
        <w:tc>
          <w:tcPr>
            <w:tcW w:w="2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4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G2栋</w:t>
            </w:r>
          </w:p>
        </w:tc>
        <w:tc>
          <w:tcPr>
            <w:tcW w:w="2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7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010802001006</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双开防火玻璃门</w:t>
            </w:r>
          </w:p>
        </w:tc>
        <w:tc>
          <w:tcPr>
            <w:tcW w:w="2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1.门代号及洞口尺寸:2000*2280mm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2.名称:双门防火玻璃平开门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3.门框、扇材质:黑色镜面不锈钢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4.玻璃规格、尺寸:12mm防火钢化玻璃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5.拉手:常用不锈钢拉手450mm长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6.其他:门夹、地弹簧、顶轴（含安装、五金配件）</w:t>
            </w:r>
          </w:p>
        </w:tc>
        <w:tc>
          <w:tcPr>
            <w:tcW w:w="2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4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G3栋</w:t>
            </w:r>
          </w:p>
        </w:tc>
        <w:tc>
          <w:tcPr>
            <w:tcW w:w="2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7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010802001007</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双开防火玻璃门</w:t>
            </w:r>
          </w:p>
        </w:tc>
        <w:tc>
          <w:tcPr>
            <w:tcW w:w="2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1.门代号及洞口尺寸:2000*2280mm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2.名称:双门防火玻璃平开门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3.门框、扇材质:黑色镜面不锈钢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4.玻璃规格、尺寸:12mm防火钢化玻璃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5.拉手:常用不锈钢拉手450mm长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6.其他:门夹、地弹簧、顶轴（含安装、五金配件）</w:t>
            </w:r>
          </w:p>
        </w:tc>
        <w:tc>
          <w:tcPr>
            <w:tcW w:w="2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4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G4栋</w:t>
            </w:r>
          </w:p>
        </w:tc>
        <w:tc>
          <w:tcPr>
            <w:tcW w:w="2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7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010802003007</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单开防火玻璃门</w:t>
            </w:r>
          </w:p>
        </w:tc>
        <w:tc>
          <w:tcPr>
            <w:tcW w:w="2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1.门代号及洞口尺寸:1100*2280mm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2.名称:单门防火玻璃平开门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3.门框、扇材质:黑色镜面不锈钢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4.玻璃规格、尺寸:12mm防火钢化玻璃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5.拉手:常用不锈钢拉手450mm长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6.其他:门夹、地弹簧、顶轴（含安装、五金配件）</w:t>
            </w:r>
          </w:p>
        </w:tc>
        <w:tc>
          <w:tcPr>
            <w:tcW w:w="2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4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7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010802003008</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单开防火玻璃门</w:t>
            </w:r>
          </w:p>
        </w:tc>
        <w:tc>
          <w:tcPr>
            <w:tcW w:w="2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1.门代号及洞口尺寸:1200*2280mm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2.名称:单门防火玻璃平开门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3.门框、扇材质:黑色镜面不锈钢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4.玻璃规格、尺寸:12mm防火钢化玻璃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5.拉手:常用不锈钢拉手450mm长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6.其他:门夹、地弹簧、顶轴（含安装、五金配件）</w:t>
            </w:r>
          </w:p>
        </w:tc>
        <w:tc>
          <w:tcPr>
            <w:tcW w:w="2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4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7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010802001024</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双开防火玻璃门</w:t>
            </w:r>
          </w:p>
        </w:tc>
        <w:tc>
          <w:tcPr>
            <w:tcW w:w="2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1.门代号及洞口尺寸:1500*2280mm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2.名称:双门防火玻璃平开门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3.门框、扇材质:黑色镜面不锈钢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4.玻璃规格、尺寸:12mm防火钢化玻璃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5.拉手:常用不锈钢拉手450mm长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6.其他:门夹、地弹簧、顶轴（含安装、五金配件）</w:t>
            </w:r>
          </w:p>
        </w:tc>
        <w:tc>
          <w:tcPr>
            <w:tcW w:w="2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4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7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010802001025</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双开防火玻璃门</w:t>
            </w:r>
          </w:p>
        </w:tc>
        <w:tc>
          <w:tcPr>
            <w:tcW w:w="2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1.门代号及洞口尺寸:1500*2180mm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2.名称:双门防火玻璃平开门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3.门框、扇材质:黑色镜面不锈钢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4.玻璃规格、尺寸:12mm防火钢化玻璃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5.拉手:常用不锈钢拉手450mm长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6.其他:门夹、地弹簧、顶轴（含安装、五金配件）</w:t>
            </w:r>
          </w:p>
        </w:tc>
        <w:tc>
          <w:tcPr>
            <w:tcW w:w="2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4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H1栋</w:t>
            </w:r>
          </w:p>
        </w:tc>
        <w:tc>
          <w:tcPr>
            <w:tcW w:w="2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7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010802001026</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双开防火玻璃门</w:t>
            </w:r>
          </w:p>
        </w:tc>
        <w:tc>
          <w:tcPr>
            <w:tcW w:w="2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1.门代号及洞口尺寸:1500*2280mm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2.名称:双门防火玻璃平开门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3.门框、扇材质:黑色镜面不锈钢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4.玻璃规格、尺寸:12mm防火钢化玻璃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5.拉手:常用不锈钢拉手450mm长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6.其他:门夹、地弹簧、顶轴（含安装、五金配件）</w:t>
            </w:r>
          </w:p>
        </w:tc>
        <w:tc>
          <w:tcPr>
            <w:tcW w:w="2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4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H2栋</w:t>
            </w:r>
          </w:p>
        </w:tc>
        <w:tc>
          <w:tcPr>
            <w:tcW w:w="2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7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010802001027</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双开防火玻璃门</w:t>
            </w:r>
          </w:p>
        </w:tc>
        <w:tc>
          <w:tcPr>
            <w:tcW w:w="2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1.门代号及洞口尺寸:1500*2280mm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2.名称:双门防火玻璃平开门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3.门框、扇材质:黑色镜面不锈钢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4.玻璃规格、尺寸:12mm防火钢化玻璃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5.拉手:常用不锈钢拉手450mm长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6.其他:门夹、地弹簧、顶轴（含安装、五金配件）</w:t>
            </w:r>
          </w:p>
        </w:tc>
        <w:tc>
          <w:tcPr>
            <w:tcW w:w="2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4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7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010802001012</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金属(塑钢)门</w:t>
            </w:r>
          </w:p>
        </w:tc>
        <w:tc>
          <w:tcPr>
            <w:tcW w:w="2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1.门代号及洞口尺寸:3000*2080mm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2.门框或扇外围尺寸:黑色镜面不锈钢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3.玻璃品种、厚度:12mm防火钢化玻璃</w:t>
            </w:r>
          </w:p>
        </w:tc>
        <w:tc>
          <w:tcPr>
            <w:tcW w:w="2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4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7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010802001029</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金属(塑钢)门</w:t>
            </w:r>
          </w:p>
        </w:tc>
        <w:tc>
          <w:tcPr>
            <w:tcW w:w="2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1.门代号及洞口尺寸:2680*2080mm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2.门框或扇外围尺寸:黑色镜面不锈钢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3.玻璃品种、厚度:12mm防火钢化玻璃</w:t>
            </w:r>
          </w:p>
        </w:tc>
        <w:tc>
          <w:tcPr>
            <w:tcW w:w="2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4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H3栋</w:t>
            </w:r>
          </w:p>
        </w:tc>
        <w:tc>
          <w:tcPr>
            <w:tcW w:w="2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7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010802001028</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双开防火玻璃门</w:t>
            </w:r>
          </w:p>
        </w:tc>
        <w:tc>
          <w:tcPr>
            <w:tcW w:w="2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1.门代号及洞口尺寸:1800*2280mm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2.名称:双门防火玻璃平开门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3.门框、扇材质:黑色镜面不锈钢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4.玻璃规格、尺寸:12mm防火钢化玻璃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5.拉手:常用不锈钢拉手450mm长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6.其他:门夹、地弹簧、顶轴（含安装、五金配件）</w:t>
            </w:r>
          </w:p>
        </w:tc>
        <w:tc>
          <w:tcPr>
            <w:tcW w:w="2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4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7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010802001013</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金属(塑钢)门</w:t>
            </w:r>
          </w:p>
        </w:tc>
        <w:tc>
          <w:tcPr>
            <w:tcW w:w="2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1.门代号及洞口尺寸:双门防火玻璃平开门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2.门框或扇外围尺寸:黑色镜面不锈钢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3.玻璃品种、厚度:12mm防火钢化玻璃</w:t>
            </w:r>
          </w:p>
        </w:tc>
        <w:tc>
          <w:tcPr>
            <w:tcW w:w="2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4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平移电动玻璃门门</w:t>
            </w:r>
          </w:p>
        </w:tc>
        <w:tc>
          <w:tcPr>
            <w:tcW w:w="2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7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010805001001</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自动门电机(双开)</w:t>
            </w:r>
          </w:p>
        </w:tc>
        <w:tc>
          <w:tcPr>
            <w:tcW w:w="2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1.自动门电机(双开)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2.门代号及洞口尺寸:4940*3580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3.参数设置:1)门扇重量:2*150KG 2)门扇宽度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:2600-5000mm 3)净空结构宽度:2600-5000mm 4)安装方式:表面安装5)电源电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压:AC220V 50HZ 6)开门运行速度:15-46cm/s(可调);7)开门运行速度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:13-46cm/s(可调);8)开放时间:0-20s(可调)9)手动推力:10)电机:DC24V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65W"</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4.门框、扇材质:内焊铁樑外不锈钢包边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5.玻璃品种、厚度:钢玻璃10cm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6.其他:内含自动门电机(双开)</w:t>
            </w:r>
          </w:p>
        </w:tc>
        <w:tc>
          <w:tcPr>
            <w:tcW w:w="2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樘</w:t>
            </w:r>
          </w:p>
        </w:tc>
        <w:tc>
          <w:tcPr>
            <w:tcW w:w="4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7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010805001002</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自动门电机(双开)</w:t>
            </w:r>
          </w:p>
        </w:tc>
        <w:tc>
          <w:tcPr>
            <w:tcW w:w="2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1.自动门电机(双开)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2.门代号及洞口尺寸:5940*3600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3.参数设置:1)门扇重量:2*150KG 2)门扇宽度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:2600-5000mm 3)净空结构宽度:2600-5000mm 4)安装方式:表面安装5)电源电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压:AC220V 50HZ 6)开门运行速度:15-46cm/s(可调);7)开门运行速度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:13-46cm/s(可调);8)开放时间:0-20s(可调)9)手动推力:10)电机:DC24V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65W"</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4.门框、扇材质:内焊铁樑外不锈钢包边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5.玻璃品种、厚度:钢玻璃10cm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6.其他:内含自动门电机(双开)、重叠门配件</w:t>
            </w:r>
          </w:p>
        </w:tc>
        <w:tc>
          <w:tcPr>
            <w:tcW w:w="2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樘</w:t>
            </w:r>
          </w:p>
        </w:tc>
        <w:tc>
          <w:tcPr>
            <w:tcW w:w="4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7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010805001003</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自动门电机(双开)</w:t>
            </w:r>
          </w:p>
        </w:tc>
        <w:tc>
          <w:tcPr>
            <w:tcW w:w="2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1.自动门电机(双开)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2.门代号及洞口尺寸:4940*3180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3.参数设置:1)门扇重量:2*150KG 2)门扇宽度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:2600-5000mm 3)净空结构宽度:2600-5000mm 4)安装方式:表面安装5)电源电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自动门电机(双开)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压:AC220V 50HZ 6)开门运行速度:15-46cm/s(可调);7)开门运行速度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:13-46cm/s(可调);8)开放时间:0-20s(可调)9)手动推力:10)电机:DC24V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65W"</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4.门框、扇材质:内焊铁樑外不锈钢包边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5.玻璃品种、厚度:钢玻璃10cm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6.其他:内含自动门电机(双开)</w:t>
            </w:r>
          </w:p>
        </w:tc>
        <w:tc>
          <w:tcPr>
            <w:tcW w:w="2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樘</w:t>
            </w:r>
          </w:p>
        </w:tc>
        <w:tc>
          <w:tcPr>
            <w:tcW w:w="4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拆除、修补</w:t>
            </w:r>
          </w:p>
        </w:tc>
        <w:tc>
          <w:tcPr>
            <w:tcW w:w="2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7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011610001001</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防火门拆除（单樘2.5m2内）</w:t>
            </w:r>
          </w:p>
        </w:tc>
        <w:tc>
          <w:tcPr>
            <w:tcW w:w="2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1.部位:A3、A4、A5栋；E2区B；B1、B2、D1、G2、G3栋；G4栋；E2区A塔；H1、H2、H3栋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2.拆除原有防火门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3.单樘尺寸2.5m2内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4.需拆除原有门页、门框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5.运距:</w:t>
            </w:r>
            <w:r>
              <w:rPr>
                <w:rFonts w:hint="eastAsia"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0km</w:t>
            </w:r>
          </w:p>
        </w:tc>
        <w:tc>
          <w:tcPr>
            <w:tcW w:w="2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4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7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011610001005</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防火门拆除（单樘2.5~4m2）</w:t>
            </w:r>
          </w:p>
        </w:tc>
        <w:tc>
          <w:tcPr>
            <w:tcW w:w="2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1.部位:A3、A4、A5栋；E2区B；B1、B2、D1、G2、G3栋；G4栋；E2区A塔；H1、H2、H3栋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2.拆除原有防火门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3.单樘尺寸2.5~4m2</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4.需拆除原有门页、门框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5.运距:</w:t>
            </w:r>
            <w:r>
              <w:rPr>
                <w:rFonts w:hint="eastAsia"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0km</w:t>
            </w:r>
          </w:p>
        </w:tc>
        <w:tc>
          <w:tcPr>
            <w:tcW w:w="2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4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7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011610001002</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防火门拆除（单樘大于4m2）</w:t>
            </w:r>
          </w:p>
        </w:tc>
        <w:tc>
          <w:tcPr>
            <w:tcW w:w="2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1.部位:A3、A4、A5栋；E2区B；B1、B2、D1、G2、G3栋；G4栋；E2区A塔；H1、H2、H3栋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2.拆除原有防火门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3.单樘尺寸超过4m2</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4.需拆除原有门页、门框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5.运距:</w:t>
            </w:r>
            <w:r>
              <w:rPr>
                <w:rFonts w:hint="eastAsia"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0km</w:t>
            </w:r>
          </w:p>
        </w:tc>
        <w:tc>
          <w:tcPr>
            <w:tcW w:w="2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4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77.12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7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011610001003</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玻璃门拆除（单樘大于4m2）</w:t>
            </w:r>
          </w:p>
        </w:tc>
        <w:tc>
          <w:tcPr>
            <w:tcW w:w="2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1.部位:G4栋一层；G4栋二层；G4栋二十层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2.原有玻璃门拆除</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3.门窗尺寸超过4m2</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4.需拆除原有玻璃门框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5.运距:</w:t>
            </w:r>
            <w:r>
              <w:rPr>
                <w:rFonts w:hint="eastAsia"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0km</w:t>
            </w:r>
          </w:p>
        </w:tc>
        <w:tc>
          <w:tcPr>
            <w:tcW w:w="2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4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7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011201001001</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墙面一般抹灰</w:t>
            </w:r>
          </w:p>
        </w:tc>
        <w:tc>
          <w:tcPr>
            <w:tcW w:w="2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1.墙体类型:内墙</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2.厚度、砂浆配合比:20厚M15水泥砂浆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3.部位:拆门后修补墙壁</w:t>
            </w:r>
          </w:p>
        </w:tc>
        <w:tc>
          <w:tcPr>
            <w:tcW w:w="2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4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7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011102001001</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石材楼地面</w:t>
            </w:r>
          </w:p>
        </w:tc>
        <w:tc>
          <w:tcPr>
            <w:tcW w:w="2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1.名称:石材楼地面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2.工程部位:门洞处大理石修补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3.找平层厚度、砂浆配合比:基层：1:3水泥砂浆30mm厚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4.面层材料品种、规格、颜色:30mm厚大理石</w:t>
            </w:r>
          </w:p>
        </w:tc>
        <w:tc>
          <w:tcPr>
            <w:tcW w:w="2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4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18.65</w:t>
            </w:r>
          </w:p>
        </w:tc>
      </w:tr>
    </w:tbl>
    <w:p>
      <w:pPr>
        <w:pStyle w:val="2"/>
        <w:rPr>
          <w:rFonts w:hAnsi="宋体" w:cs="宋体"/>
          <w:color w:val="auto"/>
          <w:sz w:val="21"/>
          <w:szCs w:val="21"/>
          <w:highlight w:val="none"/>
        </w:rPr>
      </w:pPr>
    </w:p>
    <w:p>
      <w:pPr>
        <w:pStyle w:val="7"/>
        <w:rPr>
          <w:rFonts w:hAnsi="宋体" w:cs="宋体"/>
          <w:b/>
          <w:bCs/>
          <w:color w:val="auto"/>
          <w:sz w:val="21"/>
          <w:szCs w:val="21"/>
          <w:highlight w:val="none"/>
        </w:rPr>
      </w:pPr>
      <w:r>
        <w:rPr>
          <w:rFonts w:hint="eastAsia" w:hAnsi="宋体" w:cs="宋体"/>
          <w:b/>
          <w:bCs/>
          <w:color w:val="auto"/>
          <w:sz w:val="21"/>
          <w:szCs w:val="21"/>
          <w:highlight w:val="none"/>
        </w:rPr>
        <w:t>三、</w:t>
      </w:r>
      <w:r>
        <w:rPr>
          <w:rFonts w:hint="eastAsia" w:hAnsi="宋体" w:cs="宋体"/>
          <w:b/>
          <w:bCs/>
          <w:color w:val="auto"/>
          <w:sz w:val="21"/>
          <w:szCs w:val="21"/>
          <w:highlight w:val="none"/>
          <w:lang w:val="zh-CN"/>
        </w:rPr>
        <w:t>采购设备</w:t>
      </w:r>
      <w:r>
        <w:rPr>
          <w:rFonts w:hint="eastAsia" w:hAnsi="宋体" w:cs="宋体"/>
          <w:b/>
          <w:bCs/>
          <w:color w:val="auto"/>
          <w:sz w:val="21"/>
          <w:szCs w:val="21"/>
          <w:highlight w:val="none"/>
        </w:rPr>
        <w:t>技术参数要求</w:t>
      </w:r>
    </w:p>
    <w:p>
      <w:pPr>
        <w:pStyle w:val="8"/>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3.1、单机芯摆闸</w:t>
      </w:r>
    </w:p>
    <w:tbl>
      <w:tblPr>
        <w:tblStyle w:val="52"/>
        <w:tblW w:w="4998" w:type="pct"/>
        <w:tblInd w:w="0" w:type="dxa"/>
        <w:tblLayout w:type="autofit"/>
        <w:tblCellMar>
          <w:top w:w="0" w:type="dxa"/>
          <w:left w:w="108" w:type="dxa"/>
          <w:bottom w:w="0" w:type="dxa"/>
          <w:right w:w="108" w:type="dxa"/>
        </w:tblCellMar>
      </w:tblPr>
      <w:tblGrid>
        <w:gridCol w:w="1012"/>
        <w:gridCol w:w="8288"/>
      </w:tblGrid>
      <w:tr>
        <w:tblPrEx>
          <w:tblCellMar>
            <w:top w:w="0" w:type="dxa"/>
            <w:left w:w="108" w:type="dxa"/>
            <w:bottom w:w="0" w:type="dxa"/>
            <w:right w:w="108" w:type="dxa"/>
          </w:tblCellMar>
        </w:tblPrEx>
        <w:trPr>
          <w:trHeight w:val="70"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b/>
                <w:bCs/>
                <w:color w:val="auto"/>
                <w:sz w:val="21"/>
                <w:szCs w:val="21"/>
                <w:highlight w:val="none"/>
                <w:lang w:bidi="ar"/>
              </w:rPr>
            </w:pPr>
            <w:r>
              <w:rPr>
                <w:rFonts w:hint="eastAsia" w:hAnsi="宋体" w:cs="宋体"/>
                <w:b/>
                <w:bCs/>
                <w:color w:val="auto"/>
                <w:sz w:val="21"/>
                <w:szCs w:val="21"/>
                <w:highlight w:val="none"/>
                <w:lang w:bidi="ar"/>
              </w:rPr>
              <w:t>序号</w:t>
            </w:r>
          </w:p>
        </w:tc>
        <w:tc>
          <w:tcPr>
            <w:tcW w:w="4456" w:type="pct"/>
            <w:tcBorders>
              <w:top w:val="single" w:color="auto" w:sz="4" w:space="0"/>
              <w:left w:val="nil"/>
              <w:bottom w:val="single" w:color="auto" w:sz="4" w:space="0"/>
              <w:right w:val="single" w:color="auto" w:sz="4" w:space="0"/>
            </w:tcBorders>
            <w:vAlign w:val="center"/>
          </w:tcPr>
          <w:p>
            <w:pPr>
              <w:jc w:val="center"/>
              <w:rPr>
                <w:rFonts w:hAnsi="宋体" w:cs="宋体"/>
                <w:b/>
                <w:bCs/>
                <w:color w:val="auto"/>
                <w:sz w:val="21"/>
                <w:szCs w:val="21"/>
                <w:highlight w:val="none"/>
                <w:lang w:bidi="ar"/>
              </w:rPr>
            </w:pPr>
            <w:r>
              <w:rPr>
                <w:rFonts w:hint="eastAsia" w:hAnsi="宋体" w:cs="宋体"/>
                <w:b/>
                <w:bCs/>
                <w:color w:val="auto"/>
                <w:sz w:val="21"/>
                <w:szCs w:val="21"/>
                <w:highlight w:val="none"/>
                <w:lang w:bidi="ar"/>
              </w:rPr>
              <w:t>技术规格参数</w:t>
            </w:r>
          </w:p>
        </w:tc>
      </w:tr>
      <w:tr>
        <w:tblPrEx>
          <w:tblCellMar>
            <w:top w:w="0" w:type="dxa"/>
            <w:left w:w="108" w:type="dxa"/>
            <w:bottom w:w="0" w:type="dxa"/>
            <w:right w:w="108" w:type="dxa"/>
          </w:tblCellMar>
        </w:tblPrEx>
        <w:trPr>
          <w:trHeight w:val="72"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w:t>
            </w:r>
          </w:p>
        </w:tc>
        <w:tc>
          <w:tcPr>
            <w:tcW w:w="4456" w:type="pct"/>
            <w:tcBorders>
              <w:top w:val="single" w:color="auto" w:sz="4" w:space="0"/>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具有故障自检和报警提示功能，方便用户维护及使用；</w:t>
            </w:r>
          </w:p>
        </w:tc>
      </w:tr>
      <w:tr>
        <w:tblPrEx>
          <w:tblCellMar>
            <w:top w:w="0" w:type="dxa"/>
            <w:left w:w="108" w:type="dxa"/>
            <w:bottom w:w="0" w:type="dxa"/>
            <w:right w:w="108" w:type="dxa"/>
          </w:tblCellMar>
        </w:tblPrEx>
        <w:trPr>
          <w:trHeight w:val="70"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2</w:t>
            </w:r>
          </w:p>
        </w:tc>
        <w:tc>
          <w:tcPr>
            <w:tcW w:w="4456"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具有断电自动打开,来电自检并自动恢复在加锁状态</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3</w:t>
            </w:r>
          </w:p>
        </w:tc>
        <w:tc>
          <w:tcPr>
            <w:tcW w:w="4456"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具有多种工作模式可供选择，即可双向读卡，也可一边读卡、另一方向禁行，一边读卡、另一方向自由通行，且闸机工作模式可通过主板菜单进行设定</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4</w:t>
            </w:r>
          </w:p>
        </w:tc>
        <w:tc>
          <w:tcPr>
            <w:tcW w:w="4456"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当行人读有效卡通行后,红外检测到行人通行完毕自动关闸或行人通行后延时关闸,延时10秒可通过主板菜单自行设定</w:t>
            </w:r>
          </w:p>
        </w:tc>
      </w:tr>
      <w:tr>
        <w:tblPrEx>
          <w:tblCellMar>
            <w:top w:w="0" w:type="dxa"/>
            <w:left w:w="108" w:type="dxa"/>
            <w:bottom w:w="0" w:type="dxa"/>
            <w:right w:w="108" w:type="dxa"/>
          </w:tblCellMar>
        </w:tblPrEx>
        <w:trPr>
          <w:trHeight w:val="276"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5</w:t>
            </w:r>
          </w:p>
        </w:tc>
        <w:tc>
          <w:tcPr>
            <w:tcW w:w="4456" w:type="pct"/>
            <w:tcBorders>
              <w:top w:val="single" w:color="auto" w:sz="4" w:space="0"/>
              <w:left w:val="single" w:color="auto" w:sz="4" w:space="0"/>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具有自动复位功能。当读有效卡后，通行者在规定的时间内未通行时，系统将自动取消通行者的本次通行权限，且限制的通行时间可由管理人员自行设定</w:t>
            </w:r>
          </w:p>
        </w:tc>
      </w:tr>
      <w:tr>
        <w:tblPrEx>
          <w:tblCellMar>
            <w:top w:w="0" w:type="dxa"/>
            <w:left w:w="108" w:type="dxa"/>
            <w:bottom w:w="0" w:type="dxa"/>
            <w:right w:w="108" w:type="dxa"/>
          </w:tblCellMar>
        </w:tblPrEx>
        <w:trPr>
          <w:trHeight w:val="276"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6</w:t>
            </w:r>
          </w:p>
        </w:tc>
        <w:tc>
          <w:tcPr>
            <w:tcW w:w="4456" w:type="pct"/>
            <w:tcBorders>
              <w:top w:val="single" w:color="auto" w:sz="4" w:space="0"/>
              <w:left w:val="single" w:color="auto" w:sz="4" w:space="0"/>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防冲功能，在没有接收到开闸信号时，摆臂自动锁死</w:t>
            </w:r>
          </w:p>
        </w:tc>
      </w:tr>
      <w:tr>
        <w:tblPrEx>
          <w:tblCellMar>
            <w:top w:w="0" w:type="dxa"/>
            <w:left w:w="108" w:type="dxa"/>
            <w:bottom w:w="0" w:type="dxa"/>
            <w:right w:w="108" w:type="dxa"/>
          </w:tblCellMar>
        </w:tblPrEx>
        <w:trPr>
          <w:trHeight w:val="276"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7</w:t>
            </w:r>
          </w:p>
        </w:tc>
        <w:tc>
          <w:tcPr>
            <w:tcW w:w="4456" w:type="pct"/>
            <w:tcBorders>
              <w:top w:val="single" w:color="auto" w:sz="4" w:space="0"/>
              <w:left w:val="single" w:color="auto" w:sz="4" w:space="0"/>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机械防夹功能，在摆臂复位的过程中遇阻时，自动反弹或在规定的时间内电机自动停止工作，且力度很小，同时发出报警信号</w:t>
            </w:r>
          </w:p>
        </w:tc>
      </w:tr>
      <w:tr>
        <w:tblPrEx>
          <w:tblCellMar>
            <w:top w:w="0" w:type="dxa"/>
            <w:left w:w="108" w:type="dxa"/>
            <w:bottom w:w="0" w:type="dxa"/>
            <w:right w:w="108" w:type="dxa"/>
          </w:tblCellMar>
        </w:tblPrEx>
        <w:trPr>
          <w:trHeight w:val="445"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8</w:t>
            </w:r>
          </w:p>
        </w:tc>
        <w:tc>
          <w:tcPr>
            <w:tcW w:w="4456" w:type="pct"/>
            <w:tcBorders>
              <w:top w:val="single" w:color="auto" w:sz="4" w:space="0"/>
              <w:left w:val="single" w:color="auto" w:sz="4" w:space="0"/>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具有统一、标准的对外电气接口，可与各种读写设备相挂接，便于系统集成，并可通过管理计算机实现远程控制与管理</w:t>
            </w:r>
          </w:p>
        </w:tc>
      </w:tr>
      <w:tr>
        <w:tblPrEx>
          <w:tblCellMar>
            <w:top w:w="0" w:type="dxa"/>
            <w:left w:w="108" w:type="dxa"/>
            <w:bottom w:w="0" w:type="dxa"/>
            <w:right w:w="108" w:type="dxa"/>
          </w:tblCellMar>
        </w:tblPrEx>
        <w:trPr>
          <w:trHeight w:val="90"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9</w:t>
            </w:r>
          </w:p>
        </w:tc>
        <w:tc>
          <w:tcPr>
            <w:tcW w:w="4456" w:type="pct"/>
            <w:tcBorders>
              <w:top w:val="single" w:color="auto" w:sz="4" w:space="0"/>
              <w:left w:val="single" w:color="auto" w:sz="4" w:space="0"/>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可自动对通行方向的通行人数进行统计，并以直观的LED（选装）方式呈现给管理者，使管理者对某方向的通行人数了如指掌</w:t>
            </w:r>
          </w:p>
        </w:tc>
      </w:tr>
      <w:tr>
        <w:tblPrEx>
          <w:tblCellMar>
            <w:top w:w="0" w:type="dxa"/>
            <w:left w:w="108" w:type="dxa"/>
            <w:bottom w:w="0" w:type="dxa"/>
            <w:right w:w="108" w:type="dxa"/>
          </w:tblCellMar>
        </w:tblPrEx>
        <w:trPr>
          <w:trHeight w:val="56"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10</w:t>
            </w:r>
          </w:p>
        </w:tc>
        <w:tc>
          <w:tcPr>
            <w:tcW w:w="4456" w:type="pct"/>
            <w:tcBorders>
              <w:top w:val="single" w:color="auto" w:sz="4" w:space="0"/>
              <w:left w:val="single" w:color="auto" w:sz="4" w:space="0"/>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具有明确的通行方向指示功能，以直观的LED通行者指示可以通行还是禁止通行</w:t>
            </w:r>
          </w:p>
        </w:tc>
      </w:tr>
      <w:tr>
        <w:tblPrEx>
          <w:tblCellMar>
            <w:top w:w="0" w:type="dxa"/>
            <w:left w:w="108" w:type="dxa"/>
            <w:bottom w:w="0" w:type="dxa"/>
            <w:right w:w="108" w:type="dxa"/>
          </w:tblCellMar>
        </w:tblPrEx>
        <w:trPr>
          <w:trHeight w:val="276"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11</w:t>
            </w:r>
          </w:p>
        </w:tc>
        <w:tc>
          <w:tcPr>
            <w:tcW w:w="4456" w:type="pct"/>
            <w:tcBorders>
              <w:top w:val="single" w:color="auto" w:sz="4" w:space="0"/>
              <w:left w:val="single" w:color="auto" w:sz="4" w:space="0"/>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具有读卡带记忆和不带记忆功能，且用户可根据自己的需要通过主板键盘进行设定</w:t>
            </w:r>
          </w:p>
        </w:tc>
      </w:tr>
      <w:tr>
        <w:tblPrEx>
          <w:tblCellMar>
            <w:top w:w="0" w:type="dxa"/>
            <w:left w:w="108" w:type="dxa"/>
            <w:bottom w:w="0" w:type="dxa"/>
            <w:right w:w="108" w:type="dxa"/>
          </w:tblCellMar>
        </w:tblPrEx>
        <w:trPr>
          <w:trHeight w:val="276"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12</w:t>
            </w:r>
          </w:p>
        </w:tc>
        <w:tc>
          <w:tcPr>
            <w:tcW w:w="4456" w:type="pct"/>
            <w:tcBorders>
              <w:top w:val="single" w:color="auto" w:sz="4" w:space="0"/>
              <w:left w:val="single" w:color="auto" w:sz="4" w:space="0"/>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通过软件设定，可限制场所内部的人员总数，以满足一些特殊场合的特殊需求</w:t>
            </w:r>
          </w:p>
        </w:tc>
      </w:tr>
      <w:tr>
        <w:tblPrEx>
          <w:tblCellMar>
            <w:top w:w="0" w:type="dxa"/>
            <w:left w:w="108" w:type="dxa"/>
            <w:bottom w:w="0" w:type="dxa"/>
            <w:right w:w="108" w:type="dxa"/>
          </w:tblCellMar>
        </w:tblPrEx>
        <w:trPr>
          <w:trHeight w:val="276"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13</w:t>
            </w:r>
          </w:p>
        </w:tc>
        <w:tc>
          <w:tcPr>
            <w:tcW w:w="4456" w:type="pct"/>
            <w:tcBorders>
              <w:top w:val="single" w:color="auto" w:sz="4" w:space="0"/>
              <w:left w:val="single" w:color="auto" w:sz="4" w:space="0"/>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支持遥控器远程控制闸机开门、关门、常开等操作</w:t>
            </w:r>
          </w:p>
        </w:tc>
      </w:tr>
      <w:tr>
        <w:tblPrEx>
          <w:tblCellMar>
            <w:top w:w="0" w:type="dxa"/>
            <w:left w:w="108" w:type="dxa"/>
            <w:bottom w:w="0" w:type="dxa"/>
            <w:right w:w="108" w:type="dxa"/>
          </w:tblCellMar>
        </w:tblPrEx>
        <w:trPr>
          <w:trHeight w:val="276"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14</w:t>
            </w:r>
          </w:p>
        </w:tc>
        <w:tc>
          <w:tcPr>
            <w:tcW w:w="4456" w:type="pct"/>
            <w:tcBorders>
              <w:top w:val="single" w:color="auto" w:sz="4" w:space="0"/>
              <w:left w:val="single" w:color="auto" w:sz="4" w:space="0"/>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通行速率：30-60人/分钟，受人员情况和通行模式影响</w:t>
            </w:r>
          </w:p>
        </w:tc>
      </w:tr>
      <w:tr>
        <w:tblPrEx>
          <w:tblCellMar>
            <w:top w:w="0" w:type="dxa"/>
            <w:left w:w="108" w:type="dxa"/>
            <w:bottom w:w="0" w:type="dxa"/>
            <w:right w:w="108" w:type="dxa"/>
          </w:tblCellMar>
        </w:tblPrEx>
        <w:trPr>
          <w:trHeight w:val="376"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15</w:t>
            </w:r>
          </w:p>
        </w:tc>
        <w:tc>
          <w:tcPr>
            <w:tcW w:w="4456" w:type="pct"/>
            <w:tcBorders>
              <w:top w:val="single" w:color="auto" w:sz="4" w:space="0"/>
              <w:left w:val="single" w:color="auto" w:sz="4" w:space="0"/>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箱体材质：SUS304拉丝不锈钢</w:t>
            </w:r>
          </w:p>
        </w:tc>
      </w:tr>
      <w:tr>
        <w:tblPrEx>
          <w:tblCellMar>
            <w:top w:w="0" w:type="dxa"/>
            <w:left w:w="108" w:type="dxa"/>
            <w:bottom w:w="0" w:type="dxa"/>
            <w:right w:w="108" w:type="dxa"/>
          </w:tblCellMar>
        </w:tblPrEx>
        <w:trPr>
          <w:trHeight w:val="70"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16</w:t>
            </w:r>
          </w:p>
        </w:tc>
        <w:tc>
          <w:tcPr>
            <w:tcW w:w="4456" w:type="pct"/>
            <w:tcBorders>
              <w:top w:val="single" w:color="auto" w:sz="4" w:space="0"/>
              <w:left w:val="single" w:color="auto" w:sz="4" w:space="0"/>
              <w:bottom w:val="single" w:color="auto" w:sz="4" w:space="0"/>
              <w:right w:val="single" w:color="auto" w:sz="4" w:space="0"/>
            </w:tcBorders>
            <w:vAlign w:val="center"/>
          </w:tcPr>
          <w:p>
            <w:pPr>
              <w:pStyle w:val="2"/>
              <w:jc w:val="both"/>
              <w:rPr>
                <w:rFonts w:hAnsi="宋体" w:cs="宋体"/>
                <w:bCs w:val="0"/>
                <w:color w:val="auto"/>
                <w:sz w:val="21"/>
                <w:szCs w:val="21"/>
                <w:highlight w:val="none"/>
                <w:lang w:bidi="ar"/>
              </w:rPr>
            </w:pPr>
            <w:r>
              <w:rPr>
                <w:rFonts w:hint="eastAsia" w:hAnsi="宋体" w:cs="宋体"/>
                <w:bCs w:val="0"/>
                <w:color w:val="auto"/>
                <w:sz w:val="21"/>
                <w:szCs w:val="21"/>
                <w:highlight w:val="none"/>
                <w:lang w:bidi="ar"/>
              </w:rPr>
              <w:t>门翼材质：亚克力</w:t>
            </w:r>
          </w:p>
        </w:tc>
      </w:tr>
      <w:tr>
        <w:tblPrEx>
          <w:tblCellMar>
            <w:top w:w="0" w:type="dxa"/>
            <w:left w:w="108" w:type="dxa"/>
            <w:bottom w:w="0" w:type="dxa"/>
            <w:right w:w="108" w:type="dxa"/>
          </w:tblCellMar>
        </w:tblPrEx>
        <w:trPr>
          <w:trHeight w:val="276"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17</w:t>
            </w:r>
          </w:p>
        </w:tc>
        <w:tc>
          <w:tcPr>
            <w:tcW w:w="4456" w:type="pct"/>
            <w:tcBorders>
              <w:top w:val="single" w:color="auto" w:sz="4" w:space="0"/>
              <w:left w:val="single" w:color="auto" w:sz="4" w:space="0"/>
              <w:bottom w:val="single" w:color="auto" w:sz="4" w:space="0"/>
              <w:right w:val="single" w:color="auto" w:sz="4" w:space="0"/>
            </w:tcBorders>
            <w:vAlign w:val="center"/>
          </w:tcPr>
          <w:p>
            <w:pPr>
              <w:pStyle w:val="3"/>
              <w:ind w:firstLine="0" w:firstLineChars="0"/>
              <w:rPr>
                <w:rFonts w:ascii="宋体" w:hAnsi="宋体" w:cs="宋体"/>
                <w:color w:val="auto"/>
                <w:szCs w:val="21"/>
                <w:highlight w:val="none"/>
                <w:lang w:bidi="ar"/>
              </w:rPr>
            </w:pPr>
            <w:r>
              <w:rPr>
                <w:rFonts w:hint="eastAsia" w:ascii="宋体" w:hAnsi="宋体" w:cs="宋体"/>
                <w:color w:val="auto"/>
                <w:szCs w:val="21"/>
                <w:highlight w:val="none"/>
                <w:lang w:bidi="ar"/>
              </w:rPr>
              <w:t>电机类型：无刷电机</w:t>
            </w:r>
          </w:p>
        </w:tc>
      </w:tr>
      <w:tr>
        <w:tblPrEx>
          <w:tblCellMar>
            <w:top w:w="0" w:type="dxa"/>
            <w:left w:w="108" w:type="dxa"/>
            <w:bottom w:w="0" w:type="dxa"/>
            <w:right w:w="108" w:type="dxa"/>
          </w:tblCellMar>
        </w:tblPrEx>
        <w:trPr>
          <w:trHeight w:val="70"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18</w:t>
            </w:r>
          </w:p>
        </w:tc>
        <w:tc>
          <w:tcPr>
            <w:tcW w:w="4456" w:type="pct"/>
            <w:tcBorders>
              <w:top w:val="single" w:color="auto" w:sz="4" w:space="0"/>
              <w:left w:val="single" w:color="auto" w:sz="4" w:space="0"/>
              <w:bottom w:val="single" w:color="auto" w:sz="4" w:space="0"/>
              <w:right w:val="single" w:color="auto" w:sz="4" w:space="0"/>
            </w:tcBorders>
            <w:vAlign w:val="center"/>
          </w:tcPr>
          <w:p>
            <w:pPr>
              <w:pStyle w:val="3"/>
              <w:ind w:firstLine="0" w:firstLineChars="0"/>
              <w:rPr>
                <w:rFonts w:ascii="宋体" w:hAnsi="宋体" w:cs="宋体"/>
                <w:color w:val="auto"/>
                <w:szCs w:val="21"/>
                <w:highlight w:val="none"/>
                <w:lang w:bidi="ar"/>
              </w:rPr>
            </w:pPr>
            <w:r>
              <w:rPr>
                <w:rFonts w:hint="eastAsia" w:ascii="宋体" w:hAnsi="宋体" w:cs="宋体"/>
                <w:color w:val="auto"/>
                <w:szCs w:val="21"/>
                <w:highlight w:val="none"/>
                <w:lang w:bidi="ar"/>
              </w:rPr>
              <w:t>红外对数：12</w:t>
            </w:r>
          </w:p>
        </w:tc>
      </w:tr>
      <w:tr>
        <w:tblPrEx>
          <w:tblCellMar>
            <w:top w:w="0" w:type="dxa"/>
            <w:left w:w="108" w:type="dxa"/>
            <w:bottom w:w="0" w:type="dxa"/>
            <w:right w:w="108" w:type="dxa"/>
          </w:tblCellMar>
        </w:tblPrEx>
        <w:trPr>
          <w:trHeight w:val="276"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19</w:t>
            </w:r>
          </w:p>
        </w:tc>
        <w:tc>
          <w:tcPr>
            <w:tcW w:w="4456" w:type="pct"/>
            <w:tcBorders>
              <w:top w:val="single" w:color="auto" w:sz="4" w:space="0"/>
              <w:left w:val="single" w:color="auto" w:sz="4" w:space="0"/>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电机平均无故障运行次数：≥1200万次</w:t>
            </w:r>
          </w:p>
        </w:tc>
      </w:tr>
      <w:tr>
        <w:tblPrEx>
          <w:tblCellMar>
            <w:top w:w="0" w:type="dxa"/>
            <w:left w:w="108" w:type="dxa"/>
            <w:bottom w:w="0" w:type="dxa"/>
            <w:right w:w="108" w:type="dxa"/>
          </w:tblCellMar>
        </w:tblPrEx>
        <w:trPr>
          <w:trHeight w:val="276"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20</w:t>
            </w:r>
          </w:p>
        </w:tc>
        <w:tc>
          <w:tcPr>
            <w:tcW w:w="4456" w:type="pct"/>
            <w:tcBorders>
              <w:top w:val="single" w:color="auto" w:sz="4" w:space="0"/>
              <w:left w:val="single" w:color="auto" w:sz="4" w:space="0"/>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当系统出现故障时，门禁控制器仍可脱机工作，并可记录至少一万条脱机数据，故障排除后，所有脱机数据可及时上传数据库。</w:t>
            </w:r>
          </w:p>
        </w:tc>
      </w:tr>
    </w:tbl>
    <w:p>
      <w:pPr>
        <w:pStyle w:val="8"/>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3.2、双机芯摆闸</w:t>
      </w:r>
    </w:p>
    <w:tbl>
      <w:tblPr>
        <w:tblStyle w:val="52"/>
        <w:tblW w:w="4998" w:type="pct"/>
        <w:tblInd w:w="0" w:type="dxa"/>
        <w:tblLayout w:type="autofit"/>
        <w:tblCellMar>
          <w:top w:w="0" w:type="dxa"/>
          <w:left w:w="108" w:type="dxa"/>
          <w:bottom w:w="0" w:type="dxa"/>
          <w:right w:w="108" w:type="dxa"/>
        </w:tblCellMar>
      </w:tblPr>
      <w:tblGrid>
        <w:gridCol w:w="1012"/>
        <w:gridCol w:w="8288"/>
      </w:tblGrid>
      <w:tr>
        <w:tblPrEx>
          <w:tblCellMar>
            <w:top w:w="0" w:type="dxa"/>
            <w:left w:w="108" w:type="dxa"/>
            <w:bottom w:w="0" w:type="dxa"/>
            <w:right w:w="108" w:type="dxa"/>
          </w:tblCellMar>
        </w:tblPrEx>
        <w:trPr>
          <w:trHeight w:val="70"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b/>
                <w:bCs/>
                <w:color w:val="auto"/>
                <w:sz w:val="21"/>
                <w:szCs w:val="21"/>
                <w:highlight w:val="none"/>
                <w:lang w:bidi="ar"/>
              </w:rPr>
            </w:pPr>
            <w:r>
              <w:rPr>
                <w:rFonts w:hint="eastAsia" w:hAnsi="宋体" w:cs="宋体"/>
                <w:b/>
                <w:bCs/>
                <w:color w:val="auto"/>
                <w:sz w:val="21"/>
                <w:szCs w:val="21"/>
                <w:highlight w:val="none"/>
                <w:lang w:bidi="ar"/>
              </w:rPr>
              <w:t>序号</w:t>
            </w:r>
          </w:p>
        </w:tc>
        <w:tc>
          <w:tcPr>
            <w:tcW w:w="4456" w:type="pct"/>
            <w:tcBorders>
              <w:top w:val="single" w:color="auto" w:sz="4" w:space="0"/>
              <w:left w:val="nil"/>
              <w:bottom w:val="single" w:color="auto" w:sz="4" w:space="0"/>
              <w:right w:val="single" w:color="auto" w:sz="4" w:space="0"/>
            </w:tcBorders>
            <w:vAlign w:val="center"/>
          </w:tcPr>
          <w:p>
            <w:pPr>
              <w:jc w:val="center"/>
              <w:rPr>
                <w:rFonts w:hAnsi="宋体" w:cs="宋体"/>
                <w:b/>
                <w:bCs/>
                <w:color w:val="auto"/>
                <w:sz w:val="21"/>
                <w:szCs w:val="21"/>
                <w:highlight w:val="none"/>
                <w:lang w:bidi="ar"/>
              </w:rPr>
            </w:pPr>
            <w:r>
              <w:rPr>
                <w:rFonts w:hint="eastAsia" w:hAnsi="宋体" w:cs="宋体"/>
                <w:b/>
                <w:bCs/>
                <w:color w:val="auto"/>
                <w:sz w:val="21"/>
                <w:szCs w:val="21"/>
                <w:highlight w:val="none"/>
                <w:lang w:bidi="ar"/>
              </w:rPr>
              <w:t>技术规格参数</w:t>
            </w:r>
          </w:p>
        </w:tc>
      </w:tr>
      <w:tr>
        <w:tblPrEx>
          <w:tblCellMar>
            <w:top w:w="0" w:type="dxa"/>
            <w:left w:w="108" w:type="dxa"/>
            <w:bottom w:w="0" w:type="dxa"/>
            <w:right w:w="108" w:type="dxa"/>
          </w:tblCellMar>
        </w:tblPrEx>
        <w:trPr>
          <w:trHeight w:val="72"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w:t>
            </w:r>
          </w:p>
        </w:tc>
        <w:tc>
          <w:tcPr>
            <w:tcW w:w="4456" w:type="pct"/>
            <w:tcBorders>
              <w:top w:val="single" w:color="auto" w:sz="4" w:space="0"/>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具有故障自检和报警提示功能，方便用户维护及使用；</w:t>
            </w:r>
          </w:p>
        </w:tc>
      </w:tr>
      <w:tr>
        <w:tblPrEx>
          <w:tblCellMar>
            <w:top w:w="0" w:type="dxa"/>
            <w:left w:w="108" w:type="dxa"/>
            <w:bottom w:w="0" w:type="dxa"/>
            <w:right w:w="108" w:type="dxa"/>
          </w:tblCellMar>
        </w:tblPrEx>
        <w:trPr>
          <w:trHeight w:val="70"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2</w:t>
            </w:r>
          </w:p>
        </w:tc>
        <w:tc>
          <w:tcPr>
            <w:tcW w:w="4456"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具有断电自动打开,来电自检并自动恢复在加锁状态</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3</w:t>
            </w:r>
          </w:p>
        </w:tc>
        <w:tc>
          <w:tcPr>
            <w:tcW w:w="4456"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具有多种工作模式可供选择，即可双向读卡，也可一边读卡、另一方向禁行，一边读卡、另一方向自由通行，且闸机工作模式可通过主板菜单进行设定</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4</w:t>
            </w:r>
          </w:p>
        </w:tc>
        <w:tc>
          <w:tcPr>
            <w:tcW w:w="4456"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当行人读有效卡通行后,红外检测到行人通行完毕自动关闸或行人通行后延时关闸,延时10秒可通过主板菜单自行设定</w:t>
            </w:r>
          </w:p>
        </w:tc>
      </w:tr>
      <w:tr>
        <w:tblPrEx>
          <w:tblCellMar>
            <w:top w:w="0" w:type="dxa"/>
            <w:left w:w="108" w:type="dxa"/>
            <w:bottom w:w="0" w:type="dxa"/>
            <w:right w:w="108" w:type="dxa"/>
          </w:tblCellMar>
        </w:tblPrEx>
        <w:trPr>
          <w:trHeight w:val="276"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5</w:t>
            </w:r>
          </w:p>
        </w:tc>
        <w:tc>
          <w:tcPr>
            <w:tcW w:w="4456" w:type="pct"/>
            <w:tcBorders>
              <w:top w:val="single" w:color="auto" w:sz="4" w:space="0"/>
              <w:left w:val="single" w:color="auto" w:sz="4" w:space="0"/>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具有自动复位功能。当读有效卡后，通行者在规定的时间内未通行时，系统将自动取消通行者的本次通行权限，且限制的通行时间可由管理人员自行设定</w:t>
            </w:r>
          </w:p>
        </w:tc>
      </w:tr>
      <w:tr>
        <w:tblPrEx>
          <w:tblCellMar>
            <w:top w:w="0" w:type="dxa"/>
            <w:left w:w="108" w:type="dxa"/>
            <w:bottom w:w="0" w:type="dxa"/>
            <w:right w:w="108" w:type="dxa"/>
          </w:tblCellMar>
        </w:tblPrEx>
        <w:trPr>
          <w:trHeight w:val="276"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6</w:t>
            </w:r>
          </w:p>
        </w:tc>
        <w:tc>
          <w:tcPr>
            <w:tcW w:w="4456" w:type="pct"/>
            <w:tcBorders>
              <w:top w:val="single" w:color="auto" w:sz="4" w:space="0"/>
              <w:left w:val="single" w:color="auto" w:sz="4" w:space="0"/>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防冲功能，在没有接收到开闸信号时，摆臂自动锁死</w:t>
            </w:r>
          </w:p>
        </w:tc>
      </w:tr>
      <w:tr>
        <w:tblPrEx>
          <w:tblCellMar>
            <w:top w:w="0" w:type="dxa"/>
            <w:left w:w="108" w:type="dxa"/>
            <w:bottom w:w="0" w:type="dxa"/>
            <w:right w:w="108" w:type="dxa"/>
          </w:tblCellMar>
        </w:tblPrEx>
        <w:trPr>
          <w:trHeight w:val="276"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7</w:t>
            </w:r>
          </w:p>
        </w:tc>
        <w:tc>
          <w:tcPr>
            <w:tcW w:w="4456" w:type="pct"/>
            <w:tcBorders>
              <w:top w:val="single" w:color="auto" w:sz="4" w:space="0"/>
              <w:left w:val="single" w:color="auto" w:sz="4" w:space="0"/>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机械防夹功能，在摆臂复位的过程中遇阻时，自动反弹或在规定的时间内电机自动停止工作，且力度很小，同时发出报警信号</w:t>
            </w:r>
          </w:p>
        </w:tc>
      </w:tr>
      <w:tr>
        <w:tblPrEx>
          <w:tblCellMar>
            <w:top w:w="0" w:type="dxa"/>
            <w:left w:w="108" w:type="dxa"/>
            <w:bottom w:w="0" w:type="dxa"/>
            <w:right w:w="108" w:type="dxa"/>
          </w:tblCellMar>
        </w:tblPrEx>
        <w:trPr>
          <w:trHeight w:val="445"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8</w:t>
            </w:r>
          </w:p>
        </w:tc>
        <w:tc>
          <w:tcPr>
            <w:tcW w:w="4456" w:type="pct"/>
            <w:tcBorders>
              <w:top w:val="single" w:color="auto" w:sz="4" w:space="0"/>
              <w:left w:val="single" w:color="auto" w:sz="4" w:space="0"/>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具有统一、标准的对外电气接口，可与各种读写设备相挂接，便于系统集成，并可通过管理计算机实现远程控制与管理</w:t>
            </w:r>
          </w:p>
        </w:tc>
      </w:tr>
      <w:tr>
        <w:tblPrEx>
          <w:tblCellMar>
            <w:top w:w="0" w:type="dxa"/>
            <w:left w:w="108" w:type="dxa"/>
            <w:bottom w:w="0" w:type="dxa"/>
            <w:right w:w="108" w:type="dxa"/>
          </w:tblCellMar>
        </w:tblPrEx>
        <w:trPr>
          <w:trHeight w:val="90"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9</w:t>
            </w:r>
          </w:p>
        </w:tc>
        <w:tc>
          <w:tcPr>
            <w:tcW w:w="4456" w:type="pct"/>
            <w:tcBorders>
              <w:top w:val="single" w:color="auto" w:sz="4" w:space="0"/>
              <w:left w:val="single" w:color="auto" w:sz="4" w:space="0"/>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可自动对通行方向的通行人数进行统计，并以直观的LED（选装）方式呈现给管理者，使管理者对某方向的通行人数了如指掌</w:t>
            </w:r>
          </w:p>
        </w:tc>
      </w:tr>
      <w:tr>
        <w:tblPrEx>
          <w:tblCellMar>
            <w:top w:w="0" w:type="dxa"/>
            <w:left w:w="108" w:type="dxa"/>
            <w:bottom w:w="0" w:type="dxa"/>
            <w:right w:w="108" w:type="dxa"/>
          </w:tblCellMar>
        </w:tblPrEx>
        <w:trPr>
          <w:trHeight w:val="56"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10</w:t>
            </w:r>
          </w:p>
        </w:tc>
        <w:tc>
          <w:tcPr>
            <w:tcW w:w="4456" w:type="pct"/>
            <w:tcBorders>
              <w:top w:val="single" w:color="auto" w:sz="4" w:space="0"/>
              <w:left w:val="single" w:color="auto" w:sz="4" w:space="0"/>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具有明确的通行方向指示功能，以直观的LED通行者指示可以通行还是禁止通行</w:t>
            </w:r>
          </w:p>
        </w:tc>
      </w:tr>
      <w:tr>
        <w:tblPrEx>
          <w:tblCellMar>
            <w:top w:w="0" w:type="dxa"/>
            <w:left w:w="108" w:type="dxa"/>
            <w:bottom w:w="0" w:type="dxa"/>
            <w:right w:w="108" w:type="dxa"/>
          </w:tblCellMar>
        </w:tblPrEx>
        <w:trPr>
          <w:trHeight w:val="276"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11</w:t>
            </w:r>
          </w:p>
        </w:tc>
        <w:tc>
          <w:tcPr>
            <w:tcW w:w="4456" w:type="pct"/>
            <w:tcBorders>
              <w:top w:val="single" w:color="auto" w:sz="4" w:space="0"/>
              <w:left w:val="single" w:color="auto" w:sz="4" w:space="0"/>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具有读卡带记忆和不带记忆功能，且用户可根据自己的需要通过主板键盘进行设定</w:t>
            </w:r>
          </w:p>
        </w:tc>
      </w:tr>
      <w:tr>
        <w:tblPrEx>
          <w:tblCellMar>
            <w:top w:w="0" w:type="dxa"/>
            <w:left w:w="108" w:type="dxa"/>
            <w:bottom w:w="0" w:type="dxa"/>
            <w:right w:w="108" w:type="dxa"/>
          </w:tblCellMar>
        </w:tblPrEx>
        <w:trPr>
          <w:trHeight w:val="276"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12</w:t>
            </w:r>
          </w:p>
        </w:tc>
        <w:tc>
          <w:tcPr>
            <w:tcW w:w="4456" w:type="pct"/>
            <w:tcBorders>
              <w:top w:val="single" w:color="auto" w:sz="4" w:space="0"/>
              <w:left w:val="single" w:color="auto" w:sz="4" w:space="0"/>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通过软件设定，可限制场所内部的人员总数，以满足一些特殊场合的特殊需求</w:t>
            </w:r>
          </w:p>
        </w:tc>
      </w:tr>
      <w:tr>
        <w:tblPrEx>
          <w:tblCellMar>
            <w:top w:w="0" w:type="dxa"/>
            <w:left w:w="108" w:type="dxa"/>
            <w:bottom w:w="0" w:type="dxa"/>
            <w:right w:w="108" w:type="dxa"/>
          </w:tblCellMar>
        </w:tblPrEx>
        <w:trPr>
          <w:trHeight w:val="276"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13</w:t>
            </w:r>
          </w:p>
        </w:tc>
        <w:tc>
          <w:tcPr>
            <w:tcW w:w="4456" w:type="pct"/>
            <w:tcBorders>
              <w:top w:val="single" w:color="auto" w:sz="4" w:space="0"/>
              <w:left w:val="single" w:color="auto" w:sz="4" w:space="0"/>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支持遥控器远程控制闸机开门、关门、常开等操作</w:t>
            </w:r>
          </w:p>
        </w:tc>
      </w:tr>
      <w:tr>
        <w:tblPrEx>
          <w:tblCellMar>
            <w:top w:w="0" w:type="dxa"/>
            <w:left w:w="108" w:type="dxa"/>
            <w:bottom w:w="0" w:type="dxa"/>
            <w:right w:w="108" w:type="dxa"/>
          </w:tblCellMar>
        </w:tblPrEx>
        <w:trPr>
          <w:trHeight w:val="276"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14</w:t>
            </w:r>
          </w:p>
        </w:tc>
        <w:tc>
          <w:tcPr>
            <w:tcW w:w="4456" w:type="pct"/>
            <w:tcBorders>
              <w:top w:val="single" w:color="auto" w:sz="4" w:space="0"/>
              <w:left w:val="single" w:color="auto" w:sz="4" w:space="0"/>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通行速率：30-60人/分钟，受人员情况和通行模式影响</w:t>
            </w:r>
          </w:p>
        </w:tc>
      </w:tr>
      <w:tr>
        <w:tblPrEx>
          <w:tblCellMar>
            <w:top w:w="0" w:type="dxa"/>
            <w:left w:w="108" w:type="dxa"/>
            <w:bottom w:w="0" w:type="dxa"/>
            <w:right w:w="108" w:type="dxa"/>
          </w:tblCellMar>
        </w:tblPrEx>
        <w:trPr>
          <w:trHeight w:val="376"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15</w:t>
            </w:r>
          </w:p>
        </w:tc>
        <w:tc>
          <w:tcPr>
            <w:tcW w:w="4456" w:type="pct"/>
            <w:tcBorders>
              <w:top w:val="single" w:color="auto" w:sz="4" w:space="0"/>
              <w:left w:val="single" w:color="auto" w:sz="4" w:space="0"/>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箱体材质：SUS304拉丝不锈钢</w:t>
            </w:r>
          </w:p>
        </w:tc>
      </w:tr>
      <w:tr>
        <w:tblPrEx>
          <w:tblCellMar>
            <w:top w:w="0" w:type="dxa"/>
            <w:left w:w="108" w:type="dxa"/>
            <w:bottom w:w="0" w:type="dxa"/>
            <w:right w:w="108" w:type="dxa"/>
          </w:tblCellMar>
        </w:tblPrEx>
        <w:trPr>
          <w:trHeight w:val="70"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16</w:t>
            </w:r>
          </w:p>
        </w:tc>
        <w:tc>
          <w:tcPr>
            <w:tcW w:w="4456" w:type="pct"/>
            <w:tcBorders>
              <w:top w:val="single" w:color="auto" w:sz="4" w:space="0"/>
              <w:left w:val="single" w:color="auto" w:sz="4" w:space="0"/>
              <w:bottom w:val="single" w:color="auto" w:sz="4" w:space="0"/>
              <w:right w:val="single" w:color="auto" w:sz="4" w:space="0"/>
            </w:tcBorders>
            <w:vAlign w:val="center"/>
          </w:tcPr>
          <w:p>
            <w:pPr>
              <w:pStyle w:val="2"/>
              <w:jc w:val="both"/>
              <w:rPr>
                <w:rFonts w:hAnsi="宋体" w:cs="宋体"/>
                <w:bCs w:val="0"/>
                <w:color w:val="auto"/>
                <w:sz w:val="21"/>
                <w:szCs w:val="21"/>
                <w:highlight w:val="none"/>
                <w:lang w:bidi="ar"/>
              </w:rPr>
            </w:pPr>
            <w:r>
              <w:rPr>
                <w:rFonts w:hint="eastAsia" w:hAnsi="宋体" w:cs="宋体"/>
                <w:bCs w:val="0"/>
                <w:color w:val="auto"/>
                <w:sz w:val="21"/>
                <w:szCs w:val="21"/>
                <w:highlight w:val="none"/>
                <w:lang w:bidi="ar"/>
              </w:rPr>
              <w:t>门翼材质：亚克力</w:t>
            </w:r>
          </w:p>
        </w:tc>
      </w:tr>
      <w:tr>
        <w:tblPrEx>
          <w:tblCellMar>
            <w:top w:w="0" w:type="dxa"/>
            <w:left w:w="108" w:type="dxa"/>
            <w:bottom w:w="0" w:type="dxa"/>
            <w:right w:w="108" w:type="dxa"/>
          </w:tblCellMar>
        </w:tblPrEx>
        <w:trPr>
          <w:trHeight w:val="276"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17</w:t>
            </w:r>
          </w:p>
        </w:tc>
        <w:tc>
          <w:tcPr>
            <w:tcW w:w="4456" w:type="pct"/>
            <w:tcBorders>
              <w:top w:val="single" w:color="auto" w:sz="4" w:space="0"/>
              <w:left w:val="single" w:color="auto" w:sz="4" w:space="0"/>
              <w:bottom w:val="single" w:color="auto" w:sz="4" w:space="0"/>
              <w:right w:val="single" w:color="auto" w:sz="4" w:space="0"/>
            </w:tcBorders>
            <w:vAlign w:val="center"/>
          </w:tcPr>
          <w:p>
            <w:pPr>
              <w:pStyle w:val="3"/>
              <w:ind w:firstLine="0" w:firstLineChars="0"/>
              <w:rPr>
                <w:rFonts w:ascii="宋体" w:hAnsi="宋体" w:cs="宋体"/>
                <w:color w:val="auto"/>
                <w:szCs w:val="21"/>
                <w:highlight w:val="none"/>
                <w:lang w:bidi="ar"/>
              </w:rPr>
            </w:pPr>
            <w:r>
              <w:rPr>
                <w:rFonts w:hint="eastAsia" w:ascii="宋体" w:hAnsi="宋体" w:cs="宋体"/>
                <w:color w:val="auto"/>
                <w:szCs w:val="21"/>
                <w:highlight w:val="none"/>
                <w:lang w:bidi="ar"/>
              </w:rPr>
              <w:t>电机类型：无刷电机</w:t>
            </w:r>
          </w:p>
        </w:tc>
      </w:tr>
      <w:tr>
        <w:tblPrEx>
          <w:tblCellMar>
            <w:top w:w="0" w:type="dxa"/>
            <w:left w:w="108" w:type="dxa"/>
            <w:bottom w:w="0" w:type="dxa"/>
            <w:right w:w="108" w:type="dxa"/>
          </w:tblCellMar>
        </w:tblPrEx>
        <w:trPr>
          <w:trHeight w:val="70"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18</w:t>
            </w:r>
          </w:p>
        </w:tc>
        <w:tc>
          <w:tcPr>
            <w:tcW w:w="4456" w:type="pct"/>
            <w:tcBorders>
              <w:top w:val="single" w:color="auto" w:sz="4" w:space="0"/>
              <w:left w:val="single" w:color="auto" w:sz="4" w:space="0"/>
              <w:bottom w:val="single" w:color="auto" w:sz="4" w:space="0"/>
              <w:right w:val="single" w:color="auto" w:sz="4" w:space="0"/>
            </w:tcBorders>
            <w:vAlign w:val="center"/>
          </w:tcPr>
          <w:p>
            <w:pPr>
              <w:pStyle w:val="3"/>
              <w:ind w:firstLine="0" w:firstLineChars="0"/>
              <w:rPr>
                <w:rFonts w:ascii="宋体" w:hAnsi="宋体" w:cs="宋体"/>
                <w:color w:val="auto"/>
                <w:szCs w:val="21"/>
                <w:highlight w:val="none"/>
                <w:lang w:bidi="ar"/>
              </w:rPr>
            </w:pPr>
            <w:r>
              <w:rPr>
                <w:rFonts w:hint="eastAsia" w:ascii="宋体" w:hAnsi="宋体" w:cs="宋体"/>
                <w:color w:val="auto"/>
                <w:szCs w:val="21"/>
                <w:highlight w:val="none"/>
                <w:lang w:bidi="ar"/>
              </w:rPr>
              <w:t>红外对数：12</w:t>
            </w:r>
          </w:p>
        </w:tc>
      </w:tr>
      <w:tr>
        <w:tblPrEx>
          <w:tblCellMar>
            <w:top w:w="0" w:type="dxa"/>
            <w:left w:w="108" w:type="dxa"/>
            <w:bottom w:w="0" w:type="dxa"/>
            <w:right w:w="108" w:type="dxa"/>
          </w:tblCellMar>
        </w:tblPrEx>
        <w:trPr>
          <w:trHeight w:val="276"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19</w:t>
            </w:r>
          </w:p>
        </w:tc>
        <w:tc>
          <w:tcPr>
            <w:tcW w:w="4456" w:type="pct"/>
            <w:tcBorders>
              <w:top w:val="single" w:color="auto" w:sz="4" w:space="0"/>
              <w:left w:val="single" w:color="auto" w:sz="4" w:space="0"/>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电机平均无故障运行次数：≥1200万次</w:t>
            </w:r>
          </w:p>
        </w:tc>
      </w:tr>
      <w:tr>
        <w:tblPrEx>
          <w:tblCellMar>
            <w:top w:w="0" w:type="dxa"/>
            <w:left w:w="108" w:type="dxa"/>
            <w:bottom w:w="0" w:type="dxa"/>
            <w:right w:w="108" w:type="dxa"/>
          </w:tblCellMar>
        </w:tblPrEx>
        <w:trPr>
          <w:trHeight w:val="276"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20</w:t>
            </w:r>
          </w:p>
        </w:tc>
        <w:tc>
          <w:tcPr>
            <w:tcW w:w="4456" w:type="pct"/>
            <w:tcBorders>
              <w:top w:val="single" w:color="auto" w:sz="4" w:space="0"/>
              <w:left w:val="single" w:color="auto" w:sz="4" w:space="0"/>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当系统出现故障时，门禁控制器仍可脱机工作，并可记录至少一万条脱机数据，故障排除后，所有脱机数据可及时上传数据库。</w:t>
            </w:r>
          </w:p>
        </w:tc>
      </w:tr>
    </w:tbl>
    <w:p>
      <w:pPr>
        <w:rPr>
          <w:rFonts w:hAnsi="宋体" w:cs="宋体"/>
          <w:color w:val="auto"/>
          <w:sz w:val="21"/>
          <w:szCs w:val="21"/>
          <w:highlight w:val="none"/>
        </w:rPr>
      </w:pPr>
    </w:p>
    <w:p>
      <w:pPr>
        <w:pStyle w:val="8"/>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3.3、AI人脸识别测温门禁（含与设备同品牌的二维码识别模块）</w:t>
      </w:r>
    </w:p>
    <w:tbl>
      <w:tblPr>
        <w:tblStyle w:val="52"/>
        <w:tblW w:w="4998" w:type="pct"/>
        <w:tblInd w:w="0" w:type="dxa"/>
        <w:tblLayout w:type="autofit"/>
        <w:tblCellMar>
          <w:top w:w="0" w:type="dxa"/>
          <w:left w:w="108" w:type="dxa"/>
          <w:bottom w:w="0" w:type="dxa"/>
          <w:right w:w="108" w:type="dxa"/>
        </w:tblCellMar>
      </w:tblPr>
      <w:tblGrid>
        <w:gridCol w:w="1012"/>
        <w:gridCol w:w="8288"/>
      </w:tblGrid>
      <w:tr>
        <w:tblPrEx>
          <w:tblCellMar>
            <w:top w:w="0" w:type="dxa"/>
            <w:left w:w="108" w:type="dxa"/>
            <w:bottom w:w="0" w:type="dxa"/>
            <w:right w:w="108" w:type="dxa"/>
          </w:tblCellMar>
        </w:tblPrEx>
        <w:trPr>
          <w:trHeight w:val="70"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b/>
                <w:bCs/>
                <w:color w:val="auto"/>
                <w:sz w:val="21"/>
                <w:szCs w:val="21"/>
                <w:highlight w:val="none"/>
                <w:lang w:bidi="ar"/>
              </w:rPr>
            </w:pPr>
            <w:r>
              <w:rPr>
                <w:rFonts w:hint="eastAsia" w:hAnsi="宋体" w:cs="宋体"/>
                <w:b/>
                <w:bCs/>
                <w:color w:val="auto"/>
                <w:sz w:val="21"/>
                <w:szCs w:val="21"/>
                <w:highlight w:val="none"/>
                <w:lang w:bidi="ar"/>
              </w:rPr>
              <w:t>序号</w:t>
            </w:r>
          </w:p>
        </w:tc>
        <w:tc>
          <w:tcPr>
            <w:tcW w:w="4456" w:type="pct"/>
            <w:tcBorders>
              <w:top w:val="single" w:color="auto" w:sz="4" w:space="0"/>
              <w:left w:val="nil"/>
              <w:bottom w:val="single" w:color="auto" w:sz="4" w:space="0"/>
              <w:right w:val="single" w:color="auto" w:sz="4" w:space="0"/>
            </w:tcBorders>
            <w:vAlign w:val="center"/>
          </w:tcPr>
          <w:p>
            <w:pPr>
              <w:jc w:val="center"/>
              <w:rPr>
                <w:rFonts w:hAnsi="宋体" w:cs="宋体"/>
                <w:b/>
                <w:bCs/>
                <w:color w:val="auto"/>
                <w:sz w:val="21"/>
                <w:szCs w:val="21"/>
                <w:highlight w:val="none"/>
                <w:lang w:bidi="ar"/>
              </w:rPr>
            </w:pPr>
            <w:r>
              <w:rPr>
                <w:rFonts w:hint="eastAsia" w:hAnsi="宋体" w:cs="宋体"/>
                <w:b/>
                <w:bCs/>
                <w:color w:val="auto"/>
                <w:sz w:val="21"/>
                <w:szCs w:val="21"/>
                <w:highlight w:val="none"/>
                <w:lang w:bidi="ar"/>
              </w:rPr>
              <w:t>技术规格参数</w:t>
            </w:r>
          </w:p>
        </w:tc>
      </w:tr>
      <w:tr>
        <w:tblPrEx>
          <w:tblCellMar>
            <w:top w:w="0" w:type="dxa"/>
            <w:left w:w="108" w:type="dxa"/>
            <w:bottom w:w="0" w:type="dxa"/>
            <w:right w:w="108" w:type="dxa"/>
          </w:tblCellMar>
        </w:tblPrEx>
        <w:trPr>
          <w:trHeight w:val="72"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w:t>
            </w:r>
          </w:p>
        </w:tc>
        <w:tc>
          <w:tcPr>
            <w:tcW w:w="4456" w:type="pct"/>
            <w:tcBorders>
              <w:top w:val="single" w:color="auto" w:sz="4" w:space="0"/>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屏幕：≥7英寸，全视角IPS液晶屏；支持显示界面DIY、认证结果DIY。</w:t>
            </w:r>
          </w:p>
        </w:tc>
      </w:tr>
      <w:tr>
        <w:tblPrEx>
          <w:tblCellMar>
            <w:top w:w="0" w:type="dxa"/>
            <w:left w:w="108" w:type="dxa"/>
            <w:bottom w:w="0" w:type="dxa"/>
            <w:right w:w="108" w:type="dxa"/>
          </w:tblCellMar>
        </w:tblPrEx>
        <w:trPr>
          <w:trHeight w:val="70"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2</w:t>
            </w:r>
          </w:p>
        </w:tc>
        <w:tc>
          <w:tcPr>
            <w:tcW w:w="4456"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摄像头：≥200W像素，双目摄像头</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3</w:t>
            </w:r>
          </w:p>
        </w:tc>
        <w:tc>
          <w:tcPr>
            <w:tcW w:w="4456"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接口：≥1个音频输出接口，≥2个RS232接口，≥1个485/WG输入接口，≥1个WG输出接口，≥1个韦根接口，≥1个RJ45网络接口，≥1个type-c接口</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4</w:t>
            </w:r>
          </w:p>
        </w:tc>
        <w:tc>
          <w:tcPr>
            <w:tcW w:w="4456"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本地人脸库≥100000张；≥</w:t>
            </w:r>
            <w:r>
              <w:rPr>
                <w:rFonts w:hAnsi="宋体" w:cs="宋体"/>
                <w:color w:val="auto"/>
                <w:sz w:val="21"/>
                <w:szCs w:val="21"/>
                <w:highlight w:val="none"/>
                <w:lang w:bidi="ar"/>
              </w:rPr>
              <w:t>1</w:t>
            </w:r>
            <w:r>
              <w:rPr>
                <w:rFonts w:hint="eastAsia" w:hAnsi="宋体" w:cs="宋体"/>
                <w:color w:val="auto"/>
                <w:sz w:val="21"/>
                <w:szCs w:val="21"/>
                <w:highlight w:val="none"/>
                <w:lang w:bidi="ar"/>
              </w:rPr>
              <w:t>00000张卡</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5</w:t>
            </w:r>
          </w:p>
        </w:tc>
        <w:tc>
          <w:tcPr>
            <w:tcW w:w="4456"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支持人脸识别与测温、含与门禁同品牌的二维码识别模块，支持扫描二维码、支持刷卡开门</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6</w:t>
            </w:r>
          </w:p>
        </w:tc>
        <w:tc>
          <w:tcPr>
            <w:tcW w:w="4456"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可同时检测跟踪≥5个人</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7</w:t>
            </w:r>
          </w:p>
        </w:tc>
        <w:tc>
          <w:tcPr>
            <w:tcW w:w="4456"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人脸识别率≥99%</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8</w:t>
            </w:r>
          </w:p>
        </w:tc>
        <w:tc>
          <w:tcPr>
            <w:tcW w:w="4456"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测温距离：0,5-3米</w:t>
            </w:r>
          </w:p>
        </w:tc>
      </w:tr>
      <w:tr>
        <w:tblPrEx>
          <w:tblCellMar>
            <w:top w:w="0" w:type="dxa"/>
            <w:left w:w="108" w:type="dxa"/>
            <w:bottom w:w="0" w:type="dxa"/>
            <w:right w:w="108" w:type="dxa"/>
          </w:tblCellMar>
        </w:tblPrEx>
        <w:trPr>
          <w:trHeight w:val="552"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9</w:t>
            </w:r>
          </w:p>
        </w:tc>
        <w:tc>
          <w:tcPr>
            <w:tcW w:w="4456"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测温响应时间≤300 毫秒</w:t>
            </w:r>
          </w:p>
        </w:tc>
      </w:tr>
      <w:tr>
        <w:tblPrEx>
          <w:tblCellMar>
            <w:top w:w="0" w:type="dxa"/>
            <w:left w:w="108" w:type="dxa"/>
            <w:bottom w:w="0" w:type="dxa"/>
            <w:right w:w="108" w:type="dxa"/>
          </w:tblCellMar>
        </w:tblPrEx>
        <w:trPr>
          <w:trHeight w:val="5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10</w:t>
            </w:r>
          </w:p>
        </w:tc>
        <w:tc>
          <w:tcPr>
            <w:tcW w:w="4456"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温度检测精度≤0.1℃</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11</w:t>
            </w:r>
          </w:p>
        </w:tc>
        <w:tc>
          <w:tcPr>
            <w:tcW w:w="4456"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温度误差：≤±0.3℃</w:t>
            </w:r>
          </w:p>
        </w:tc>
      </w:tr>
      <w:tr>
        <w:tblPrEx>
          <w:tblCellMar>
            <w:top w:w="0" w:type="dxa"/>
            <w:left w:w="108" w:type="dxa"/>
            <w:bottom w:w="0" w:type="dxa"/>
            <w:right w:w="108" w:type="dxa"/>
          </w:tblCellMar>
        </w:tblPrEx>
        <w:trPr>
          <w:trHeight w:val="1340"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12</w:t>
            </w:r>
          </w:p>
        </w:tc>
        <w:tc>
          <w:tcPr>
            <w:tcW w:w="4456"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 xml:space="preserve">支持陌生人检测：支持手机照片、视频、打印照片防假，不识别陌生人，即只识别注册人员，对检测到的陌生人（非注册人员）不会识别；支持识别距离设置：设备对识别距离范围内的人脸进行检测识别，超出识别距离的人脸不会进行检测；支持口罩检测：不戴口罩进行识别，识别到后显示样式为红色背景，禁止通行，请佩戴口罩，语音播报自定义内容，戴口罩则可正常识别； </w:t>
            </w:r>
          </w:p>
        </w:tc>
      </w:tr>
      <w:tr>
        <w:tblPrEx>
          <w:tblCellMar>
            <w:top w:w="0" w:type="dxa"/>
            <w:left w:w="108" w:type="dxa"/>
            <w:bottom w:w="0" w:type="dxa"/>
            <w:right w:w="108" w:type="dxa"/>
          </w:tblCellMar>
        </w:tblPrEx>
        <w:trPr>
          <w:trHeight w:val="552" w:hRule="atLeast"/>
        </w:trPr>
        <w:tc>
          <w:tcPr>
            <w:tcW w:w="544" w:type="pct"/>
            <w:vMerge w:val="restart"/>
            <w:tcBorders>
              <w:top w:val="single" w:color="auto" w:sz="4" w:space="0"/>
              <w:left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13</w:t>
            </w:r>
          </w:p>
        </w:tc>
        <w:tc>
          <w:tcPr>
            <w:tcW w:w="4456" w:type="pct"/>
            <w:tcBorders>
              <w:top w:val="single" w:color="auto" w:sz="4" w:space="0"/>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支持PC端大屏；需与智慧园区后台互联互通，实现今日统计分析功能：包含园区、各楼栋分级的总次数、通行次数、体温正常次数、报警数；支持实时抓拍功能：包含人脸实时图像、日期、时间、姓名、温度；支持测量记录功能：包含人脸实时图像、日期、姓名、温度、状态</w:t>
            </w:r>
            <w:r>
              <w:rPr>
                <w:rFonts w:hint="eastAsia" w:hAnsi="宋体" w:cs="宋体"/>
                <w:color w:val="auto"/>
                <w:sz w:val="21"/>
                <w:szCs w:val="21"/>
                <w:highlight w:val="none"/>
              </w:rPr>
              <w:t>（须提供</w:t>
            </w:r>
            <w:r>
              <w:rPr>
                <w:rFonts w:hint="eastAsia" w:hAnsi="宋体" w:cs="宋体"/>
                <w:color w:val="auto"/>
                <w:sz w:val="21"/>
                <w:szCs w:val="21"/>
                <w:highlight w:val="none"/>
                <w:lang w:bidi="ar"/>
              </w:rPr>
              <w:t>官网截图或产品彩页</w:t>
            </w:r>
            <w:r>
              <w:rPr>
                <w:rFonts w:hint="eastAsia" w:hAnsi="宋体" w:cs="宋体"/>
                <w:color w:val="auto"/>
                <w:sz w:val="21"/>
                <w:szCs w:val="21"/>
                <w:highlight w:val="none"/>
              </w:rPr>
              <w:t>或功能截图并加盖投标人公章）</w:t>
            </w:r>
          </w:p>
        </w:tc>
      </w:tr>
      <w:tr>
        <w:tblPrEx>
          <w:tblCellMar>
            <w:top w:w="0" w:type="dxa"/>
            <w:left w:w="108" w:type="dxa"/>
            <w:bottom w:w="0" w:type="dxa"/>
            <w:right w:w="108" w:type="dxa"/>
          </w:tblCellMar>
        </w:tblPrEx>
        <w:trPr>
          <w:trHeight w:val="552" w:hRule="atLeast"/>
        </w:trPr>
        <w:tc>
          <w:tcPr>
            <w:tcW w:w="544" w:type="pct"/>
            <w:vMerge w:val="continue"/>
            <w:tcBorders>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p>
        </w:tc>
        <w:tc>
          <w:tcPr>
            <w:tcW w:w="4456" w:type="pct"/>
            <w:tcBorders>
              <w:top w:val="single" w:color="auto" w:sz="4" w:space="0"/>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▲支持PC端大屏今日体温占比功能：正常体温百分比；支持历史温度统计功能：可根据温度区间分别统计数据；支持通行统计功</w:t>
            </w:r>
            <w:r>
              <w:rPr>
                <w:rFonts w:hint="eastAsia" w:hAnsi="宋体" w:cs="宋体"/>
                <w:color w:val="auto"/>
                <w:sz w:val="21"/>
                <w:szCs w:val="21"/>
                <w:highlight w:val="none"/>
                <w:lang w:val="en-US" w:eastAsia="zh-CN" w:bidi="ar"/>
              </w:rPr>
              <w:t>能</w:t>
            </w:r>
            <w:r>
              <w:rPr>
                <w:rFonts w:hint="eastAsia" w:hAnsi="宋体" w:cs="宋体"/>
                <w:color w:val="auto"/>
                <w:sz w:val="21"/>
                <w:szCs w:val="21"/>
                <w:highlight w:val="none"/>
                <w:lang w:bidi="ar"/>
              </w:rPr>
              <w:t>：包含总通行数、体温正常数、体温异常数。</w:t>
            </w:r>
            <w:r>
              <w:rPr>
                <w:rFonts w:hint="eastAsia" w:hAnsi="宋体" w:cs="宋体"/>
                <w:color w:val="auto"/>
                <w:sz w:val="21"/>
                <w:szCs w:val="21"/>
                <w:highlight w:val="none"/>
              </w:rPr>
              <w:t>（须提供</w:t>
            </w:r>
            <w:r>
              <w:rPr>
                <w:rFonts w:hint="eastAsia" w:hAnsi="宋体" w:cs="宋体"/>
                <w:color w:val="auto"/>
                <w:sz w:val="21"/>
                <w:szCs w:val="21"/>
                <w:highlight w:val="none"/>
                <w:lang w:bidi="ar"/>
              </w:rPr>
              <w:t>官网截图或产品彩页</w:t>
            </w:r>
            <w:r>
              <w:rPr>
                <w:rFonts w:hint="eastAsia" w:hAnsi="宋体" w:cs="宋体"/>
                <w:color w:val="auto"/>
                <w:sz w:val="21"/>
                <w:szCs w:val="21"/>
                <w:highlight w:val="none"/>
              </w:rPr>
              <w:t>或功能截图并加盖投标人公章）</w:t>
            </w:r>
          </w:p>
        </w:tc>
      </w:tr>
      <w:tr>
        <w:tblPrEx>
          <w:tblCellMar>
            <w:top w:w="0" w:type="dxa"/>
            <w:left w:w="108" w:type="dxa"/>
            <w:bottom w:w="0" w:type="dxa"/>
            <w:right w:w="108" w:type="dxa"/>
          </w:tblCellMar>
        </w:tblPrEx>
        <w:trPr>
          <w:trHeight w:val="552" w:hRule="atLeast"/>
        </w:trPr>
        <w:tc>
          <w:tcPr>
            <w:tcW w:w="544" w:type="pct"/>
            <w:vMerge w:val="restart"/>
            <w:tcBorders>
              <w:top w:val="single" w:color="auto" w:sz="4" w:space="0"/>
              <w:left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14</w:t>
            </w:r>
          </w:p>
        </w:tc>
        <w:tc>
          <w:tcPr>
            <w:tcW w:w="4456" w:type="pct"/>
            <w:tcBorders>
              <w:top w:val="single" w:color="auto" w:sz="4" w:space="0"/>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▲支持移动端大屏；支持实时抓拍功能：包含人脸实时图像、日期、时间、姓名、温度；支持今日统计分析功能：包含总次数、通行次数、体温正常次数、报警数</w:t>
            </w:r>
            <w:r>
              <w:rPr>
                <w:rFonts w:hint="eastAsia" w:hAnsi="宋体" w:cs="宋体"/>
                <w:color w:val="auto"/>
                <w:sz w:val="21"/>
                <w:szCs w:val="21"/>
                <w:highlight w:val="none"/>
              </w:rPr>
              <w:t>（须提供</w:t>
            </w:r>
            <w:r>
              <w:rPr>
                <w:rFonts w:hint="eastAsia" w:hAnsi="宋体" w:cs="宋体"/>
                <w:color w:val="auto"/>
                <w:sz w:val="21"/>
                <w:szCs w:val="21"/>
                <w:highlight w:val="none"/>
                <w:lang w:bidi="ar"/>
              </w:rPr>
              <w:t>官网截图或产品彩页</w:t>
            </w:r>
            <w:r>
              <w:rPr>
                <w:rFonts w:hint="eastAsia" w:hAnsi="宋体" w:cs="宋体"/>
                <w:color w:val="auto"/>
                <w:sz w:val="21"/>
                <w:szCs w:val="21"/>
                <w:highlight w:val="none"/>
              </w:rPr>
              <w:t>或功能截图并加盖投标人公章）</w:t>
            </w:r>
          </w:p>
        </w:tc>
      </w:tr>
      <w:tr>
        <w:tblPrEx>
          <w:tblCellMar>
            <w:top w:w="0" w:type="dxa"/>
            <w:left w:w="108" w:type="dxa"/>
            <w:bottom w:w="0" w:type="dxa"/>
            <w:right w:w="108" w:type="dxa"/>
          </w:tblCellMar>
        </w:tblPrEx>
        <w:trPr>
          <w:trHeight w:val="552" w:hRule="atLeast"/>
        </w:trPr>
        <w:tc>
          <w:tcPr>
            <w:tcW w:w="544" w:type="pct"/>
            <w:vMerge w:val="continue"/>
            <w:tcBorders>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p>
        </w:tc>
        <w:tc>
          <w:tcPr>
            <w:tcW w:w="4456" w:type="pct"/>
            <w:tcBorders>
              <w:top w:val="single" w:color="auto" w:sz="4" w:space="0"/>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▲支持移动端大屏今日体温占比功能：正常体温百分比；支持测量记录功能：包含人脸实时图像、日期、姓名、温度、状态；支持历史温度统计功能：可根据温度区间分别统计数据</w:t>
            </w:r>
            <w:r>
              <w:rPr>
                <w:rFonts w:hint="eastAsia" w:hAnsi="宋体" w:cs="宋体"/>
                <w:color w:val="auto"/>
                <w:sz w:val="21"/>
                <w:szCs w:val="21"/>
                <w:highlight w:val="none"/>
              </w:rPr>
              <w:t>（须提供</w:t>
            </w:r>
            <w:r>
              <w:rPr>
                <w:rFonts w:hint="eastAsia" w:hAnsi="宋体" w:cs="宋体"/>
                <w:color w:val="auto"/>
                <w:sz w:val="21"/>
                <w:szCs w:val="21"/>
                <w:highlight w:val="none"/>
                <w:lang w:bidi="ar"/>
              </w:rPr>
              <w:t>官网截图或产品彩页</w:t>
            </w:r>
            <w:r>
              <w:rPr>
                <w:rFonts w:hint="eastAsia" w:hAnsi="宋体" w:cs="宋体"/>
                <w:color w:val="auto"/>
                <w:sz w:val="21"/>
                <w:szCs w:val="21"/>
                <w:highlight w:val="none"/>
              </w:rPr>
              <w:t>或功能截图并加盖投标人公章）</w:t>
            </w:r>
          </w:p>
        </w:tc>
      </w:tr>
      <w:tr>
        <w:tblPrEx>
          <w:tblCellMar>
            <w:top w:w="0" w:type="dxa"/>
            <w:left w:w="108" w:type="dxa"/>
            <w:bottom w:w="0" w:type="dxa"/>
            <w:right w:w="108" w:type="dxa"/>
          </w:tblCellMar>
        </w:tblPrEx>
        <w:trPr>
          <w:trHeight w:val="552"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15</w:t>
            </w:r>
          </w:p>
        </w:tc>
        <w:tc>
          <w:tcPr>
            <w:tcW w:w="4456" w:type="pct"/>
            <w:tcBorders>
              <w:top w:val="single" w:color="auto" w:sz="4" w:space="0"/>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设备防水等级IP65，支持室内外环境、支持防拆报警；</w:t>
            </w:r>
          </w:p>
        </w:tc>
      </w:tr>
      <w:tr>
        <w:tblPrEx>
          <w:tblCellMar>
            <w:top w:w="0" w:type="dxa"/>
            <w:left w:w="108" w:type="dxa"/>
            <w:bottom w:w="0" w:type="dxa"/>
            <w:right w:w="108" w:type="dxa"/>
          </w:tblCellMar>
        </w:tblPrEx>
        <w:trPr>
          <w:trHeight w:val="552"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Ansi="宋体" w:cs="宋体"/>
                <w:color w:val="auto"/>
                <w:sz w:val="21"/>
                <w:szCs w:val="21"/>
                <w:highlight w:val="none"/>
                <w:lang w:bidi="ar"/>
              </w:rPr>
              <w:t>16</w:t>
            </w:r>
          </w:p>
        </w:tc>
        <w:tc>
          <w:tcPr>
            <w:tcW w:w="4456" w:type="pct"/>
            <w:tcBorders>
              <w:top w:val="single" w:color="auto" w:sz="4" w:space="0"/>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▲支持二维码、刷卡开门（须提供官网截图或产品彩页并加盖投标人公章）</w:t>
            </w:r>
          </w:p>
        </w:tc>
      </w:tr>
    </w:tbl>
    <w:p>
      <w:pPr>
        <w:pStyle w:val="8"/>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3.4、24口千兆POE交换机</w:t>
      </w:r>
    </w:p>
    <w:tbl>
      <w:tblPr>
        <w:tblStyle w:val="52"/>
        <w:tblW w:w="4998" w:type="pct"/>
        <w:tblInd w:w="0" w:type="dxa"/>
        <w:tblLayout w:type="autofit"/>
        <w:tblCellMar>
          <w:top w:w="0" w:type="dxa"/>
          <w:left w:w="108" w:type="dxa"/>
          <w:bottom w:w="0" w:type="dxa"/>
          <w:right w:w="108" w:type="dxa"/>
        </w:tblCellMar>
      </w:tblPr>
      <w:tblGrid>
        <w:gridCol w:w="1012"/>
        <w:gridCol w:w="8288"/>
      </w:tblGrid>
      <w:tr>
        <w:tblPrEx>
          <w:tblCellMar>
            <w:top w:w="0" w:type="dxa"/>
            <w:left w:w="108" w:type="dxa"/>
            <w:bottom w:w="0" w:type="dxa"/>
            <w:right w:w="108" w:type="dxa"/>
          </w:tblCellMar>
        </w:tblPrEx>
        <w:trPr>
          <w:trHeight w:val="70"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b/>
                <w:bCs/>
                <w:color w:val="auto"/>
                <w:sz w:val="21"/>
                <w:szCs w:val="21"/>
                <w:highlight w:val="none"/>
                <w:lang w:bidi="ar"/>
              </w:rPr>
            </w:pPr>
            <w:r>
              <w:rPr>
                <w:rFonts w:hint="eastAsia" w:hAnsi="宋体" w:cs="宋体"/>
                <w:b/>
                <w:bCs/>
                <w:color w:val="auto"/>
                <w:sz w:val="21"/>
                <w:szCs w:val="21"/>
                <w:highlight w:val="none"/>
                <w:lang w:bidi="ar"/>
              </w:rPr>
              <w:t>序号</w:t>
            </w:r>
          </w:p>
        </w:tc>
        <w:tc>
          <w:tcPr>
            <w:tcW w:w="4455" w:type="pct"/>
            <w:tcBorders>
              <w:top w:val="single" w:color="auto" w:sz="4" w:space="0"/>
              <w:left w:val="nil"/>
              <w:bottom w:val="single" w:color="auto" w:sz="4" w:space="0"/>
              <w:right w:val="single" w:color="auto" w:sz="4" w:space="0"/>
            </w:tcBorders>
            <w:vAlign w:val="center"/>
          </w:tcPr>
          <w:p>
            <w:pPr>
              <w:jc w:val="center"/>
              <w:rPr>
                <w:rFonts w:hAnsi="宋体" w:cs="宋体"/>
                <w:b/>
                <w:bCs/>
                <w:color w:val="auto"/>
                <w:sz w:val="21"/>
                <w:szCs w:val="21"/>
                <w:highlight w:val="none"/>
                <w:lang w:bidi="ar"/>
              </w:rPr>
            </w:pPr>
            <w:r>
              <w:rPr>
                <w:rFonts w:hint="eastAsia" w:hAnsi="宋体" w:cs="宋体"/>
                <w:b/>
                <w:bCs/>
                <w:color w:val="auto"/>
                <w:sz w:val="21"/>
                <w:szCs w:val="21"/>
                <w:highlight w:val="none"/>
                <w:lang w:bidi="ar"/>
              </w:rPr>
              <w:t>技术规格参数</w:t>
            </w:r>
          </w:p>
        </w:tc>
      </w:tr>
      <w:tr>
        <w:tblPrEx>
          <w:tblCellMar>
            <w:top w:w="0" w:type="dxa"/>
            <w:left w:w="108" w:type="dxa"/>
            <w:bottom w:w="0" w:type="dxa"/>
            <w:right w:w="108" w:type="dxa"/>
          </w:tblCellMar>
        </w:tblPrEx>
        <w:trPr>
          <w:trHeight w:val="72"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w:t>
            </w:r>
          </w:p>
        </w:tc>
        <w:tc>
          <w:tcPr>
            <w:tcW w:w="4455" w:type="pct"/>
            <w:tcBorders>
              <w:top w:val="single" w:color="auto" w:sz="4" w:space="0"/>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包转发率：≥51Mpps</w:t>
            </w:r>
          </w:p>
        </w:tc>
      </w:tr>
      <w:tr>
        <w:tblPrEx>
          <w:tblCellMar>
            <w:top w:w="0" w:type="dxa"/>
            <w:left w:w="108" w:type="dxa"/>
            <w:bottom w:w="0" w:type="dxa"/>
            <w:right w:w="108" w:type="dxa"/>
          </w:tblCellMar>
        </w:tblPrEx>
        <w:trPr>
          <w:trHeight w:val="70"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2</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交换容量：≥336Gbps</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3</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固定端口：≥24 个 10/100/1000BASE-T 以太网端口,≥4 个千兆SFP,PoE+,交流供电</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4</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支持MAC地址自动学习和老化</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5</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支持静态、动态、黑洞MAC表项</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6</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支持源MAC地址过滤；支持接口MAC地址学习个数限制。支持4K个VLAN；支持Guest VLAN、Voice VLAN；支持GVRP协议；支持MUX VLAN功能</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7</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支持基于MAC/协议/IP子网/策略/端口的VLAN</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8</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支持1:1和N:1 VLAN Mapping功能；支持作为SVF Client零配置即插即用</w:t>
            </w:r>
          </w:p>
        </w:tc>
      </w:tr>
      <w:tr>
        <w:tblPrEx>
          <w:tblCellMar>
            <w:top w:w="0" w:type="dxa"/>
            <w:left w:w="108" w:type="dxa"/>
            <w:bottom w:w="0" w:type="dxa"/>
            <w:right w:w="108" w:type="dxa"/>
          </w:tblCellMar>
        </w:tblPrEx>
        <w:trPr>
          <w:trHeight w:val="90"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9</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支持自动加载Client的大包和补丁</w:t>
            </w:r>
          </w:p>
        </w:tc>
      </w:tr>
      <w:tr>
        <w:tblPrEx>
          <w:tblCellMar>
            <w:top w:w="0" w:type="dxa"/>
            <w:left w:w="108" w:type="dxa"/>
            <w:bottom w:w="0" w:type="dxa"/>
            <w:right w:w="108" w:type="dxa"/>
          </w:tblCellMar>
        </w:tblPrEx>
        <w:trPr>
          <w:trHeight w:val="5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10</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支持业务一键式自动下发</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11</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Client支持独立运行；静态路由、RIP、RIPng协议</w:t>
            </w:r>
          </w:p>
        </w:tc>
      </w:tr>
    </w:tbl>
    <w:p>
      <w:pPr>
        <w:pStyle w:val="8"/>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3.5、400万星光级网络高清枪机</w:t>
      </w:r>
    </w:p>
    <w:tbl>
      <w:tblPr>
        <w:tblStyle w:val="52"/>
        <w:tblW w:w="4998" w:type="pct"/>
        <w:tblInd w:w="0" w:type="dxa"/>
        <w:tblLayout w:type="autofit"/>
        <w:tblCellMar>
          <w:top w:w="0" w:type="dxa"/>
          <w:left w:w="108" w:type="dxa"/>
          <w:bottom w:w="0" w:type="dxa"/>
          <w:right w:w="108" w:type="dxa"/>
        </w:tblCellMar>
      </w:tblPr>
      <w:tblGrid>
        <w:gridCol w:w="1012"/>
        <w:gridCol w:w="8288"/>
      </w:tblGrid>
      <w:tr>
        <w:tblPrEx>
          <w:tblCellMar>
            <w:top w:w="0" w:type="dxa"/>
            <w:left w:w="108" w:type="dxa"/>
            <w:bottom w:w="0" w:type="dxa"/>
            <w:right w:w="108" w:type="dxa"/>
          </w:tblCellMar>
        </w:tblPrEx>
        <w:trPr>
          <w:trHeight w:val="70"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b/>
                <w:bCs/>
                <w:color w:val="auto"/>
                <w:sz w:val="21"/>
                <w:szCs w:val="21"/>
                <w:highlight w:val="none"/>
                <w:lang w:bidi="ar"/>
              </w:rPr>
            </w:pPr>
            <w:r>
              <w:rPr>
                <w:rFonts w:hint="eastAsia" w:hAnsi="宋体" w:cs="宋体"/>
                <w:b/>
                <w:bCs/>
                <w:color w:val="auto"/>
                <w:sz w:val="21"/>
                <w:szCs w:val="21"/>
                <w:highlight w:val="none"/>
                <w:lang w:bidi="ar"/>
              </w:rPr>
              <w:t>序号</w:t>
            </w:r>
          </w:p>
        </w:tc>
        <w:tc>
          <w:tcPr>
            <w:tcW w:w="4455" w:type="pct"/>
            <w:tcBorders>
              <w:top w:val="single" w:color="auto" w:sz="4" w:space="0"/>
              <w:left w:val="nil"/>
              <w:bottom w:val="single" w:color="auto" w:sz="4" w:space="0"/>
              <w:right w:val="single" w:color="auto" w:sz="4" w:space="0"/>
            </w:tcBorders>
            <w:vAlign w:val="center"/>
          </w:tcPr>
          <w:p>
            <w:pPr>
              <w:jc w:val="center"/>
              <w:rPr>
                <w:rFonts w:hAnsi="宋体" w:cs="宋体"/>
                <w:b/>
                <w:bCs/>
                <w:color w:val="auto"/>
                <w:sz w:val="21"/>
                <w:szCs w:val="21"/>
                <w:highlight w:val="none"/>
                <w:lang w:bidi="ar"/>
              </w:rPr>
            </w:pPr>
            <w:r>
              <w:rPr>
                <w:rFonts w:hint="eastAsia" w:hAnsi="宋体" w:cs="宋体"/>
                <w:b/>
                <w:bCs/>
                <w:color w:val="auto"/>
                <w:sz w:val="21"/>
                <w:szCs w:val="21"/>
                <w:highlight w:val="none"/>
                <w:lang w:bidi="ar"/>
              </w:rPr>
              <w:t>技术规格参数</w:t>
            </w:r>
          </w:p>
        </w:tc>
      </w:tr>
      <w:tr>
        <w:tblPrEx>
          <w:tblCellMar>
            <w:top w:w="0" w:type="dxa"/>
            <w:left w:w="108" w:type="dxa"/>
            <w:bottom w:w="0" w:type="dxa"/>
            <w:right w:w="108" w:type="dxa"/>
          </w:tblCellMar>
        </w:tblPrEx>
        <w:trPr>
          <w:trHeight w:val="72"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w:t>
            </w:r>
          </w:p>
        </w:tc>
        <w:tc>
          <w:tcPr>
            <w:tcW w:w="4455" w:type="pct"/>
            <w:tcBorders>
              <w:top w:val="single" w:color="auto" w:sz="4" w:space="0"/>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 xml:space="preserve">图像传感器：400万 1/2.7" CMOS ICR </w:t>
            </w:r>
          </w:p>
        </w:tc>
      </w:tr>
      <w:tr>
        <w:tblPrEx>
          <w:tblCellMar>
            <w:top w:w="0" w:type="dxa"/>
            <w:left w:w="108" w:type="dxa"/>
            <w:bottom w:w="0" w:type="dxa"/>
            <w:right w:w="108" w:type="dxa"/>
          </w:tblCellMar>
        </w:tblPrEx>
        <w:trPr>
          <w:trHeight w:val="70"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2</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最低照度:彩色：0.005 Lux @（F1.2，AGC ON），0 Lux with Light</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3</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红外波长范围: 850 nm，补光距离: 红外光最远可达50 m</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4</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视频压缩标准: 主码流：H.265/H.264</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5</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最大图像尺寸: 2560 × 1440</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6</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支持防补光过曝</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7</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在2560x1440下分辨力可达到1400TVL</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8</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内置1个麦克风，1个RJ45网络接口</w:t>
            </w:r>
          </w:p>
        </w:tc>
      </w:tr>
      <w:tr>
        <w:tblPrEx>
          <w:tblCellMar>
            <w:top w:w="0" w:type="dxa"/>
            <w:left w:w="108" w:type="dxa"/>
            <w:bottom w:w="0" w:type="dxa"/>
            <w:right w:w="108" w:type="dxa"/>
          </w:tblCellMar>
        </w:tblPrEx>
        <w:trPr>
          <w:trHeight w:val="90"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9</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支持IP66防尘防水</w:t>
            </w:r>
          </w:p>
        </w:tc>
      </w:tr>
    </w:tbl>
    <w:p>
      <w:pPr>
        <w:pStyle w:val="8"/>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3.6、●网络硬盘录像机（64路16盘）</w:t>
      </w:r>
    </w:p>
    <w:tbl>
      <w:tblPr>
        <w:tblStyle w:val="52"/>
        <w:tblW w:w="4998" w:type="pct"/>
        <w:tblInd w:w="0" w:type="dxa"/>
        <w:tblLayout w:type="autofit"/>
        <w:tblCellMar>
          <w:top w:w="0" w:type="dxa"/>
          <w:left w:w="108" w:type="dxa"/>
          <w:bottom w:w="0" w:type="dxa"/>
          <w:right w:w="108" w:type="dxa"/>
        </w:tblCellMar>
      </w:tblPr>
      <w:tblGrid>
        <w:gridCol w:w="1012"/>
        <w:gridCol w:w="8288"/>
      </w:tblGrid>
      <w:tr>
        <w:tblPrEx>
          <w:tblCellMar>
            <w:top w:w="0" w:type="dxa"/>
            <w:left w:w="108" w:type="dxa"/>
            <w:bottom w:w="0" w:type="dxa"/>
            <w:right w:w="108" w:type="dxa"/>
          </w:tblCellMar>
        </w:tblPrEx>
        <w:trPr>
          <w:trHeight w:val="70"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b/>
                <w:bCs/>
                <w:color w:val="auto"/>
                <w:sz w:val="21"/>
                <w:szCs w:val="21"/>
                <w:highlight w:val="none"/>
                <w:lang w:bidi="ar"/>
              </w:rPr>
            </w:pPr>
            <w:r>
              <w:rPr>
                <w:rFonts w:hint="eastAsia" w:hAnsi="宋体" w:cs="宋体"/>
                <w:b/>
                <w:bCs/>
                <w:color w:val="auto"/>
                <w:sz w:val="21"/>
                <w:szCs w:val="21"/>
                <w:highlight w:val="none"/>
                <w:lang w:bidi="ar"/>
              </w:rPr>
              <w:t>序号</w:t>
            </w:r>
          </w:p>
        </w:tc>
        <w:tc>
          <w:tcPr>
            <w:tcW w:w="4455" w:type="pct"/>
            <w:tcBorders>
              <w:top w:val="single" w:color="auto" w:sz="4" w:space="0"/>
              <w:left w:val="nil"/>
              <w:bottom w:val="single" w:color="auto" w:sz="4" w:space="0"/>
              <w:right w:val="single" w:color="auto" w:sz="4" w:space="0"/>
            </w:tcBorders>
            <w:vAlign w:val="center"/>
          </w:tcPr>
          <w:p>
            <w:pPr>
              <w:jc w:val="center"/>
              <w:rPr>
                <w:rFonts w:hAnsi="宋体" w:cs="宋体"/>
                <w:b/>
                <w:bCs/>
                <w:color w:val="auto"/>
                <w:sz w:val="21"/>
                <w:szCs w:val="21"/>
                <w:highlight w:val="none"/>
                <w:lang w:bidi="ar"/>
              </w:rPr>
            </w:pPr>
            <w:r>
              <w:rPr>
                <w:rFonts w:hint="eastAsia" w:hAnsi="宋体" w:cs="宋体"/>
                <w:b/>
                <w:bCs/>
                <w:color w:val="auto"/>
                <w:sz w:val="21"/>
                <w:szCs w:val="21"/>
                <w:highlight w:val="none"/>
                <w:lang w:bidi="ar"/>
              </w:rPr>
              <w:t>技术规格参数</w:t>
            </w:r>
          </w:p>
        </w:tc>
      </w:tr>
      <w:tr>
        <w:tblPrEx>
          <w:tblCellMar>
            <w:top w:w="0" w:type="dxa"/>
            <w:left w:w="108" w:type="dxa"/>
            <w:bottom w:w="0" w:type="dxa"/>
            <w:right w:w="108" w:type="dxa"/>
          </w:tblCellMar>
        </w:tblPrEx>
        <w:trPr>
          <w:trHeight w:val="90"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w:t>
            </w:r>
          </w:p>
        </w:tc>
        <w:tc>
          <w:tcPr>
            <w:tcW w:w="4455" w:type="pct"/>
            <w:tcBorders>
              <w:top w:val="single" w:color="auto" w:sz="4" w:space="0"/>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具有≥2个HDMI接口、≥2个VGA接口、≥2个RJ45网络接口、≥2个USB2.0接口、≥1个USB3.0接口、≥1个RS232接口、≥1个RS485接口（可接入RS485键盘）、≥1个eSata接口；具有≥1路音频输入接口、≥2路音频输出接口，≥16路报警输入接口、≥8路报警输出接口；可内置≥16个SATA接口硬盘</w:t>
            </w:r>
          </w:p>
        </w:tc>
      </w:tr>
      <w:tr>
        <w:tblPrEx>
          <w:tblCellMar>
            <w:top w:w="0" w:type="dxa"/>
            <w:left w:w="108" w:type="dxa"/>
            <w:bottom w:w="0" w:type="dxa"/>
            <w:right w:w="108" w:type="dxa"/>
          </w:tblCellMar>
        </w:tblPrEx>
        <w:trPr>
          <w:trHeight w:val="70"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2</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可接入1T、2T、3T、4T、6T、8T、10T、12TB、14TB、16TB、18TB容量的SATA接口硬盘</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3</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▲可接入≥64路分辨率为1920×1080的视频图像；支持最大接入带宽≥640Mbps，最大存储带宽≥640Mbps，最大转发带宽≥640Mbps，最大回放带宽≥640Mbps</w:t>
            </w:r>
            <w:r>
              <w:rPr>
                <w:rFonts w:hint="eastAsia" w:hAnsi="宋体" w:cs="宋体"/>
                <w:color w:val="auto"/>
                <w:sz w:val="21"/>
                <w:szCs w:val="21"/>
                <w:highlight w:val="none"/>
              </w:rPr>
              <w:t>（须提供第三方检测报告复印件并加盖投标人公章）</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4</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预览分辨率支持：8160×3616(25帧/秒)、8208×3072（25帧/秒）、8160×2304（25帧/秒）、6912×2800(25帧/秒)、5760×1696(25帧/秒)、5520×2400（25帧/秒）、4096×2160（25帧/秒）、4000×3000(25帧/秒)、3072×3072(25帧/秒)、4096×2160（25帧/秒）、3840×2160(25帧/秒)、2560×2560(25帧/秒)、2560×1440(25帧/秒)、1920×1080(25帧/秒) 、1280×960(25帧/秒)、1280×720(25帧/秒)、704×576(25帧/秒)</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5</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可同时显示输出16路H.265编码、30fps、1920×1080格式的视频图像，或同时输出4路 H.265编码、25fps、4096×2160或者3840×2160格式的视频图像，或同时解码3路 H.265编码、20fps、4000×3000格式的视频图像，或输出1路H.265编码、25fps、8160×3616格式的视频图像</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6</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具有存储安全保障功能，当存储压力过高或硬盘出现性能不足时，可优先录像业务存储</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7</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支持过车记录导出表格功能，表格包含通道、时间、车牌号、车型、车牌颜色、车身颜色、车辆品牌、车辆抓拍图片信息</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8</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支持设置一台设备为最多32台的热备机，当主设备断网时，备份设备替换主设备进行录像工作；当主设备正常时，备份机可回传录像文件至主设备；支持N+M热备功能，可将多台样机分别设置为主服务器和备用服务器，可配置高速/中速/低速回传（1＜M＜N）</w:t>
            </w:r>
          </w:p>
        </w:tc>
      </w:tr>
      <w:tr>
        <w:tblPrEx>
          <w:tblCellMar>
            <w:top w:w="0" w:type="dxa"/>
            <w:left w:w="108" w:type="dxa"/>
            <w:bottom w:w="0" w:type="dxa"/>
            <w:right w:w="108" w:type="dxa"/>
          </w:tblCellMar>
        </w:tblPrEx>
        <w:trPr>
          <w:trHeight w:val="90"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9</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支持本地和远程进行IPv6配置，IPv6支持设置多种模式：路由公告、自动获取、手动配置；支持以IPv6方式接入IPC进行预览、参数配置、报警接收和展现、语音对讲、IPC列表导入、IP地址冲突检测等功能</w:t>
            </w:r>
          </w:p>
        </w:tc>
      </w:tr>
      <w:tr>
        <w:tblPrEx>
          <w:tblCellMar>
            <w:top w:w="0" w:type="dxa"/>
            <w:left w:w="108" w:type="dxa"/>
            <w:bottom w:w="0" w:type="dxa"/>
            <w:right w:w="108" w:type="dxa"/>
          </w:tblCellMar>
        </w:tblPrEx>
        <w:trPr>
          <w:trHeight w:val="5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10</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支持将设备日志上传到日志服务器，可配置日志服务器IP地址和端口</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11</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支持自动维护功能，可根据设置时间点启用系统自动维护流程，包括自检、重启、取流、录像、恢复系统运行</w:t>
            </w:r>
          </w:p>
        </w:tc>
      </w:tr>
    </w:tbl>
    <w:p>
      <w:pPr>
        <w:pStyle w:val="8"/>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3.7、监控平台授权（1路授权）</w:t>
      </w:r>
    </w:p>
    <w:tbl>
      <w:tblPr>
        <w:tblStyle w:val="52"/>
        <w:tblW w:w="4998" w:type="pct"/>
        <w:tblInd w:w="0" w:type="dxa"/>
        <w:tblLayout w:type="autofit"/>
        <w:tblCellMar>
          <w:top w:w="0" w:type="dxa"/>
          <w:left w:w="108" w:type="dxa"/>
          <w:bottom w:w="0" w:type="dxa"/>
          <w:right w:w="108" w:type="dxa"/>
        </w:tblCellMar>
      </w:tblPr>
      <w:tblGrid>
        <w:gridCol w:w="1012"/>
        <w:gridCol w:w="8288"/>
      </w:tblGrid>
      <w:tr>
        <w:tblPrEx>
          <w:tblCellMar>
            <w:top w:w="0" w:type="dxa"/>
            <w:left w:w="108" w:type="dxa"/>
            <w:bottom w:w="0" w:type="dxa"/>
            <w:right w:w="108" w:type="dxa"/>
          </w:tblCellMar>
        </w:tblPrEx>
        <w:trPr>
          <w:trHeight w:val="70"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b/>
                <w:bCs/>
                <w:color w:val="auto"/>
                <w:sz w:val="21"/>
                <w:szCs w:val="21"/>
                <w:highlight w:val="none"/>
                <w:lang w:bidi="ar"/>
              </w:rPr>
            </w:pPr>
            <w:r>
              <w:rPr>
                <w:rFonts w:hint="eastAsia" w:hAnsi="宋体" w:cs="宋体"/>
                <w:b/>
                <w:bCs/>
                <w:color w:val="auto"/>
                <w:sz w:val="21"/>
                <w:szCs w:val="21"/>
                <w:highlight w:val="none"/>
                <w:lang w:bidi="ar"/>
              </w:rPr>
              <w:t>序号</w:t>
            </w:r>
          </w:p>
        </w:tc>
        <w:tc>
          <w:tcPr>
            <w:tcW w:w="4455" w:type="pct"/>
            <w:tcBorders>
              <w:top w:val="single" w:color="auto" w:sz="4" w:space="0"/>
              <w:left w:val="nil"/>
              <w:bottom w:val="single" w:color="auto" w:sz="4" w:space="0"/>
              <w:right w:val="single" w:color="auto" w:sz="4" w:space="0"/>
            </w:tcBorders>
            <w:vAlign w:val="center"/>
          </w:tcPr>
          <w:p>
            <w:pPr>
              <w:jc w:val="center"/>
              <w:rPr>
                <w:rFonts w:hAnsi="宋体" w:cs="宋体"/>
                <w:b/>
                <w:bCs/>
                <w:color w:val="auto"/>
                <w:sz w:val="21"/>
                <w:szCs w:val="21"/>
                <w:highlight w:val="none"/>
                <w:lang w:bidi="ar"/>
              </w:rPr>
            </w:pPr>
            <w:r>
              <w:rPr>
                <w:rFonts w:hint="eastAsia" w:hAnsi="宋体" w:cs="宋体"/>
                <w:b/>
                <w:bCs/>
                <w:color w:val="auto"/>
                <w:sz w:val="21"/>
                <w:szCs w:val="21"/>
                <w:highlight w:val="none"/>
                <w:lang w:bidi="ar"/>
              </w:rPr>
              <w:t>技术规格参数</w:t>
            </w:r>
          </w:p>
        </w:tc>
      </w:tr>
      <w:tr>
        <w:tblPrEx>
          <w:tblCellMar>
            <w:top w:w="0" w:type="dxa"/>
            <w:left w:w="108" w:type="dxa"/>
            <w:bottom w:w="0" w:type="dxa"/>
            <w:right w:w="108" w:type="dxa"/>
          </w:tblCellMar>
        </w:tblPrEx>
        <w:trPr>
          <w:trHeight w:val="72"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w:t>
            </w:r>
          </w:p>
        </w:tc>
        <w:tc>
          <w:tcPr>
            <w:tcW w:w="4455" w:type="pct"/>
            <w:tcBorders>
              <w:top w:val="single" w:color="auto" w:sz="4" w:space="0"/>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支持视频实时预览能力，实现预览窗口布局切换、预览画面自适应及全屏切换；</w:t>
            </w:r>
          </w:p>
        </w:tc>
      </w:tr>
      <w:tr>
        <w:tblPrEx>
          <w:tblCellMar>
            <w:top w:w="0" w:type="dxa"/>
            <w:left w:w="108" w:type="dxa"/>
            <w:bottom w:w="0" w:type="dxa"/>
            <w:right w:w="108" w:type="dxa"/>
          </w:tblCellMar>
        </w:tblPrEx>
        <w:trPr>
          <w:trHeight w:val="70"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2</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支持云台控制、实时抓图、紧急录像、即时回放、主子码流切换、声音开启\关闭、辅屏预览（1个辅屏）、对讲、广播、报警输出控制的能力；</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3</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支持智能规则展示的能力（如：针对热成像设备温度信息实时展示）；</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4</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支持资源视图管理能力，以视图形式管理监控点、视频预览轮巡等自定义资源组，其中视图类型包含公有视图和私有视图；</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5</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支持全景视频监控预览能力，支持球型鹰眼、全景摄像机的全景模式；</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6</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支持录像计划管理能力，支持实时录像计划、录像回传计划；</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7</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支持录像回放能力，支持多画面同步回放和异步回放切换、超高倍速回放、分段回放、录像下载、录像剪辑、录像标签、录像锁定、录像抓图；</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8</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支持视频预览与图片实时监控模式切换能力，实现图片监控模式</w:t>
            </w:r>
          </w:p>
        </w:tc>
      </w:tr>
      <w:tr>
        <w:tblPrEx>
          <w:tblCellMar>
            <w:top w:w="0" w:type="dxa"/>
            <w:left w:w="108" w:type="dxa"/>
            <w:bottom w:w="0" w:type="dxa"/>
            <w:right w:w="108" w:type="dxa"/>
          </w:tblCellMar>
        </w:tblPrEx>
        <w:trPr>
          <w:trHeight w:val="90"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9</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支持电视墙场景管理能力，实现场景窗口配置、场景切换计划配置以及轮巡计划的管理；</w:t>
            </w:r>
          </w:p>
        </w:tc>
      </w:tr>
      <w:tr>
        <w:tblPrEx>
          <w:tblCellMar>
            <w:top w:w="0" w:type="dxa"/>
            <w:left w:w="108" w:type="dxa"/>
            <w:bottom w:w="0" w:type="dxa"/>
            <w:right w:w="108" w:type="dxa"/>
          </w:tblCellMar>
        </w:tblPrEx>
        <w:trPr>
          <w:trHeight w:val="5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10</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支持上墙控制能力，实现场景一键上墙、场景切换、电视墙切换、监控点上下墙、轮巡控制操作；</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11</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支持视频事件布撤防能力，可按计划模版进行布防，事件类型包括移动侦测、视频丢失、视频遮挡、报警输入、报警输出；</w:t>
            </w:r>
          </w:p>
        </w:tc>
      </w:tr>
    </w:tbl>
    <w:p>
      <w:pPr>
        <w:pStyle w:val="8"/>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3.8、工业级1光1电光纤交换机</w:t>
      </w:r>
    </w:p>
    <w:tbl>
      <w:tblPr>
        <w:tblStyle w:val="52"/>
        <w:tblW w:w="4998" w:type="pct"/>
        <w:tblInd w:w="0" w:type="dxa"/>
        <w:tblLayout w:type="autofit"/>
        <w:tblCellMar>
          <w:top w:w="0" w:type="dxa"/>
          <w:left w:w="108" w:type="dxa"/>
          <w:bottom w:w="0" w:type="dxa"/>
          <w:right w:w="108" w:type="dxa"/>
        </w:tblCellMar>
      </w:tblPr>
      <w:tblGrid>
        <w:gridCol w:w="1012"/>
        <w:gridCol w:w="8288"/>
      </w:tblGrid>
      <w:tr>
        <w:tblPrEx>
          <w:tblCellMar>
            <w:top w:w="0" w:type="dxa"/>
            <w:left w:w="108" w:type="dxa"/>
            <w:bottom w:w="0" w:type="dxa"/>
            <w:right w:w="108" w:type="dxa"/>
          </w:tblCellMar>
        </w:tblPrEx>
        <w:trPr>
          <w:trHeight w:val="70"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b/>
                <w:bCs/>
                <w:color w:val="auto"/>
                <w:sz w:val="21"/>
                <w:szCs w:val="21"/>
                <w:highlight w:val="none"/>
                <w:lang w:bidi="ar"/>
              </w:rPr>
            </w:pPr>
            <w:r>
              <w:rPr>
                <w:rFonts w:hint="eastAsia" w:hAnsi="宋体" w:cs="宋体"/>
                <w:b/>
                <w:bCs/>
                <w:color w:val="auto"/>
                <w:sz w:val="21"/>
                <w:szCs w:val="21"/>
                <w:highlight w:val="none"/>
                <w:lang w:bidi="ar"/>
              </w:rPr>
              <w:t>序号</w:t>
            </w:r>
          </w:p>
        </w:tc>
        <w:tc>
          <w:tcPr>
            <w:tcW w:w="4455" w:type="pct"/>
            <w:tcBorders>
              <w:top w:val="single" w:color="auto" w:sz="4" w:space="0"/>
              <w:left w:val="nil"/>
              <w:bottom w:val="single" w:color="auto" w:sz="4" w:space="0"/>
              <w:right w:val="single" w:color="auto" w:sz="4" w:space="0"/>
            </w:tcBorders>
            <w:vAlign w:val="center"/>
          </w:tcPr>
          <w:p>
            <w:pPr>
              <w:jc w:val="center"/>
              <w:rPr>
                <w:rFonts w:hAnsi="宋体" w:cs="宋体"/>
                <w:b/>
                <w:bCs/>
                <w:color w:val="auto"/>
                <w:sz w:val="21"/>
                <w:szCs w:val="21"/>
                <w:highlight w:val="none"/>
                <w:lang w:bidi="ar"/>
              </w:rPr>
            </w:pPr>
            <w:r>
              <w:rPr>
                <w:rFonts w:hint="eastAsia" w:hAnsi="宋体" w:cs="宋体"/>
                <w:b/>
                <w:bCs/>
                <w:color w:val="auto"/>
                <w:sz w:val="21"/>
                <w:szCs w:val="21"/>
                <w:highlight w:val="none"/>
                <w:lang w:bidi="ar"/>
              </w:rPr>
              <w:t>技术规格参数</w:t>
            </w:r>
          </w:p>
        </w:tc>
      </w:tr>
      <w:tr>
        <w:tblPrEx>
          <w:tblCellMar>
            <w:top w:w="0" w:type="dxa"/>
            <w:left w:w="108" w:type="dxa"/>
            <w:bottom w:w="0" w:type="dxa"/>
            <w:right w:w="108" w:type="dxa"/>
          </w:tblCellMar>
        </w:tblPrEx>
        <w:trPr>
          <w:trHeight w:val="72"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w:t>
            </w:r>
          </w:p>
        </w:tc>
        <w:tc>
          <w:tcPr>
            <w:tcW w:w="4455" w:type="pct"/>
            <w:tcBorders>
              <w:top w:val="single" w:color="auto" w:sz="4" w:space="0"/>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物理端口: 1千兆光(SC/FC/ST/LC可选）+1千兆电组成;</w:t>
            </w:r>
          </w:p>
        </w:tc>
      </w:tr>
      <w:tr>
        <w:tblPrEx>
          <w:tblCellMar>
            <w:top w:w="0" w:type="dxa"/>
            <w:left w:w="108" w:type="dxa"/>
            <w:bottom w:w="0" w:type="dxa"/>
            <w:right w:w="108" w:type="dxa"/>
          </w:tblCellMar>
        </w:tblPrEx>
        <w:trPr>
          <w:trHeight w:val="70"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2</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交换容量: 12Gbps, 转发速率：6Mpps；</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3</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标准协议: IEEE802.3i,IEEE802.3u；</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4</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光纤端口: 1000Base-GX端口（SC/FC/ST/SFP可选）；</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5</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RJ45端口: 支持10/100/1000M,全/半双工, MDI/MDI-X自适应功能；</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6</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传输距离: 双绞线100m, 多模光纤500m~2km, 单模光纤20km~120km;</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7</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兼容性强: Broadcom芯片, 兼容HUAWEI,CISCO,H3C,RUIJIE等主流品牌；</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8</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机械结构: IP40,防雷击6KV,防浪涌,全铝机身, 无风扇设计, 导轨/壁挂式；</w:t>
            </w:r>
          </w:p>
        </w:tc>
      </w:tr>
      <w:tr>
        <w:tblPrEx>
          <w:tblCellMar>
            <w:top w:w="0" w:type="dxa"/>
            <w:left w:w="108" w:type="dxa"/>
            <w:bottom w:w="0" w:type="dxa"/>
            <w:right w:w="108" w:type="dxa"/>
          </w:tblCellMar>
        </w:tblPrEx>
        <w:trPr>
          <w:trHeight w:val="90"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9</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电源参数: 3P工业端子, DC12～56V双电源冗余设计,防反接/过流保护；</w:t>
            </w:r>
          </w:p>
        </w:tc>
      </w:tr>
      <w:tr>
        <w:tblPrEx>
          <w:tblCellMar>
            <w:top w:w="0" w:type="dxa"/>
            <w:left w:w="108" w:type="dxa"/>
            <w:bottom w:w="0" w:type="dxa"/>
            <w:right w:w="108" w:type="dxa"/>
          </w:tblCellMar>
        </w:tblPrEx>
        <w:trPr>
          <w:trHeight w:val="5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10</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环境参数: 工作温度: -40~85℃, 存储温度: -40C～90℃。</w:t>
            </w:r>
          </w:p>
        </w:tc>
      </w:tr>
    </w:tbl>
    <w:p>
      <w:pPr>
        <w:pStyle w:val="3"/>
        <w:ind w:firstLine="210"/>
        <w:rPr>
          <w:rFonts w:ascii="宋体" w:hAnsi="宋体" w:cs="宋体"/>
          <w:color w:val="auto"/>
          <w:szCs w:val="21"/>
          <w:highlight w:val="none"/>
        </w:rPr>
      </w:pPr>
    </w:p>
    <w:p>
      <w:pPr>
        <w:pStyle w:val="8"/>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3.9、工业级1光4电POE光纤交换机</w:t>
      </w:r>
    </w:p>
    <w:tbl>
      <w:tblPr>
        <w:tblStyle w:val="52"/>
        <w:tblW w:w="4998" w:type="pct"/>
        <w:tblInd w:w="0" w:type="dxa"/>
        <w:tblLayout w:type="autofit"/>
        <w:tblCellMar>
          <w:top w:w="0" w:type="dxa"/>
          <w:left w:w="108" w:type="dxa"/>
          <w:bottom w:w="0" w:type="dxa"/>
          <w:right w:w="108" w:type="dxa"/>
        </w:tblCellMar>
      </w:tblPr>
      <w:tblGrid>
        <w:gridCol w:w="1012"/>
        <w:gridCol w:w="8288"/>
      </w:tblGrid>
      <w:tr>
        <w:tblPrEx>
          <w:tblCellMar>
            <w:top w:w="0" w:type="dxa"/>
            <w:left w:w="108" w:type="dxa"/>
            <w:bottom w:w="0" w:type="dxa"/>
            <w:right w:w="108" w:type="dxa"/>
          </w:tblCellMar>
        </w:tblPrEx>
        <w:trPr>
          <w:trHeight w:val="70"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b/>
                <w:bCs/>
                <w:color w:val="auto"/>
                <w:sz w:val="21"/>
                <w:szCs w:val="21"/>
                <w:highlight w:val="none"/>
                <w:lang w:bidi="ar"/>
              </w:rPr>
            </w:pPr>
            <w:r>
              <w:rPr>
                <w:rFonts w:hint="eastAsia" w:hAnsi="宋体" w:cs="宋体"/>
                <w:b/>
                <w:bCs/>
                <w:color w:val="auto"/>
                <w:sz w:val="21"/>
                <w:szCs w:val="21"/>
                <w:highlight w:val="none"/>
                <w:lang w:bidi="ar"/>
              </w:rPr>
              <w:t>序号</w:t>
            </w:r>
          </w:p>
        </w:tc>
        <w:tc>
          <w:tcPr>
            <w:tcW w:w="4455" w:type="pct"/>
            <w:tcBorders>
              <w:top w:val="single" w:color="auto" w:sz="4" w:space="0"/>
              <w:left w:val="nil"/>
              <w:bottom w:val="single" w:color="auto" w:sz="4" w:space="0"/>
              <w:right w:val="single" w:color="auto" w:sz="4" w:space="0"/>
            </w:tcBorders>
            <w:vAlign w:val="center"/>
          </w:tcPr>
          <w:p>
            <w:pPr>
              <w:jc w:val="center"/>
              <w:rPr>
                <w:rFonts w:hAnsi="宋体" w:cs="宋体"/>
                <w:b/>
                <w:bCs/>
                <w:color w:val="auto"/>
                <w:sz w:val="21"/>
                <w:szCs w:val="21"/>
                <w:highlight w:val="none"/>
                <w:lang w:bidi="ar"/>
              </w:rPr>
            </w:pPr>
            <w:r>
              <w:rPr>
                <w:rFonts w:hint="eastAsia" w:hAnsi="宋体" w:cs="宋体"/>
                <w:b/>
                <w:bCs/>
                <w:color w:val="auto"/>
                <w:sz w:val="21"/>
                <w:szCs w:val="21"/>
                <w:highlight w:val="none"/>
                <w:lang w:bidi="ar"/>
              </w:rPr>
              <w:t>技术规格参数</w:t>
            </w:r>
          </w:p>
        </w:tc>
      </w:tr>
      <w:tr>
        <w:tblPrEx>
          <w:tblCellMar>
            <w:top w:w="0" w:type="dxa"/>
            <w:left w:w="108" w:type="dxa"/>
            <w:bottom w:w="0" w:type="dxa"/>
            <w:right w:w="108" w:type="dxa"/>
          </w:tblCellMar>
        </w:tblPrEx>
        <w:trPr>
          <w:trHeight w:val="72"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w:t>
            </w:r>
          </w:p>
        </w:tc>
        <w:tc>
          <w:tcPr>
            <w:tcW w:w="4455" w:type="pct"/>
            <w:tcBorders>
              <w:top w:val="single" w:color="auto" w:sz="4" w:space="0"/>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物理端口: 1千兆光(SC/FC/ST/LC可选）+4千兆PoE电组成;</w:t>
            </w:r>
          </w:p>
        </w:tc>
      </w:tr>
      <w:tr>
        <w:tblPrEx>
          <w:tblCellMar>
            <w:top w:w="0" w:type="dxa"/>
            <w:left w:w="108" w:type="dxa"/>
            <w:bottom w:w="0" w:type="dxa"/>
            <w:right w:w="108" w:type="dxa"/>
          </w:tblCellMar>
        </w:tblPrEx>
        <w:trPr>
          <w:trHeight w:val="70"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2</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 xml:space="preserve">交换容量: 48Gbps, 转发速率：22Mpps； </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3</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 xml:space="preserve">RJ45端口: 支持10/100/1000M,全/半双工, MDI/MDI-X自适应功能； </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4</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 xml:space="preserve">PoE协议: 支持标准IEEE 802.3af/at协议, 单口15.4W/30W 输出； </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5</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 xml:space="preserve">传输距离: PoE供电距离100m（标准CAT5/CAT5e线缆）； </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6</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 xml:space="preserve">供电标准: 电口PoE智能检测识别符合标准的受电设备，并为其供电； </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7</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 xml:space="preserve">兼容性强: Broadcom芯片, 兼容HUAWEI,CISCO,H3C,RUIJIE等主流品牌； </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8</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 xml:space="preserve">机械结构: IP40,防雷击6KV,防浪涌,全铝机身, 无风扇设计, 导轨/壁挂式； </w:t>
            </w:r>
          </w:p>
        </w:tc>
      </w:tr>
      <w:tr>
        <w:tblPrEx>
          <w:tblCellMar>
            <w:top w:w="0" w:type="dxa"/>
            <w:left w:w="108" w:type="dxa"/>
            <w:bottom w:w="0" w:type="dxa"/>
            <w:right w:w="108" w:type="dxa"/>
          </w:tblCellMar>
        </w:tblPrEx>
        <w:trPr>
          <w:trHeight w:val="90"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9</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 xml:space="preserve">电源参数: 6P工业端子, DC48～52V双电源冗余设计,防反接/过流保护； </w:t>
            </w:r>
          </w:p>
        </w:tc>
      </w:tr>
      <w:tr>
        <w:tblPrEx>
          <w:tblCellMar>
            <w:top w:w="0" w:type="dxa"/>
            <w:left w:w="108" w:type="dxa"/>
            <w:bottom w:w="0" w:type="dxa"/>
            <w:right w:w="108" w:type="dxa"/>
          </w:tblCellMar>
        </w:tblPrEx>
        <w:trPr>
          <w:trHeight w:val="5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10</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环境参数: 工作温度: -40~85℃, 存储温度: -40C～90℃。</w:t>
            </w:r>
          </w:p>
        </w:tc>
      </w:tr>
    </w:tbl>
    <w:p>
      <w:pPr>
        <w:pStyle w:val="8"/>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3.10、工业级1光8电POE光纤交换机</w:t>
      </w:r>
    </w:p>
    <w:tbl>
      <w:tblPr>
        <w:tblStyle w:val="52"/>
        <w:tblW w:w="4998" w:type="pct"/>
        <w:tblInd w:w="0" w:type="dxa"/>
        <w:tblLayout w:type="autofit"/>
        <w:tblCellMar>
          <w:top w:w="0" w:type="dxa"/>
          <w:left w:w="108" w:type="dxa"/>
          <w:bottom w:w="0" w:type="dxa"/>
          <w:right w:w="108" w:type="dxa"/>
        </w:tblCellMar>
      </w:tblPr>
      <w:tblGrid>
        <w:gridCol w:w="1012"/>
        <w:gridCol w:w="8288"/>
      </w:tblGrid>
      <w:tr>
        <w:tblPrEx>
          <w:tblCellMar>
            <w:top w:w="0" w:type="dxa"/>
            <w:left w:w="108" w:type="dxa"/>
            <w:bottom w:w="0" w:type="dxa"/>
            <w:right w:w="108" w:type="dxa"/>
          </w:tblCellMar>
        </w:tblPrEx>
        <w:trPr>
          <w:trHeight w:val="70"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b/>
                <w:bCs/>
                <w:color w:val="auto"/>
                <w:sz w:val="21"/>
                <w:szCs w:val="21"/>
                <w:highlight w:val="none"/>
                <w:lang w:bidi="ar"/>
              </w:rPr>
            </w:pPr>
            <w:r>
              <w:rPr>
                <w:rFonts w:hint="eastAsia" w:hAnsi="宋体" w:cs="宋体"/>
                <w:b/>
                <w:bCs/>
                <w:color w:val="auto"/>
                <w:sz w:val="21"/>
                <w:szCs w:val="21"/>
                <w:highlight w:val="none"/>
                <w:lang w:bidi="ar"/>
              </w:rPr>
              <w:t>序号</w:t>
            </w:r>
          </w:p>
        </w:tc>
        <w:tc>
          <w:tcPr>
            <w:tcW w:w="4455" w:type="pct"/>
            <w:tcBorders>
              <w:top w:val="single" w:color="auto" w:sz="4" w:space="0"/>
              <w:left w:val="nil"/>
              <w:bottom w:val="single" w:color="auto" w:sz="4" w:space="0"/>
              <w:right w:val="single" w:color="auto" w:sz="4" w:space="0"/>
            </w:tcBorders>
            <w:vAlign w:val="center"/>
          </w:tcPr>
          <w:p>
            <w:pPr>
              <w:jc w:val="center"/>
              <w:rPr>
                <w:rFonts w:hAnsi="宋体" w:cs="宋体"/>
                <w:b/>
                <w:bCs/>
                <w:color w:val="auto"/>
                <w:sz w:val="21"/>
                <w:szCs w:val="21"/>
                <w:highlight w:val="none"/>
                <w:lang w:bidi="ar"/>
              </w:rPr>
            </w:pPr>
            <w:r>
              <w:rPr>
                <w:rFonts w:hint="eastAsia" w:hAnsi="宋体" w:cs="宋体"/>
                <w:b/>
                <w:bCs/>
                <w:color w:val="auto"/>
                <w:sz w:val="21"/>
                <w:szCs w:val="21"/>
                <w:highlight w:val="none"/>
                <w:lang w:bidi="ar"/>
              </w:rPr>
              <w:t>技术规格参数</w:t>
            </w:r>
          </w:p>
        </w:tc>
      </w:tr>
      <w:tr>
        <w:tblPrEx>
          <w:tblCellMar>
            <w:top w:w="0" w:type="dxa"/>
            <w:left w:w="108" w:type="dxa"/>
            <w:bottom w:w="0" w:type="dxa"/>
            <w:right w:w="108" w:type="dxa"/>
          </w:tblCellMar>
        </w:tblPrEx>
        <w:trPr>
          <w:trHeight w:val="72"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w:t>
            </w:r>
          </w:p>
        </w:tc>
        <w:tc>
          <w:tcPr>
            <w:tcW w:w="4455" w:type="pct"/>
            <w:tcBorders>
              <w:top w:val="single" w:color="auto" w:sz="4" w:space="0"/>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8千兆POE电口，1千兆SFP口，</w:t>
            </w:r>
          </w:p>
        </w:tc>
      </w:tr>
      <w:tr>
        <w:tblPrEx>
          <w:tblCellMar>
            <w:top w:w="0" w:type="dxa"/>
            <w:left w:w="108" w:type="dxa"/>
            <w:bottom w:w="0" w:type="dxa"/>
            <w:right w:w="108" w:type="dxa"/>
          </w:tblCellMar>
        </w:tblPrEx>
        <w:trPr>
          <w:trHeight w:val="70"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2</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交换容量: 48Gbps, 转发速率：22Mpps；</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3</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标准协议: IEEE802.3i,IEEE802.3u,IEEE802.3ab,IEEE802.3z；</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4</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光纤端口: 1000Base-GX端口（SC/FC/ST/SFP可选）；</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5</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RJ45端口: 支持10/100/1000M,全/半双工, MDI/MDI-X自适应功能；</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6</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传输距离: 双绞线100m, 多模光纤500m~2km, 单模光纤20km~120km;</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7</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机械结构: IP40,防雷击6KV,防浪涌,全铝机身, 无风扇设计, 导轨/壁挂式；</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8</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电源参数: 6P工业端子, 内置AC/DC110V~265V电源, 防反接/过流保护；</w:t>
            </w:r>
          </w:p>
        </w:tc>
      </w:tr>
      <w:tr>
        <w:tblPrEx>
          <w:tblCellMar>
            <w:top w:w="0" w:type="dxa"/>
            <w:left w:w="108" w:type="dxa"/>
            <w:bottom w:w="0" w:type="dxa"/>
            <w:right w:w="108" w:type="dxa"/>
          </w:tblCellMar>
        </w:tblPrEx>
        <w:trPr>
          <w:trHeight w:val="90"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9</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环境参数: 工作温度: -40℃~85℃, 存储温度: -40℃～90℃。</w:t>
            </w:r>
          </w:p>
        </w:tc>
      </w:tr>
    </w:tbl>
    <w:p>
      <w:pPr>
        <w:pStyle w:val="8"/>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3.11、高空抛物摄像机（800万）</w:t>
      </w:r>
    </w:p>
    <w:tbl>
      <w:tblPr>
        <w:tblStyle w:val="52"/>
        <w:tblW w:w="4997" w:type="pct"/>
        <w:tblInd w:w="0" w:type="dxa"/>
        <w:tblLayout w:type="autofit"/>
        <w:tblCellMar>
          <w:top w:w="0" w:type="dxa"/>
          <w:left w:w="108" w:type="dxa"/>
          <w:bottom w:w="0" w:type="dxa"/>
          <w:right w:w="108" w:type="dxa"/>
        </w:tblCellMar>
      </w:tblPr>
      <w:tblGrid>
        <w:gridCol w:w="1015"/>
        <w:gridCol w:w="8283"/>
      </w:tblGrid>
      <w:tr>
        <w:tblPrEx>
          <w:tblCellMar>
            <w:top w:w="0" w:type="dxa"/>
            <w:left w:w="108" w:type="dxa"/>
            <w:bottom w:w="0" w:type="dxa"/>
            <w:right w:w="108" w:type="dxa"/>
          </w:tblCellMar>
        </w:tblPrEx>
        <w:trPr>
          <w:trHeight w:val="70" w:hRule="atLeast"/>
        </w:trPr>
        <w:tc>
          <w:tcPr>
            <w:tcW w:w="546" w:type="pct"/>
            <w:tcBorders>
              <w:top w:val="single" w:color="auto" w:sz="4" w:space="0"/>
              <w:left w:val="single" w:color="auto" w:sz="4" w:space="0"/>
              <w:bottom w:val="single" w:color="auto" w:sz="4" w:space="0"/>
              <w:right w:val="single" w:color="auto" w:sz="4" w:space="0"/>
            </w:tcBorders>
            <w:vAlign w:val="center"/>
          </w:tcPr>
          <w:p>
            <w:pPr>
              <w:rPr>
                <w:rFonts w:hAnsi="宋体" w:cs="宋体"/>
                <w:b/>
                <w:bCs/>
                <w:color w:val="auto"/>
                <w:sz w:val="21"/>
                <w:szCs w:val="21"/>
                <w:highlight w:val="none"/>
                <w:lang w:bidi="ar"/>
              </w:rPr>
            </w:pPr>
            <w:r>
              <w:rPr>
                <w:rFonts w:hint="eastAsia" w:hAnsi="宋体" w:cs="宋体"/>
                <w:b/>
                <w:bCs/>
                <w:color w:val="auto"/>
                <w:sz w:val="21"/>
                <w:szCs w:val="21"/>
                <w:highlight w:val="none"/>
                <w:lang w:bidi="ar"/>
              </w:rPr>
              <w:t>序号</w:t>
            </w:r>
          </w:p>
        </w:tc>
        <w:tc>
          <w:tcPr>
            <w:tcW w:w="4453" w:type="pct"/>
            <w:tcBorders>
              <w:top w:val="single" w:color="auto" w:sz="4" w:space="0"/>
              <w:left w:val="nil"/>
              <w:bottom w:val="single" w:color="auto" w:sz="4" w:space="0"/>
              <w:right w:val="single" w:color="auto" w:sz="4" w:space="0"/>
            </w:tcBorders>
            <w:vAlign w:val="center"/>
          </w:tcPr>
          <w:p>
            <w:pPr>
              <w:rPr>
                <w:rFonts w:hAnsi="宋体" w:cs="宋体"/>
                <w:b/>
                <w:bCs/>
                <w:color w:val="auto"/>
                <w:sz w:val="21"/>
                <w:szCs w:val="21"/>
                <w:highlight w:val="none"/>
                <w:lang w:bidi="ar"/>
              </w:rPr>
            </w:pPr>
            <w:r>
              <w:rPr>
                <w:rFonts w:hint="eastAsia" w:hAnsi="宋体" w:cs="宋体"/>
                <w:b/>
                <w:bCs/>
                <w:color w:val="auto"/>
                <w:sz w:val="21"/>
                <w:szCs w:val="21"/>
                <w:highlight w:val="none"/>
                <w:lang w:bidi="ar"/>
              </w:rPr>
              <w:t>技术规格参数</w:t>
            </w:r>
          </w:p>
        </w:tc>
      </w:tr>
      <w:tr>
        <w:tblPrEx>
          <w:tblCellMar>
            <w:top w:w="0" w:type="dxa"/>
            <w:left w:w="108" w:type="dxa"/>
            <w:bottom w:w="0" w:type="dxa"/>
            <w:right w:w="108" w:type="dxa"/>
          </w:tblCellMar>
        </w:tblPrEx>
        <w:trPr>
          <w:trHeight w:val="72" w:hRule="atLeast"/>
        </w:trPr>
        <w:tc>
          <w:tcPr>
            <w:tcW w:w="546"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w:t>
            </w:r>
          </w:p>
        </w:tc>
        <w:tc>
          <w:tcPr>
            <w:tcW w:w="4453" w:type="pct"/>
            <w:tcBorders>
              <w:top w:val="single" w:color="auto" w:sz="4" w:space="0"/>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需具有800万像素 CMOS传感器。</w:t>
            </w:r>
          </w:p>
        </w:tc>
      </w:tr>
      <w:tr>
        <w:tblPrEx>
          <w:tblCellMar>
            <w:top w:w="0" w:type="dxa"/>
            <w:left w:w="108" w:type="dxa"/>
            <w:bottom w:w="0" w:type="dxa"/>
            <w:right w:w="108" w:type="dxa"/>
          </w:tblCellMar>
        </w:tblPrEx>
        <w:trPr>
          <w:trHeight w:val="70" w:hRule="atLeast"/>
        </w:trPr>
        <w:tc>
          <w:tcPr>
            <w:tcW w:w="546"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2</w:t>
            </w:r>
          </w:p>
        </w:tc>
        <w:tc>
          <w:tcPr>
            <w:tcW w:w="4453"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需具有不小于1/1.2"靶面尺寸。不小于1颗内置GPU芯片</w:t>
            </w:r>
          </w:p>
        </w:tc>
      </w:tr>
      <w:tr>
        <w:tblPrEx>
          <w:tblCellMar>
            <w:top w:w="0" w:type="dxa"/>
            <w:left w:w="108" w:type="dxa"/>
            <w:bottom w:w="0" w:type="dxa"/>
            <w:right w:w="108" w:type="dxa"/>
          </w:tblCellMar>
        </w:tblPrEx>
        <w:trPr>
          <w:trHeight w:val="276" w:hRule="atLeast"/>
        </w:trPr>
        <w:tc>
          <w:tcPr>
            <w:tcW w:w="546"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3</w:t>
            </w:r>
          </w:p>
        </w:tc>
        <w:tc>
          <w:tcPr>
            <w:tcW w:w="4453"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光圈大小为F1.0±5%。</w:t>
            </w:r>
          </w:p>
        </w:tc>
      </w:tr>
      <w:tr>
        <w:tblPrEx>
          <w:tblCellMar>
            <w:top w:w="0" w:type="dxa"/>
            <w:left w:w="108" w:type="dxa"/>
            <w:bottom w:w="0" w:type="dxa"/>
            <w:right w:w="108" w:type="dxa"/>
          </w:tblCellMar>
        </w:tblPrEx>
        <w:trPr>
          <w:trHeight w:val="276" w:hRule="atLeast"/>
        </w:trPr>
        <w:tc>
          <w:tcPr>
            <w:tcW w:w="546"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4</w:t>
            </w:r>
          </w:p>
        </w:tc>
        <w:tc>
          <w:tcPr>
            <w:tcW w:w="4453"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最低照度彩色不大于0.0002 lx</w:t>
            </w:r>
          </w:p>
        </w:tc>
      </w:tr>
      <w:tr>
        <w:tblPrEx>
          <w:tblCellMar>
            <w:top w:w="0" w:type="dxa"/>
            <w:left w:w="108" w:type="dxa"/>
            <w:bottom w:w="0" w:type="dxa"/>
            <w:right w:w="108" w:type="dxa"/>
          </w:tblCellMar>
        </w:tblPrEx>
        <w:trPr>
          <w:trHeight w:val="276" w:hRule="atLeast"/>
        </w:trPr>
        <w:tc>
          <w:tcPr>
            <w:tcW w:w="546"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5</w:t>
            </w:r>
          </w:p>
        </w:tc>
        <w:tc>
          <w:tcPr>
            <w:tcW w:w="4453"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最大亮度等级≥11级。</w:t>
            </w:r>
          </w:p>
        </w:tc>
      </w:tr>
      <w:tr>
        <w:tblPrEx>
          <w:tblCellMar>
            <w:top w:w="0" w:type="dxa"/>
            <w:left w:w="108" w:type="dxa"/>
            <w:bottom w:w="0" w:type="dxa"/>
            <w:right w:w="108" w:type="dxa"/>
          </w:tblCellMar>
        </w:tblPrEx>
        <w:trPr>
          <w:trHeight w:val="276" w:hRule="atLeast"/>
        </w:trPr>
        <w:tc>
          <w:tcPr>
            <w:tcW w:w="546"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6</w:t>
            </w:r>
          </w:p>
        </w:tc>
        <w:tc>
          <w:tcPr>
            <w:tcW w:w="4453"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信噪比不低于62dB，照度适应范围需不低于140dB。</w:t>
            </w:r>
          </w:p>
        </w:tc>
      </w:tr>
      <w:tr>
        <w:tblPrEx>
          <w:tblCellMar>
            <w:top w:w="0" w:type="dxa"/>
            <w:left w:w="108" w:type="dxa"/>
            <w:bottom w:w="0" w:type="dxa"/>
            <w:right w:w="108" w:type="dxa"/>
          </w:tblCellMar>
        </w:tblPrEx>
        <w:trPr>
          <w:trHeight w:val="276" w:hRule="atLeast"/>
        </w:trPr>
        <w:tc>
          <w:tcPr>
            <w:tcW w:w="546"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7</w:t>
            </w:r>
          </w:p>
        </w:tc>
        <w:tc>
          <w:tcPr>
            <w:tcW w:w="4453"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设备水平中心分辨力需不小于2000TVL。</w:t>
            </w:r>
          </w:p>
        </w:tc>
      </w:tr>
      <w:tr>
        <w:tblPrEx>
          <w:tblCellMar>
            <w:top w:w="0" w:type="dxa"/>
            <w:left w:w="108" w:type="dxa"/>
            <w:bottom w:w="0" w:type="dxa"/>
            <w:right w:w="108" w:type="dxa"/>
          </w:tblCellMar>
        </w:tblPrEx>
        <w:trPr>
          <w:trHeight w:val="276" w:hRule="atLeast"/>
        </w:trPr>
        <w:tc>
          <w:tcPr>
            <w:tcW w:w="546"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8</w:t>
            </w:r>
          </w:p>
        </w:tc>
        <w:tc>
          <w:tcPr>
            <w:tcW w:w="4453"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支持H.264、H.265、MJPEG视频编码格式，且具有High Profile编码能力。</w:t>
            </w:r>
          </w:p>
        </w:tc>
      </w:tr>
      <w:tr>
        <w:tblPrEx>
          <w:tblCellMar>
            <w:top w:w="0" w:type="dxa"/>
            <w:left w:w="108" w:type="dxa"/>
            <w:bottom w:w="0" w:type="dxa"/>
            <w:right w:w="108" w:type="dxa"/>
          </w:tblCellMar>
        </w:tblPrEx>
        <w:trPr>
          <w:trHeight w:val="552" w:hRule="atLeast"/>
        </w:trPr>
        <w:tc>
          <w:tcPr>
            <w:tcW w:w="546"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9</w:t>
            </w:r>
          </w:p>
        </w:tc>
        <w:tc>
          <w:tcPr>
            <w:tcW w:w="4453"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需支持双码流技术，主码流分辨率不小于3860x2160@25fps，子码流不小于704x576@25fps。</w:t>
            </w:r>
          </w:p>
        </w:tc>
      </w:tr>
      <w:tr>
        <w:tblPrEx>
          <w:tblCellMar>
            <w:top w:w="0" w:type="dxa"/>
            <w:left w:w="108" w:type="dxa"/>
            <w:bottom w:w="0" w:type="dxa"/>
            <w:right w:w="108" w:type="dxa"/>
          </w:tblCellMar>
        </w:tblPrEx>
        <w:trPr>
          <w:trHeight w:val="56" w:hRule="atLeast"/>
        </w:trPr>
        <w:tc>
          <w:tcPr>
            <w:tcW w:w="546"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10</w:t>
            </w:r>
          </w:p>
        </w:tc>
        <w:tc>
          <w:tcPr>
            <w:tcW w:w="4453"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需支持镜头前盖玻璃加热功能（注：须提供第三方检测机构出具的检测报告证明并加盖投标人公章）</w:t>
            </w:r>
          </w:p>
        </w:tc>
      </w:tr>
      <w:tr>
        <w:tblPrEx>
          <w:tblCellMar>
            <w:top w:w="0" w:type="dxa"/>
            <w:left w:w="108" w:type="dxa"/>
            <w:bottom w:w="0" w:type="dxa"/>
            <w:right w:w="108" w:type="dxa"/>
          </w:tblCellMar>
        </w:tblPrEx>
        <w:trPr>
          <w:trHeight w:val="276" w:hRule="atLeast"/>
        </w:trPr>
        <w:tc>
          <w:tcPr>
            <w:tcW w:w="546"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11</w:t>
            </w:r>
          </w:p>
        </w:tc>
        <w:tc>
          <w:tcPr>
            <w:tcW w:w="4453"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镜头前盖采用增强透光玻璃，透过率不小于96%，且支持镜头疏水功能。</w:t>
            </w:r>
          </w:p>
        </w:tc>
      </w:tr>
      <w:tr>
        <w:tblPrEx>
          <w:tblCellMar>
            <w:top w:w="0" w:type="dxa"/>
            <w:left w:w="108" w:type="dxa"/>
            <w:bottom w:w="0" w:type="dxa"/>
            <w:right w:w="108" w:type="dxa"/>
          </w:tblCellMar>
        </w:tblPrEx>
        <w:trPr>
          <w:trHeight w:val="552" w:hRule="atLeast"/>
        </w:trPr>
        <w:tc>
          <w:tcPr>
            <w:tcW w:w="546"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12</w:t>
            </w:r>
          </w:p>
        </w:tc>
        <w:tc>
          <w:tcPr>
            <w:tcW w:w="4453"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需支持高空抛物检测功能，可检测如垃圾袋、纸盒、矿泉水瓶、矿泉水盖等，可抓图并发出报警提示，可显示抛物轨迹，可在客户端显示。</w:t>
            </w:r>
          </w:p>
        </w:tc>
      </w:tr>
      <w:tr>
        <w:tblPrEx>
          <w:tblCellMar>
            <w:top w:w="0" w:type="dxa"/>
            <w:left w:w="108" w:type="dxa"/>
            <w:bottom w:w="0" w:type="dxa"/>
            <w:right w:w="108" w:type="dxa"/>
          </w:tblCellMar>
        </w:tblPrEx>
        <w:trPr>
          <w:trHeight w:val="276" w:hRule="atLeast"/>
        </w:trPr>
        <w:tc>
          <w:tcPr>
            <w:tcW w:w="546"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13</w:t>
            </w:r>
          </w:p>
        </w:tc>
        <w:tc>
          <w:tcPr>
            <w:tcW w:w="4453"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需支持高空抛物抗扰功能，当出现非从高处落向低处的物体，不产生报警提示信息。</w:t>
            </w:r>
          </w:p>
        </w:tc>
      </w:tr>
      <w:tr>
        <w:tblPrEx>
          <w:tblCellMar>
            <w:top w:w="0" w:type="dxa"/>
            <w:left w:w="108" w:type="dxa"/>
            <w:bottom w:w="0" w:type="dxa"/>
            <w:right w:w="108" w:type="dxa"/>
          </w:tblCellMar>
        </w:tblPrEx>
        <w:trPr>
          <w:trHeight w:val="552" w:hRule="atLeast"/>
        </w:trPr>
        <w:tc>
          <w:tcPr>
            <w:tcW w:w="546"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14</w:t>
            </w:r>
          </w:p>
        </w:tc>
        <w:tc>
          <w:tcPr>
            <w:tcW w:w="4453"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高空抛物捕获率C：白天≥95%，夜晚≥85%。最小捕获高抛物体尺寸：15楼以下≥20mm*20mm，15楼以上≥30mm*30mm</w:t>
            </w:r>
          </w:p>
        </w:tc>
      </w:tr>
      <w:tr>
        <w:tblPrEx>
          <w:tblCellMar>
            <w:top w:w="0" w:type="dxa"/>
            <w:left w:w="108" w:type="dxa"/>
            <w:bottom w:w="0" w:type="dxa"/>
            <w:right w:w="108" w:type="dxa"/>
          </w:tblCellMar>
        </w:tblPrEx>
        <w:trPr>
          <w:trHeight w:val="552" w:hRule="atLeast"/>
        </w:trPr>
        <w:tc>
          <w:tcPr>
            <w:tcW w:w="546"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15</w:t>
            </w:r>
          </w:p>
        </w:tc>
        <w:tc>
          <w:tcPr>
            <w:tcW w:w="4453"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需内置水量传感器、冷凝模块、蓄水箱和喷水模块，支持雨水感知和蓄水功能。</w:t>
            </w:r>
          </w:p>
        </w:tc>
      </w:tr>
      <w:tr>
        <w:tblPrEx>
          <w:tblCellMar>
            <w:top w:w="0" w:type="dxa"/>
            <w:left w:w="108" w:type="dxa"/>
            <w:bottom w:w="0" w:type="dxa"/>
            <w:right w:w="108" w:type="dxa"/>
          </w:tblCellMar>
        </w:tblPrEx>
        <w:trPr>
          <w:trHeight w:val="552" w:hRule="atLeast"/>
        </w:trPr>
        <w:tc>
          <w:tcPr>
            <w:tcW w:w="546"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16</w:t>
            </w:r>
          </w:p>
        </w:tc>
        <w:tc>
          <w:tcPr>
            <w:tcW w:w="4453"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安装距离抛物建筑物20m处进行测试，可检测并抓拍速度不高于34.5米/秒的下落物品。</w:t>
            </w:r>
          </w:p>
        </w:tc>
      </w:tr>
      <w:tr>
        <w:tblPrEx>
          <w:tblCellMar>
            <w:top w:w="0" w:type="dxa"/>
            <w:left w:w="108" w:type="dxa"/>
            <w:bottom w:w="0" w:type="dxa"/>
            <w:right w:w="108" w:type="dxa"/>
          </w:tblCellMar>
        </w:tblPrEx>
        <w:trPr>
          <w:trHeight w:val="552" w:hRule="atLeast"/>
        </w:trPr>
        <w:tc>
          <w:tcPr>
            <w:tcW w:w="546" w:type="pct"/>
            <w:tcBorders>
              <w:top w:val="nil"/>
              <w:left w:val="single" w:color="auto" w:sz="4" w:space="0"/>
              <w:bottom w:val="single" w:color="auto" w:sz="4" w:space="0"/>
              <w:right w:val="single" w:color="auto" w:sz="4" w:space="0"/>
            </w:tcBorders>
            <w:noWrap/>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17</w:t>
            </w:r>
          </w:p>
        </w:tc>
        <w:tc>
          <w:tcPr>
            <w:tcW w:w="4453" w:type="pct"/>
            <w:tcBorders>
              <w:top w:val="nil"/>
              <w:left w:val="nil"/>
              <w:bottom w:val="single" w:color="auto" w:sz="4" w:space="0"/>
              <w:right w:val="single" w:color="auto" w:sz="4" w:space="0"/>
            </w:tcBorders>
            <w:vAlign w:val="bottom"/>
          </w:tcPr>
          <w:p>
            <w:pPr>
              <w:rPr>
                <w:rFonts w:hAnsi="宋体" w:cs="宋体"/>
                <w:color w:val="auto"/>
                <w:sz w:val="21"/>
                <w:szCs w:val="21"/>
                <w:highlight w:val="none"/>
                <w:lang w:bidi="ar"/>
              </w:rPr>
            </w:pPr>
            <w:r>
              <w:rPr>
                <w:rFonts w:hint="eastAsia" w:hAnsi="宋体" w:cs="宋体"/>
                <w:color w:val="auto"/>
                <w:sz w:val="21"/>
                <w:szCs w:val="21"/>
                <w:highlight w:val="none"/>
                <w:lang w:bidi="ar"/>
              </w:rPr>
              <w:t>需内置雨刷，支持手动、自动、定时、关闭四种控制模式，可驱动雨刷清洁镜头玻璃上的覆盖物。</w:t>
            </w:r>
          </w:p>
        </w:tc>
      </w:tr>
      <w:tr>
        <w:tblPrEx>
          <w:tblCellMar>
            <w:top w:w="0" w:type="dxa"/>
            <w:left w:w="108" w:type="dxa"/>
            <w:bottom w:w="0" w:type="dxa"/>
            <w:right w:w="108" w:type="dxa"/>
          </w:tblCellMar>
        </w:tblPrEx>
        <w:trPr>
          <w:trHeight w:val="90" w:hRule="atLeast"/>
        </w:trPr>
        <w:tc>
          <w:tcPr>
            <w:tcW w:w="546" w:type="pct"/>
            <w:tcBorders>
              <w:top w:val="nil"/>
              <w:left w:val="single" w:color="auto" w:sz="4" w:space="0"/>
              <w:bottom w:val="single" w:color="auto" w:sz="4" w:space="0"/>
              <w:right w:val="single" w:color="auto" w:sz="4" w:space="0"/>
            </w:tcBorders>
            <w:noWrap/>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18</w:t>
            </w:r>
          </w:p>
        </w:tc>
        <w:tc>
          <w:tcPr>
            <w:tcW w:w="4453" w:type="pct"/>
            <w:tcBorders>
              <w:top w:val="nil"/>
              <w:left w:val="nil"/>
              <w:bottom w:val="single" w:color="auto" w:sz="4" w:space="0"/>
              <w:right w:val="single" w:color="auto" w:sz="4" w:space="0"/>
            </w:tcBorders>
            <w:vAlign w:val="bottom"/>
          </w:tcPr>
          <w:p>
            <w:pPr>
              <w:rPr>
                <w:rFonts w:hAnsi="宋体" w:cs="宋体"/>
                <w:color w:val="auto"/>
                <w:sz w:val="21"/>
                <w:szCs w:val="21"/>
                <w:highlight w:val="none"/>
                <w:lang w:bidi="ar"/>
              </w:rPr>
            </w:pPr>
            <w:r>
              <w:rPr>
                <w:rFonts w:hint="eastAsia" w:hAnsi="宋体" w:cs="宋体"/>
                <w:color w:val="auto"/>
                <w:sz w:val="21"/>
                <w:szCs w:val="21"/>
                <w:highlight w:val="none"/>
                <w:lang w:bidi="ar"/>
              </w:rPr>
              <w:t>支持遮挡检测功能，当镜头被遮挡时，可在客户端给出报警提示并上传中心、发送邮件及联动录像。</w:t>
            </w:r>
          </w:p>
        </w:tc>
      </w:tr>
      <w:tr>
        <w:tblPrEx>
          <w:tblCellMar>
            <w:top w:w="0" w:type="dxa"/>
            <w:left w:w="108" w:type="dxa"/>
            <w:bottom w:w="0" w:type="dxa"/>
            <w:right w:w="108" w:type="dxa"/>
          </w:tblCellMar>
        </w:tblPrEx>
        <w:trPr>
          <w:trHeight w:val="276" w:hRule="atLeast"/>
        </w:trPr>
        <w:tc>
          <w:tcPr>
            <w:tcW w:w="546" w:type="pct"/>
            <w:tcBorders>
              <w:top w:val="nil"/>
              <w:left w:val="single" w:color="auto" w:sz="4" w:space="0"/>
              <w:bottom w:val="single" w:color="auto" w:sz="4" w:space="0"/>
              <w:right w:val="single" w:color="auto" w:sz="4" w:space="0"/>
            </w:tcBorders>
            <w:noWrap/>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19</w:t>
            </w:r>
          </w:p>
        </w:tc>
        <w:tc>
          <w:tcPr>
            <w:tcW w:w="4453" w:type="pct"/>
            <w:tcBorders>
              <w:top w:val="nil"/>
              <w:left w:val="nil"/>
              <w:bottom w:val="single" w:color="auto" w:sz="4" w:space="0"/>
              <w:right w:val="single" w:color="auto" w:sz="4" w:space="0"/>
            </w:tcBorders>
            <w:noWrap/>
            <w:vAlign w:val="bottom"/>
          </w:tcPr>
          <w:p>
            <w:pPr>
              <w:rPr>
                <w:rFonts w:hAnsi="宋体" w:cs="宋体"/>
                <w:color w:val="auto"/>
                <w:sz w:val="21"/>
                <w:szCs w:val="21"/>
                <w:highlight w:val="none"/>
                <w:lang w:bidi="ar"/>
              </w:rPr>
            </w:pPr>
            <w:r>
              <w:rPr>
                <w:rFonts w:hint="eastAsia" w:hAnsi="宋体" w:cs="宋体"/>
                <w:color w:val="auto"/>
                <w:sz w:val="21"/>
                <w:szCs w:val="21"/>
                <w:highlight w:val="none"/>
                <w:lang w:bidi="ar"/>
              </w:rPr>
              <w:t>自带遮阳罩，支持杂光屏蔽功能。</w:t>
            </w:r>
          </w:p>
        </w:tc>
      </w:tr>
      <w:tr>
        <w:tblPrEx>
          <w:tblCellMar>
            <w:top w:w="0" w:type="dxa"/>
            <w:left w:w="108" w:type="dxa"/>
            <w:bottom w:w="0" w:type="dxa"/>
            <w:right w:w="108" w:type="dxa"/>
          </w:tblCellMar>
        </w:tblPrEx>
        <w:trPr>
          <w:trHeight w:val="276" w:hRule="atLeast"/>
        </w:trPr>
        <w:tc>
          <w:tcPr>
            <w:tcW w:w="546" w:type="pct"/>
            <w:tcBorders>
              <w:top w:val="nil"/>
              <w:left w:val="single" w:color="auto" w:sz="4" w:space="0"/>
              <w:bottom w:val="single" w:color="auto" w:sz="4" w:space="0"/>
              <w:right w:val="single" w:color="auto" w:sz="4" w:space="0"/>
            </w:tcBorders>
            <w:noWrap/>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20</w:t>
            </w:r>
          </w:p>
        </w:tc>
        <w:tc>
          <w:tcPr>
            <w:tcW w:w="4453" w:type="pct"/>
            <w:tcBorders>
              <w:top w:val="nil"/>
              <w:left w:val="nil"/>
              <w:bottom w:val="single" w:color="auto" w:sz="4" w:space="0"/>
              <w:right w:val="single" w:color="auto" w:sz="4" w:space="0"/>
            </w:tcBorders>
            <w:noWrap/>
            <w:vAlign w:val="bottom"/>
          </w:tcPr>
          <w:p>
            <w:pPr>
              <w:rPr>
                <w:rFonts w:hAnsi="宋体" w:cs="宋体"/>
                <w:color w:val="auto"/>
                <w:sz w:val="21"/>
                <w:szCs w:val="21"/>
                <w:highlight w:val="none"/>
                <w:lang w:bidi="ar"/>
              </w:rPr>
            </w:pPr>
            <w:r>
              <w:rPr>
                <w:rFonts w:hint="eastAsia" w:hAnsi="宋体" w:cs="宋体"/>
                <w:color w:val="auto"/>
                <w:sz w:val="21"/>
                <w:szCs w:val="21"/>
                <w:highlight w:val="none"/>
                <w:lang w:bidi="ar"/>
              </w:rPr>
              <w:t>电压在DC12V±30%范围内变化时，设备可正常工作。</w:t>
            </w:r>
          </w:p>
        </w:tc>
      </w:tr>
      <w:tr>
        <w:tblPrEx>
          <w:tblCellMar>
            <w:top w:w="0" w:type="dxa"/>
            <w:left w:w="108" w:type="dxa"/>
            <w:bottom w:w="0" w:type="dxa"/>
            <w:right w:w="108" w:type="dxa"/>
          </w:tblCellMar>
        </w:tblPrEx>
        <w:trPr>
          <w:trHeight w:val="276" w:hRule="atLeast"/>
        </w:trPr>
        <w:tc>
          <w:tcPr>
            <w:tcW w:w="546" w:type="pct"/>
            <w:tcBorders>
              <w:top w:val="nil"/>
              <w:left w:val="single" w:color="auto" w:sz="4" w:space="0"/>
              <w:bottom w:val="single" w:color="auto" w:sz="4" w:space="0"/>
              <w:right w:val="single" w:color="auto" w:sz="4" w:space="0"/>
            </w:tcBorders>
            <w:noWrap/>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21</w:t>
            </w:r>
          </w:p>
        </w:tc>
        <w:tc>
          <w:tcPr>
            <w:tcW w:w="4453" w:type="pct"/>
            <w:tcBorders>
              <w:top w:val="nil"/>
              <w:left w:val="nil"/>
              <w:bottom w:val="single" w:color="auto" w:sz="4" w:space="0"/>
              <w:right w:val="single" w:color="auto" w:sz="4" w:space="0"/>
            </w:tcBorders>
            <w:noWrap/>
            <w:vAlign w:val="bottom"/>
          </w:tcPr>
          <w:p>
            <w:pPr>
              <w:rPr>
                <w:rFonts w:hAnsi="宋体" w:cs="宋体"/>
                <w:color w:val="auto"/>
                <w:sz w:val="21"/>
                <w:szCs w:val="21"/>
                <w:highlight w:val="none"/>
                <w:lang w:bidi="ar"/>
              </w:rPr>
            </w:pPr>
            <w:r>
              <w:rPr>
                <w:rFonts w:hint="eastAsia" w:hAnsi="宋体" w:cs="宋体"/>
                <w:color w:val="auto"/>
                <w:sz w:val="21"/>
                <w:szCs w:val="21"/>
                <w:highlight w:val="none"/>
                <w:lang w:bidi="ar"/>
              </w:rPr>
              <w:t>需支持IP67防尘防水。</w:t>
            </w:r>
          </w:p>
        </w:tc>
      </w:tr>
    </w:tbl>
    <w:p>
      <w:pPr>
        <w:pStyle w:val="8"/>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3.12、高空抛物智能超脑</w:t>
      </w:r>
    </w:p>
    <w:tbl>
      <w:tblPr>
        <w:tblStyle w:val="52"/>
        <w:tblW w:w="4999" w:type="pct"/>
        <w:tblInd w:w="0" w:type="dxa"/>
        <w:tblLayout w:type="autofit"/>
        <w:tblCellMar>
          <w:top w:w="0" w:type="dxa"/>
          <w:left w:w="108" w:type="dxa"/>
          <w:bottom w:w="0" w:type="dxa"/>
          <w:right w:w="108" w:type="dxa"/>
        </w:tblCellMar>
      </w:tblPr>
      <w:tblGrid>
        <w:gridCol w:w="1016"/>
        <w:gridCol w:w="8286"/>
      </w:tblGrid>
      <w:tr>
        <w:tblPrEx>
          <w:tblCellMar>
            <w:top w:w="0" w:type="dxa"/>
            <w:left w:w="108" w:type="dxa"/>
            <w:bottom w:w="0" w:type="dxa"/>
            <w:right w:w="108" w:type="dxa"/>
          </w:tblCellMar>
        </w:tblPrEx>
        <w:trPr>
          <w:trHeight w:val="70" w:hRule="atLeast"/>
        </w:trPr>
        <w:tc>
          <w:tcPr>
            <w:tcW w:w="546" w:type="pct"/>
            <w:tcBorders>
              <w:top w:val="single" w:color="auto" w:sz="4" w:space="0"/>
              <w:left w:val="single" w:color="auto" w:sz="4" w:space="0"/>
              <w:bottom w:val="single" w:color="auto" w:sz="4" w:space="0"/>
              <w:right w:val="single" w:color="auto" w:sz="4" w:space="0"/>
            </w:tcBorders>
            <w:vAlign w:val="center"/>
          </w:tcPr>
          <w:p>
            <w:pPr>
              <w:rPr>
                <w:rFonts w:hAnsi="宋体" w:cs="宋体"/>
                <w:b/>
                <w:bCs/>
                <w:color w:val="auto"/>
                <w:sz w:val="21"/>
                <w:szCs w:val="21"/>
                <w:highlight w:val="none"/>
                <w:lang w:bidi="ar"/>
              </w:rPr>
            </w:pPr>
            <w:r>
              <w:rPr>
                <w:rFonts w:hint="eastAsia" w:hAnsi="宋体" w:cs="宋体"/>
                <w:b/>
                <w:bCs/>
                <w:color w:val="auto"/>
                <w:sz w:val="21"/>
                <w:szCs w:val="21"/>
                <w:highlight w:val="none"/>
                <w:lang w:bidi="ar"/>
              </w:rPr>
              <w:t>序号</w:t>
            </w:r>
          </w:p>
        </w:tc>
        <w:tc>
          <w:tcPr>
            <w:tcW w:w="4453" w:type="pct"/>
            <w:tcBorders>
              <w:top w:val="single" w:color="auto" w:sz="4" w:space="0"/>
              <w:left w:val="nil"/>
              <w:bottom w:val="single" w:color="auto" w:sz="4" w:space="0"/>
              <w:right w:val="single" w:color="auto" w:sz="4" w:space="0"/>
            </w:tcBorders>
            <w:vAlign w:val="center"/>
          </w:tcPr>
          <w:p>
            <w:pPr>
              <w:rPr>
                <w:rFonts w:hAnsi="宋体" w:cs="宋体"/>
                <w:b/>
                <w:bCs/>
                <w:color w:val="auto"/>
                <w:sz w:val="21"/>
                <w:szCs w:val="21"/>
                <w:highlight w:val="none"/>
                <w:lang w:bidi="ar"/>
              </w:rPr>
            </w:pPr>
            <w:r>
              <w:rPr>
                <w:rFonts w:hint="eastAsia" w:hAnsi="宋体" w:cs="宋体"/>
                <w:b/>
                <w:bCs/>
                <w:color w:val="auto"/>
                <w:sz w:val="21"/>
                <w:szCs w:val="21"/>
                <w:highlight w:val="none"/>
                <w:lang w:bidi="ar"/>
              </w:rPr>
              <w:t>技术规格参数</w:t>
            </w:r>
          </w:p>
        </w:tc>
      </w:tr>
      <w:tr>
        <w:tblPrEx>
          <w:tblCellMar>
            <w:top w:w="0" w:type="dxa"/>
            <w:left w:w="108" w:type="dxa"/>
            <w:bottom w:w="0" w:type="dxa"/>
            <w:right w:w="108" w:type="dxa"/>
          </w:tblCellMar>
        </w:tblPrEx>
        <w:trPr>
          <w:trHeight w:val="599" w:hRule="atLeast"/>
        </w:trPr>
        <w:tc>
          <w:tcPr>
            <w:tcW w:w="546"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w:t>
            </w:r>
          </w:p>
        </w:tc>
        <w:tc>
          <w:tcPr>
            <w:tcW w:w="4453" w:type="pct"/>
            <w:tcBorders>
              <w:top w:val="single" w:color="auto" w:sz="4" w:space="0"/>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需支持接入双目、三目、800w、1600w球型鹰眼、2400w环型鹰眼相机，3200w摄像机，并可将视频画面以多画面分割方式显示，可自定义画面布局</w:t>
            </w:r>
          </w:p>
        </w:tc>
      </w:tr>
      <w:tr>
        <w:tblPrEx>
          <w:tblCellMar>
            <w:top w:w="0" w:type="dxa"/>
            <w:left w:w="108" w:type="dxa"/>
            <w:bottom w:w="0" w:type="dxa"/>
            <w:right w:w="108" w:type="dxa"/>
          </w:tblCellMar>
        </w:tblPrEx>
        <w:trPr>
          <w:trHeight w:val="232" w:hRule="atLeast"/>
        </w:trPr>
        <w:tc>
          <w:tcPr>
            <w:tcW w:w="546"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2</w:t>
            </w:r>
          </w:p>
        </w:tc>
        <w:tc>
          <w:tcPr>
            <w:tcW w:w="4453"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需支持组合报警模式，可设置将NVR的报警输入口关联IPC的报警事件，只有当两个报警事件同时触发才能产生报警，组合报警模式支持遮挡报警、移动侦测、人脸抓拍、人脸侦测、车辆检测、越界侦测、区域入侵侦测、进入/离开区域侦测、人员聚集侦测、快速移动侦测、物品遗留侦测、物品拿取侦测、停车侦测、徘徊侦测、场景变更侦测、虚焦侦测、音频异常侦测报警事件</w:t>
            </w:r>
          </w:p>
        </w:tc>
      </w:tr>
      <w:tr>
        <w:tblPrEx>
          <w:tblCellMar>
            <w:top w:w="0" w:type="dxa"/>
            <w:left w:w="108" w:type="dxa"/>
            <w:bottom w:w="0" w:type="dxa"/>
            <w:right w:w="108" w:type="dxa"/>
          </w:tblCellMar>
        </w:tblPrEx>
        <w:trPr>
          <w:trHeight w:val="56" w:hRule="atLeast"/>
        </w:trPr>
        <w:tc>
          <w:tcPr>
            <w:tcW w:w="546"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3</w:t>
            </w:r>
          </w:p>
        </w:tc>
        <w:tc>
          <w:tcPr>
            <w:tcW w:w="4453"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可同时正放或倒放32路H.265编码的视频图像</w:t>
            </w:r>
          </w:p>
        </w:tc>
      </w:tr>
      <w:tr>
        <w:tblPrEx>
          <w:tblCellMar>
            <w:top w:w="0" w:type="dxa"/>
            <w:left w:w="108" w:type="dxa"/>
            <w:bottom w:w="0" w:type="dxa"/>
            <w:right w:w="108" w:type="dxa"/>
          </w:tblCellMar>
        </w:tblPrEx>
        <w:trPr>
          <w:trHeight w:val="276" w:hRule="atLeast"/>
        </w:trPr>
        <w:tc>
          <w:tcPr>
            <w:tcW w:w="546"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4</w:t>
            </w:r>
          </w:p>
        </w:tc>
        <w:tc>
          <w:tcPr>
            <w:tcW w:w="4453"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需支持设备级联，NVR接入NVR、DVR、XVR设备，选择通道添加</w:t>
            </w:r>
          </w:p>
        </w:tc>
      </w:tr>
      <w:tr>
        <w:tblPrEx>
          <w:tblCellMar>
            <w:top w:w="0" w:type="dxa"/>
            <w:left w:w="108" w:type="dxa"/>
            <w:bottom w:w="0" w:type="dxa"/>
            <w:right w:w="108" w:type="dxa"/>
          </w:tblCellMar>
        </w:tblPrEx>
        <w:trPr>
          <w:trHeight w:val="321" w:hRule="atLeast"/>
        </w:trPr>
        <w:tc>
          <w:tcPr>
            <w:tcW w:w="546"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5</w:t>
            </w:r>
          </w:p>
        </w:tc>
        <w:tc>
          <w:tcPr>
            <w:tcW w:w="4453"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需支持本地预览权限的配置，设置权限后的通道只有登录后才会出现预览画面；支持远程预览加密，只有输入密钥才能解开视频。并支持码流加密；WEB界面远程登录设备，30分钟无操作，设备自动退出登录；可设置远程访问IP地址和MAC地址黑白名单；WEB端可设置开启HTTPS安全链接、SSH</w:t>
            </w:r>
          </w:p>
        </w:tc>
      </w:tr>
      <w:tr>
        <w:tblPrEx>
          <w:tblCellMar>
            <w:top w:w="0" w:type="dxa"/>
            <w:left w:w="108" w:type="dxa"/>
            <w:bottom w:w="0" w:type="dxa"/>
            <w:right w:w="108" w:type="dxa"/>
          </w:tblCellMar>
        </w:tblPrEx>
        <w:trPr>
          <w:trHeight w:val="90" w:hRule="atLeast"/>
        </w:trPr>
        <w:tc>
          <w:tcPr>
            <w:tcW w:w="546"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6</w:t>
            </w:r>
          </w:p>
        </w:tc>
        <w:tc>
          <w:tcPr>
            <w:tcW w:w="4453"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▲对于在记录过程中出现的系统死机或意外故障，故障恢复时间≤5min</w:t>
            </w:r>
            <w:r>
              <w:rPr>
                <w:rFonts w:hint="eastAsia" w:hAnsi="宋体" w:cs="宋体"/>
                <w:color w:val="auto"/>
                <w:sz w:val="21"/>
                <w:szCs w:val="21"/>
                <w:highlight w:val="none"/>
              </w:rPr>
              <w:t>（须提供第三方检测报告复印件并加盖投标人公章）</w:t>
            </w:r>
          </w:p>
        </w:tc>
      </w:tr>
      <w:tr>
        <w:tblPrEx>
          <w:tblCellMar>
            <w:top w:w="0" w:type="dxa"/>
            <w:left w:w="108" w:type="dxa"/>
            <w:bottom w:w="0" w:type="dxa"/>
            <w:right w:w="108" w:type="dxa"/>
          </w:tblCellMar>
        </w:tblPrEx>
        <w:trPr>
          <w:trHeight w:val="90" w:hRule="atLeast"/>
        </w:trPr>
        <w:tc>
          <w:tcPr>
            <w:tcW w:w="546"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7</w:t>
            </w:r>
          </w:p>
        </w:tc>
        <w:tc>
          <w:tcPr>
            <w:tcW w:w="4453"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需配合具有高温点检测、船舶检测、测温、温差报警功能的网络摄像机，当触发报警时，样机可联动录像、抓拍并保存图片、弹出报警画面、声音警告、上传中心、发送邮件、触发报警输出，联动云台轮巡、联动云台预置点、记录日志</w:t>
            </w:r>
          </w:p>
        </w:tc>
      </w:tr>
      <w:tr>
        <w:tblPrEx>
          <w:tblCellMar>
            <w:top w:w="0" w:type="dxa"/>
            <w:left w:w="108" w:type="dxa"/>
            <w:bottom w:w="0" w:type="dxa"/>
            <w:right w:w="108" w:type="dxa"/>
          </w:tblCellMar>
        </w:tblPrEx>
        <w:trPr>
          <w:trHeight w:val="90" w:hRule="atLeast"/>
        </w:trPr>
        <w:tc>
          <w:tcPr>
            <w:tcW w:w="546"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8</w:t>
            </w:r>
          </w:p>
        </w:tc>
        <w:tc>
          <w:tcPr>
            <w:tcW w:w="4453"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需支持按年龄、性别、眼镜、上衣颜色、骑车、背包属性分组显示人员录像文件</w:t>
            </w:r>
          </w:p>
        </w:tc>
      </w:tr>
      <w:tr>
        <w:tblPrEx>
          <w:tblCellMar>
            <w:top w:w="0" w:type="dxa"/>
            <w:left w:w="108" w:type="dxa"/>
            <w:bottom w:w="0" w:type="dxa"/>
            <w:right w:w="108" w:type="dxa"/>
          </w:tblCellMar>
        </w:tblPrEx>
        <w:trPr>
          <w:trHeight w:val="90" w:hRule="atLeast"/>
        </w:trPr>
        <w:tc>
          <w:tcPr>
            <w:tcW w:w="546"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9</w:t>
            </w:r>
          </w:p>
        </w:tc>
        <w:tc>
          <w:tcPr>
            <w:tcW w:w="4453"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支持报警输入触发一键撤防功能，可设置弹出报警画面、声音警告、上传中心、发送邮件、触发报警输出撤防报警类型。</w:t>
            </w:r>
          </w:p>
        </w:tc>
      </w:tr>
      <w:tr>
        <w:tblPrEx>
          <w:tblCellMar>
            <w:top w:w="0" w:type="dxa"/>
            <w:left w:w="108" w:type="dxa"/>
            <w:bottom w:w="0" w:type="dxa"/>
            <w:right w:w="108" w:type="dxa"/>
          </w:tblCellMar>
        </w:tblPrEx>
        <w:trPr>
          <w:trHeight w:val="828" w:hRule="atLeast"/>
        </w:trPr>
        <w:tc>
          <w:tcPr>
            <w:tcW w:w="546"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10</w:t>
            </w:r>
          </w:p>
        </w:tc>
        <w:tc>
          <w:tcPr>
            <w:tcW w:w="4453"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支持双系统功能，若检测到一个系统异常，应能从另一个系统启动，并恢复异常系统。</w:t>
            </w:r>
          </w:p>
        </w:tc>
      </w:tr>
      <w:tr>
        <w:tblPrEx>
          <w:tblCellMar>
            <w:top w:w="0" w:type="dxa"/>
            <w:left w:w="108" w:type="dxa"/>
            <w:bottom w:w="0" w:type="dxa"/>
            <w:right w:w="108" w:type="dxa"/>
          </w:tblCellMar>
        </w:tblPrEx>
        <w:trPr>
          <w:trHeight w:val="90" w:hRule="atLeast"/>
        </w:trPr>
        <w:tc>
          <w:tcPr>
            <w:tcW w:w="546"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11</w:t>
            </w:r>
          </w:p>
        </w:tc>
        <w:tc>
          <w:tcPr>
            <w:tcW w:w="4453"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配合具有区域关注度检测功能的IPC，可实时显示关注区域的人数；支持配置人数阀值和停留时长，当人数过多或停留超时触发报警时，样机可联动录像、抓拍并保存图片、弹出报警画面、声音警告、上传中心、发送邮件、触发报警输出，联动云台轮巡、联动云台预置点、记录日志</w:t>
            </w:r>
          </w:p>
        </w:tc>
      </w:tr>
      <w:tr>
        <w:tblPrEx>
          <w:tblCellMar>
            <w:top w:w="0" w:type="dxa"/>
            <w:left w:w="108" w:type="dxa"/>
            <w:bottom w:w="0" w:type="dxa"/>
            <w:right w:w="108" w:type="dxa"/>
          </w:tblCellMar>
        </w:tblPrEx>
        <w:trPr>
          <w:trHeight w:val="255" w:hRule="atLeast"/>
        </w:trPr>
        <w:tc>
          <w:tcPr>
            <w:tcW w:w="546"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12</w:t>
            </w:r>
          </w:p>
        </w:tc>
        <w:tc>
          <w:tcPr>
            <w:tcW w:w="4453"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需支持报警事件、异常事件实时计数提醒，并以图标形式在监控界面上提醒用户。用户可以点击报警图标，查看报警详情列表，可在列表中快速查看报警关联的录像。当有新事件发生时计数自动累加，当用户查看后计数自动清零</w:t>
            </w:r>
          </w:p>
        </w:tc>
      </w:tr>
      <w:tr>
        <w:tblPrEx>
          <w:tblCellMar>
            <w:top w:w="0" w:type="dxa"/>
            <w:left w:w="108" w:type="dxa"/>
            <w:bottom w:w="0" w:type="dxa"/>
            <w:right w:w="108" w:type="dxa"/>
          </w:tblCellMar>
        </w:tblPrEx>
        <w:trPr>
          <w:trHeight w:val="153" w:hRule="atLeast"/>
        </w:trPr>
        <w:tc>
          <w:tcPr>
            <w:tcW w:w="546"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13</w:t>
            </w:r>
          </w:p>
        </w:tc>
        <w:tc>
          <w:tcPr>
            <w:tcW w:w="4453"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需支持秒级检索查看硬盘中录像文件，秒级检索录像文件中的人员、车辆、人体等活动目标，并以弹窗形式来展示活动目标关联的录像片段</w:t>
            </w:r>
          </w:p>
        </w:tc>
      </w:tr>
      <w:tr>
        <w:tblPrEx>
          <w:tblCellMar>
            <w:top w:w="0" w:type="dxa"/>
            <w:left w:w="108" w:type="dxa"/>
            <w:bottom w:w="0" w:type="dxa"/>
            <w:right w:w="108" w:type="dxa"/>
          </w:tblCellMar>
        </w:tblPrEx>
        <w:trPr>
          <w:trHeight w:val="90" w:hRule="atLeast"/>
        </w:trPr>
        <w:tc>
          <w:tcPr>
            <w:tcW w:w="546"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14</w:t>
            </w:r>
          </w:p>
        </w:tc>
        <w:tc>
          <w:tcPr>
            <w:tcW w:w="4453"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最大接入带宽640Mbps、最大存储带宽640Mbps、最大转发带宽640Mbps、最大回放带宽640Mbps</w:t>
            </w:r>
          </w:p>
        </w:tc>
      </w:tr>
      <w:tr>
        <w:tblPrEx>
          <w:tblCellMar>
            <w:top w:w="0" w:type="dxa"/>
            <w:left w:w="108" w:type="dxa"/>
            <w:bottom w:w="0" w:type="dxa"/>
            <w:right w:w="108" w:type="dxa"/>
          </w:tblCellMar>
        </w:tblPrEx>
        <w:trPr>
          <w:trHeight w:val="90" w:hRule="atLeast"/>
        </w:trPr>
        <w:tc>
          <w:tcPr>
            <w:tcW w:w="546"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15</w:t>
            </w:r>
          </w:p>
        </w:tc>
        <w:tc>
          <w:tcPr>
            <w:tcW w:w="4453"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需支持图片文件秒级检索，秒级提取硬盘中人脸、车辆、人体等图片文件，用户可快速浏览全部通道中的图片文件</w:t>
            </w:r>
          </w:p>
        </w:tc>
      </w:tr>
      <w:tr>
        <w:tblPrEx>
          <w:tblCellMar>
            <w:top w:w="0" w:type="dxa"/>
            <w:left w:w="108" w:type="dxa"/>
            <w:bottom w:w="0" w:type="dxa"/>
            <w:right w:w="108" w:type="dxa"/>
          </w:tblCellMar>
        </w:tblPrEx>
        <w:trPr>
          <w:trHeight w:val="438" w:hRule="atLeast"/>
        </w:trPr>
        <w:tc>
          <w:tcPr>
            <w:tcW w:w="546"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16</w:t>
            </w:r>
          </w:p>
        </w:tc>
        <w:tc>
          <w:tcPr>
            <w:tcW w:w="4453"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支持智能后检索回放功能：可在视频画面上绘制移动侦测区域、越界/区域入侵区域，播放速度可设置。</w:t>
            </w:r>
          </w:p>
        </w:tc>
      </w:tr>
      <w:tr>
        <w:tblPrEx>
          <w:tblCellMar>
            <w:top w:w="0" w:type="dxa"/>
            <w:left w:w="108" w:type="dxa"/>
            <w:bottom w:w="0" w:type="dxa"/>
            <w:right w:w="108" w:type="dxa"/>
          </w:tblCellMar>
        </w:tblPrEx>
        <w:trPr>
          <w:trHeight w:val="90" w:hRule="atLeast"/>
        </w:trPr>
        <w:tc>
          <w:tcPr>
            <w:tcW w:w="546"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17</w:t>
            </w:r>
          </w:p>
        </w:tc>
        <w:tc>
          <w:tcPr>
            <w:tcW w:w="4453"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支持即时存储和回放功能检查，可存储和恢复设备断电、断网前一秒的录像。</w:t>
            </w:r>
          </w:p>
        </w:tc>
      </w:tr>
      <w:tr>
        <w:tblPrEx>
          <w:tblCellMar>
            <w:top w:w="0" w:type="dxa"/>
            <w:left w:w="108" w:type="dxa"/>
            <w:bottom w:w="0" w:type="dxa"/>
            <w:right w:w="108" w:type="dxa"/>
          </w:tblCellMar>
        </w:tblPrEx>
        <w:trPr>
          <w:trHeight w:val="90" w:hRule="atLeast"/>
        </w:trPr>
        <w:tc>
          <w:tcPr>
            <w:tcW w:w="546"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18</w:t>
            </w:r>
          </w:p>
        </w:tc>
        <w:tc>
          <w:tcPr>
            <w:tcW w:w="4453"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需支持过车记录导出表格功能，表格包含通道、时间、车牌号、车型、车身颜色、车辆品牌、车辆抓拍图片信息</w:t>
            </w:r>
          </w:p>
        </w:tc>
      </w:tr>
      <w:tr>
        <w:tblPrEx>
          <w:tblCellMar>
            <w:top w:w="0" w:type="dxa"/>
            <w:left w:w="108" w:type="dxa"/>
            <w:bottom w:w="0" w:type="dxa"/>
            <w:right w:w="108" w:type="dxa"/>
          </w:tblCellMar>
        </w:tblPrEx>
        <w:trPr>
          <w:trHeight w:val="90" w:hRule="atLeast"/>
        </w:trPr>
        <w:tc>
          <w:tcPr>
            <w:tcW w:w="546"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19</w:t>
            </w:r>
          </w:p>
        </w:tc>
        <w:tc>
          <w:tcPr>
            <w:tcW w:w="4453"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需支持图表形式展示已添加的IP通道，支持自动抓拍一张图片作为IP通道封面</w:t>
            </w:r>
          </w:p>
        </w:tc>
      </w:tr>
      <w:tr>
        <w:tblPrEx>
          <w:tblCellMar>
            <w:top w:w="0" w:type="dxa"/>
            <w:left w:w="108" w:type="dxa"/>
            <w:bottom w:w="0" w:type="dxa"/>
            <w:right w:w="108" w:type="dxa"/>
          </w:tblCellMar>
        </w:tblPrEx>
        <w:trPr>
          <w:trHeight w:val="90" w:hRule="atLeast"/>
        </w:trPr>
        <w:tc>
          <w:tcPr>
            <w:tcW w:w="546"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20</w:t>
            </w:r>
          </w:p>
        </w:tc>
        <w:tc>
          <w:tcPr>
            <w:tcW w:w="4453"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需配合全局摄像机，支持3D定位功能，可以在全景通道上任意选取点位，球机通道可变倍定位</w:t>
            </w:r>
          </w:p>
        </w:tc>
      </w:tr>
      <w:tr>
        <w:tblPrEx>
          <w:tblCellMar>
            <w:top w:w="0" w:type="dxa"/>
            <w:left w:w="108" w:type="dxa"/>
            <w:bottom w:w="0" w:type="dxa"/>
            <w:right w:w="108" w:type="dxa"/>
          </w:tblCellMar>
        </w:tblPrEx>
        <w:trPr>
          <w:trHeight w:val="90" w:hRule="atLeast"/>
        </w:trPr>
        <w:tc>
          <w:tcPr>
            <w:tcW w:w="546"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21</w:t>
            </w:r>
          </w:p>
        </w:tc>
        <w:tc>
          <w:tcPr>
            <w:tcW w:w="4453"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支持查看希捷硬盘健康状态信息，包括温度，震动，链路稳定性。支持查看最近7天（168小时）的硬盘状态信息</w:t>
            </w:r>
          </w:p>
        </w:tc>
      </w:tr>
      <w:tr>
        <w:tblPrEx>
          <w:tblCellMar>
            <w:top w:w="0" w:type="dxa"/>
            <w:left w:w="108" w:type="dxa"/>
            <w:bottom w:w="0" w:type="dxa"/>
            <w:right w:w="108" w:type="dxa"/>
          </w:tblCellMar>
        </w:tblPrEx>
        <w:trPr>
          <w:trHeight w:val="1104" w:hRule="atLeast"/>
        </w:trPr>
        <w:tc>
          <w:tcPr>
            <w:tcW w:w="546"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22</w:t>
            </w:r>
          </w:p>
        </w:tc>
        <w:tc>
          <w:tcPr>
            <w:tcW w:w="4453"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需支持在线检查西数硬盘的运行状态、健康状态，包括低温警报、高温警报、异步信号恢复警报、重新分配扇区技术警报、读取恢复警报、无法修复的错误警报、机械故障警报、磁头加载率警报、电源接通复位率警报、总功率负载率警报、电源开启小时警报</w:t>
            </w:r>
          </w:p>
        </w:tc>
      </w:tr>
    </w:tbl>
    <w:p>
      <w:pPr>
        <w:pStyle w:val="8"/>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3.13、55寸高清超窄边拼接屏</w:t>
      </w:r>
    </w:p>
    <w:tbl>
      <w:tblPr>
        <w:tblStyle w:val="52"/>
        <w:tblW w:w="4998" w:type="pct"/>
        <w:tblInd w:w="0" w:type="dxa"/>
        <w:tblLayout w:type="autofit"/>
        <w:tblCellMar>
          <w:top w:w="0" w:type="dxa"/>
          <w:left w:w="108" w:type="dxa"/>
          <w:bottom w:w="0" w:type="dxa"/>
          <w:right w:w="108" w:type="dxa"/>
        </w:tblCellMar>
      </w:tblPr>
      <w:tblGrid>
        <w:gridCol w:w="1012"/>
        <w:gridCol w:w="8288"/>
      </w:tblGrid>
      <w:tr>
        <w:tblPrEx>
          <w:tblCellMar>
            <w:top w:w="0" w:type="dxa"/>
            <w:left w:w="108" w:type="dxa"/>
            <w:bottom w:w="0" w:type="dxa"/>
            <w:right w:w="108" w:type="dxa"/>
          </w:tblCellMar>
        </w:tblPrEx>
        <w:trPr>
          <w:trHeight w:val="70"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b/>
                <w:bCs/>
                <w:color w:val="auto"/>
                <w:sz w:val="21"/>
                <w:szCs w:val="21"/>
                <w:highlight w:val="none"/>
                <w:lang w:bidi="ar"/>
              </w:rPr>
            </w:pPr>
            <w:r>
              <w:rPr>
                <w:rFonts w:hint="eastAsia" w:hAnsi="宋体" w:cs="宋体"/>
                <w:b/>
                <w:bCs/>
                <w:color w:val="auto"/>
                <w:sz w:val="21"/>
                <w:szCs w:val="21"/>
                <w:highlight w:val="none"/>
                <w:lang w:bidi="ar"/>
              </w:rPr>
              <w:t>序号</w:t>
            </w:r>
          </w:p>
        </w:tc>
        <w:tc>
          <w:tcPr>
            <w:tcW w:w="4455" w:type="pct"/>
            <w:tcBorders>
              <w:top w:val="single" w:color="auto" w:sz="4" w:space="0"/>
              <w:left w:val="nil"/>
              <w:bottom w:val="single" w:color="auto" w:sz="4" w:space="0"/>
              <w:right w:val="single" w:color="auto" w:sz="4" w:space="0"/>
            </w:tcBorders>
            <w:vAlign w:val="center"/>
          </w:tcPr>
          <w:p>
            <w:pPr>
              <w:jc w:val="center"/>
              <w:rPr>
                <w:rFonts w:hAnsi="宋体" w:cs="宋体"/>
                <w:b/>
                <w:bCs/>
                <w:color w:val="auto"/>
                <w:sz w:val="21"/>
                <w:szCs w:val="21"/>
                <w:highlight w:val="none"/>
                <w:lang w:bidi="ar"/>
              </w:rPr>
            </w:pPr>
            <w:r>
              <w:rPr>
                <w:rFonts w:hint="eastAsia" w:hAnsi="宋体" w:cs="宋体"/>
                <w:b/>
                <w:bCs/>
                <w:color w:val="auto"/>
                <w:sz w:val="21"/>
                <w:szCs w:val="21"/>
                <w:highlight w:val="none"/>
                <w:lang w:bidi="ar"/>
              </w:rPr>
              <w:t>技术规格参数</w:t>
            </w:r>
          </w:p>
        </w:tc>
      </w:tr>
      <w:tr>
        <w:tblPrEx>
          <w:tblCellMar>
            <w:top w:w="0" w:type="dxa"/>
            <w:left w:w="108" w:type="dxa"/>
            <w:bottom w:w="0" w:type="dxa"/>
            <w:right w:w="108" w:type="dxa"/>
          </w:tblCellMar>
        </w:tblPrEx>
        <w:trPr>
          <w:trHeight w:val="72"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w:t>
            </w:r>
          </w:p>
        </w:tc>
        <w:tc>
          <w:tcPr>
            <w:tcW w:w="4455" w:type="pct"/>
            <w:tcBorders>
              <w:top w:val="single" w:color="auto" w:sz="4" w:space="0"/>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LCD液晶显示单元；</w:t>
            </w:r>
          </w:p>
        </w:tc>
      </w:tr>
      <w:tr>
        <w:tblPrEx>
          <w:tblCellMar>
            <w:top w:w="0" w:type="dxa"/>
            <w:left w:w="108" w:type="dxa"/>
            <w:bottom w:w="0" w:type="dxa"/>
            <w:right w:w="108" w:type="dxa"/>
          </w:tblCellMar>
        </w:tblPrEx>
        <w:trPr>
          <w:trHeight w:val="70"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2</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尺寸：55英寸</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3</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分辨率：1920x1080；视角：178°(水平)/ 178°(垂直)；响应时间：6.5 ms (G to G)；</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4</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对比度：3000:1；亮度：500cd/㎡；物理拼缝：3.5mm；</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5</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输入接口：VGA × 1, HDMI × 1, DVI × 1</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6</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功耗：≤190W</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7</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电源要求：AC 100-240V～, 50/60Hz</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8</w:t>
            </w:r>
          </w:p>
        </w:tc>
        <w:tc>
          <w:tcPr>
            <w:tcW w:w="4455"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寿命：≥60000 小时</w:t>
            </w:r>
          </w:p>
        </w:tc>
      </w:tr>
    </w:tbl>
    <w:p>
      <w:pPr>
        <w:pStyle w:val="8"/>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3.14、高清解码器（16路）</w:t>
      </w:r>
    </w:p>
    <w:tbl>
      <w:tblPr>
        <w:tblStyle w:val="52"/>
        <w:tblW w:w="4998" w:type="pct"/>
        <w:tblInd w:w="0" w:type="dxa"/>
        <w:tblLayout w:type="autofit"/>
        <w:tblCellMar>
          <w:top w:w="0" w:type="dxa"/>
          <w:left w:w="108" w:type="dxa"/>
          <w:bottom w:w="0" w:type="dxa"/>
          <w:right w:w="108" w:type="dxa"/>
        </w:tblCellMar>
      </w:tblPr>
      <w:tblGrid>
        <w:gridCol w:w="1012"/>
        <w:gridCol w:w="8288"/>
      </w:tblGrid>
      <w:tr>
        <w:tblPrEx>
          <w:tblCellMar>
            <w:top w:w="0" w:type="dxa"/>
            <w:left w:w="108" w:type="dxa"/>
            <w:bottom w:w="0" w:type="dxa"/>
            <w:right w:w="108" w:type="dxa"/>
          </w:tblCellMar>
        </w:tblPrEx>
        <w:trPr>
          <w:trHeight w:val="70"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b/>
                <w:bCs/>
                <w:color w:val="auto"/>
                <w:sz w:val="21"/>
                <w:szCs w:val="21"/>
                <w:highlight w:val="none"/>
                <w:lang w:bidi="ar"/>
              </w:rPr>
            </w:pPr>
            <w:r>
              <w:rPr>
                <w:rFonts w:hint="eastAsia" w:hAnsi="宋体" w:cs="宋体"/>
                <w:b/>
                <w:bCs/>
                <w:color w:val="auto"/>
                <w:sz w:val="21"/>
                <w:szCs w:val="21"/>
                <w:highlight w:val="none"/>
                <w:lang w:bidi="ar"/>
              </w:rPr>
              <w:t>序号</w:t>
            </w:r>
          </w:p>
        </w:tc>
        <w:tc>
          <w:tcPr>
            <w:tcW w:w="4456" w:type="pct"/>
            <w:tcBorders>
              <w:top w:val="single" w:color="auto" w:sz="4" w:space="0"/>
              <w:left w:val="nil"/>
              <w:bottom w:val="single" w:color="auto" w:sz="4" w:space="0"/>
              <w:right w:val="single" w:color="auto" w:sz="4" w:space="0"/>
            </w:tcBorders>
            <w:vAlign w:val="center"/>
          </w:tcPr>
          <w:p>
            <w:pPr>
              <w:jc w:val="center"/>
              <w:rPr>
                <w:rFonts w:hAnsi="宋体" w:cs="宋体"/>
                <w:b/>
                <w:bCs/>
                <w:color w:val="auto"/>
                <w:sz w:val="21"/>
                <w:szCs w:val="21"/>
                <w:highlight w:val="none"/>
                <w:lang w:bidi="ar"/>
              </w:rPr>
            </w:pPr>
            <w:r>
              <w:rPr>
                <w:rFonts w:hint="eastAsia" w:hAnsi="宋体" w:cs="宋体"/>
                <w:b/>
                <w:bCs/>
                <w:color w:val="auto"/>
                <w:sz w:val="21"/>
                <w:szCs w:val="21"/>
                <w:highlight w:val="none"/>
                <w:lang w:bidi="ar"/>
              </w:rPr>
              <w:t>技术规格参数</w:t>
            </w:r>
          </w:p>
        </w:tc>
      </w:tr>
      <w:tr>
        <w:tblPrEx>
          <w:tblCellMar>
            <w:top w:w="0" w:type="dxa"/>
            <w:left w:w="108" w:type="dxa"/>
            <w:bottom w:w="0" w:type="dxa"/>
            <w:right w:w="108" w:type="dxa"/>
          </w:tblCellMar>
        </w:tblPrEx>
        <w:trPr>
          <w:trHeight w:val="72"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w:t>
            </w:r>
          </w:p>
        </w:tc>
        <w:tc>
          <w:tcPr>
            <w:tcW w:w="4456" w:type="pct"/>
            <w:tcBorders>
              <w:top w:val="single" w:color="auto" w:sz="4" w:space="0"/>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16个HDMI输出接口、≥1个VGA输入接口、1个DVI输入接口、≥2个USB口、≥1个语音对讲输入、≥1个语音对讲输出、≥16个音频输出、≥8个报警输入、≥8个报警输出、≥1个RS485接口、≥1个RS232接口、≥2个千兆网口、≥2个光口（须提供官网截图或产品彩页并加盖投标人公章）</w:t>
            </w:r>
          </w:p>
        </w:tc>
      </w:tr>
      <w:tr>
        <w:tblPrEx>
          <w:tblCellMar>
            <w:top w:w="0" w:type="dxa"/>
            <w:left w:w="108" w:type="dxa"/>
            <w:bottom w:w="0" w:type="dxa"/>
            <w:right w:w="108" w:type="dxa"/>
          </w:tblCellMar>
        </w:tblPrEx>
        <w:trPr>
          <w:trHeight w:val="70"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2</w:t>
            </w:r>
          </w:p>
        </w:tc>
        <w:tc>
          <w:tcPr>
            <w:tcW w:w="4456"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rPr>
              <w:t>具有1个电源指示灯、1个VGA信号接入指示灯和1个DVI信号接入指示灯</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3</w:t>
            </w:r>
          </w:p>
        </w:tc>
        <w:tc>
          <w:tcPr>
            <w:tcW w:w="4456"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rPr>
              <w:t>支持对输入的视频画面进行90°、180°、270°旋转显示。</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4</w:t>
            </w:r>
          </w:p>
        </w:tc>
        <w:tc>
          <w:tcPr>
            <w:tcW w:w="4456"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rPr>
              <w:t>支持黑白名单功能，可设置256个黑白名单；当设置白名单时，只允许白名单IP访问设备；当设置黑名单时，黑名单内IP无法访问设备</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5</w:t>
            </w:r>
          </w:p>
        </w:tc>
        <w:tc>
          <w:tcPr>
            <w:tcW w:w="4456"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rPr>
              <w:t>输入信号接入解码器后上墙显示，支持YUV422上墙显示</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6</w:t>
            </w:r>
          </w:p>
        </w:tc>
        <w:tc>
          <w:tcPr>
            <w:tcW w:w="4456"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rPr>
              <w:t>可通过客户端软件设置HDMI接口输出分辨率为3840*2160(30Hz、1920*1080(50Hz)、1920*1080(60Hz))、1680*1050(60Hz)、1600*1200(60Hz)、1280*1024(60Hz)、1280*720(60Hz)、1280*720(50Hz)、1024*768(60Hz)。</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7</w:t>
            </w:r>
          </w:p>
        </w:tc>
        <w:tc>
          <w:tcPr>
            <w:tcW w:w="4456"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rPr>
              <w:t>支持1、2、4、6、8、9、10、12、16、25、36画面分割显示；支持平均分割；支持分割线开启/关闭设置，支持底色设置功能。</w:t>
            </w:r>
          </w:p>
        </w:tc>
      </w:tr>
      <w:tr>
        <w:tblPrEx>
          <w:tblCellMar>
            <w:top w:w="0" w:type="dxa"/>
            <w:left w:w="108" w:type="dxa"/>
            <w:bottom w:w="0" w:type="dxa"/>
            <w:right w:w="108" w:type="dxa"/>
          </w:tblCellMar>
        </w:tblPrEx>
        <w:trPr>
          <w:trHeight w:val="27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8</w:t>
            </w:r>
          </w:p>
        </w:tc>
        <w:tc>
          <w:tcPr>
            <w:tcW w:w="4456"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rPr>
              <w:t>支持通过客户端软件将1路输入视频图像发送至多个输出接口拼接显示，支持1x2、1x3、1x4、1x5、1x6、1x7、1x8、1x9、1x10、1x11,1x12、1x13、1x14、1x15、1X16、2x1、2x2、2x3、2x4、2x5、2x6、2x7、2x8、3x1、3x2、3x3、3x4、3x5、4x1、4x2、4x3、4x4、5x1、5x2、5x3、6x1、6x2、7x1、7x2、8x1、8x2、9x1、10x1、11x1、12x1、13xh14x1、15x1、16x1的拼接显示</w:t>
            </w:r>
          </w:p>
        </w:tc>
      </w:tr>
      <w:tr>
        <w:tblPrEx>
          <w:tblCellMar>
            <w:top w:w="0" w:type="dxa"/>
            <w:left w:w="108" w:type="dxa"/>
            <w:bottom w:w="0" w:type="dxa"/>
            <w:right w:w="108" w:type="dxa"/>
          </w:tblCellMar>
        </w:tblPrEx>
        <w:trPr>
          <w:trHeight w:val="90"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9</w:t>
            </w:r>
          </w:p>
        </w:tc>
        <w:tc>
          <w:tcPr>
            <w:tcW w:w="4456"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rPr>
              <w:t>支持通过DVI-I视频输入接口接入分辨率为1920*1080(60Hz)、1680*1050(60Hz)、1600*1200(60Hz)、1440*900(60Hz)、1366*768(60Hz)、1280*1024(60Hz)、1280*1024(50Hz)、1280*960(60Hz)、1280*800(60Hz)、1024*768(60Hz)、1280*720(60Hz)、1280*720(50Hz)、800*600(60Hz)的视频图像并显示</w:t>
            </w:r>
          </w:p>
        </w:tc>
      </w:tr>
      <w:tr>
        <w:tblPrEx>
          <w:tblCellMar>
            <w:top w:w="0" w:type="dxa"/>
            <w:left w:w="108" w:type="dxa"/>
            <w:bottom w:w="0" w:type="dxa"/>
            <w:right w:w="108" w:type="dxa"/>
          </w:tblCellMar>
        </w:tblPrEx>
        <w:trPr>
          <w:trHeight w:val="56" w:hRule="atLeast"/>
        </w:trPr>
        <w:tc>
          <w:tcPr>
            <w:tcW w:w="544" w:type="pct"/>
            <w:tcBorders>
              <w:top w:val="nil"/>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10</w:t>
            </w:r>
          </w:p>
        </w:tc>
        <w:tc>
          <w:tcPr>
            <w:tcW w:w="4456" w:type="pct"/>
            <w:tcBorders>
              <w:top w:val="nil"/>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rPr>
              <w:t>支持通过VGA视频输入接口接入分辨率为1920*1080(60Hz)、1680*1050(60Hz)、1600*1200(60Hz)、1440*900(60Hz)、1366*768(60Hz)、1280*1024(60Hz)、1280*960(60Hz)、1280*1024(50Hz)、1280*800(60Hz)、1024*768(60Hz)、1280*720(60Hz)、1280*720(50Hz)、800*600(60Hz)的视频图像并显示</w:t>
            </w:r>
          </w:p>
        </w:tc>
      </w:tr>
      <w:tr>
        <w:tblPrEx>
          <w:tblCellMar>
            <w:top w:w="0" w:type="dxa"/>
            <w:left w:w="108" w:type="dxa"/>
            <w:bottom w:w="0" w:type="dxa"/>
            <w:right w:w="108" w:type="dxa"/>
          </w:tblCellMar>
        </w:tblPrEx>
        <w:trPr>
          <w:trHeight w:val="276"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11</w:t>
            </w:r>
          </w:p>
        </w:tc>
        <w:tc>
          <w:tcPr>
            <w:tcW w:w="4456" w:type="pct"/>
            <w:tcBorders>
              <w:top w:val="single" w:color="auto" w:sz="4" w:space="0"/>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rPr>
              <w:t>可通过客户端软件将显示窗口在多个显示屏间进行拖动或跨屏显示，并可调节显示窗口大小。</w:t>
            </w:r>
          </w:p>
        </w:tc>
      </w:tr>
      <w:tr>
        <w:tblPrEx>
          <w:tblCellMar>
            <w:top w:w="0" w:type="dxa"/>
            <w:left w:w="108" w:type="dxa"/>
            <w:bottom w:w="0" w:type="dxa"/>
            <w:right w:w="108" w:type="dxa"/>
          </w:tblCellMar>
        </w:tblPrEx>
        <w:trPr>
          <w:trHeight w:val="276"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12</w:t>
            </w:r>
          </w:p>
        </w:tc>
        <w:tc>
          <w:tcPr>
            <w:tcW w:w="4456" w:type="pct"/>
            <w:tcBorders>
              <w:top w:val="single" w:color="auto" w:sz="4" w:space="0"/>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rPr>
              <w:t>支持视频轮巡功能，并可在客户端软件设置轮巡计划。</w:t>
            </w:r>
          </w:p>
        </w:tc>
      </w:tr>
      <w:tr>
        <w:tblPrEx>
          <w:tblCellMar>
            <w:top w:w="0" w:type="dxa"/>
            <w:left w:w="108" w:type="dxa"/>
            <w:bottom w:w="0" w:type="dxa"/>
            <w:right w:w="108" w:type="dxa"/>
          </w:tblCellMar>
        </w:tblPrEx>
        <w:trPr>
          <w:trHeight w:val="276"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13</w:t>
            </w:r>
          </w:p>
        </w:tc>
        <w:tc>
          <w:tcPr>
            <w:tcW w:w="4456" w:type="pct"/>
            <w:tcBorders>
              <w:top w:val="single" w:color="auto" w:sz="4" w:space="0"/>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rPr>
              <w:t>具有1个电源指示灯、1个VGA信号接入指示灯和1个DVI信号接入指示灯</w:t>
            </w:r>
          </w:p>
        </w:tc>
      </w:tr>
    </w:tbl>
    <w:p>
      <w:pPr>
        <w:pStyle w:val="8"/>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r>
        <w:rPr>
          <w:rFonts w:ascii="宋体" w:hAnsi="宋体" w:eastAsia="宋体" w:cs="宋体"/>
          <w:color w:val="auto"/>
          <w:sz w:val="21"/>
          <w:szCs w:val="21"/>
          <w:highlight w:val="none"/>
        </w:rPr>
        <w:t>5</w:t>
      </w:r>
      <w:r>
        <w:rPr>
          <w:rFonts w:hint="eastAsia" w:ascii="宋体" w:hAnsi="宋体" w:eastAsia="宋体" w:cs="宋体"/>
          <w:color w:val="auto"/>
          <w:sz w:val="21"/>
          <w:szCs w:val="21"/>
          <w:highlight w:val="none"/>
        </w:rPr>
        <w:t>、发卡器</w:t>
      </w:r>
    </w:p>
    <w:tbl>
      <w:tblPr>
        <w:tblStyle w:val="52"/>
        <w:tblW w:w="4998" w:type="pct"/>
        <w:tblInd w:w="0" w:type="dxa"/>
        <w:tblLayout w:type="autofit"/>
        <w:tblCellMar>
          <w:top w:w="0" w:type="dxa"/>
          <w:left w:w="108" w:type="dxa"/>
          <w:bottom w:w="0" w:type="dxa"/>
          <w:right w:w="108" w:type="dxa"/>
        </w:tblCellMar>
      </w:tblPr>
      <w:tblGrid>
        <w:gridCol w:w="1012"/>
        <w:gridCol w:w="8288"/>
      </w:tblGrid>
      <w:tr>
        <w:tblPrEx>
          <w:tblCellMar>
            <w:top w:w="0" w:type="dxa"/>
            <w:left w:w="108" w:type="dxa"/>
            <w:bottom w:w="0" w:type="dxa"/>
            <w:right w:w="108" w:type="dxa"/>
          </w:tblCellMar>
        </w:tblPrEx>
        <w:trPr>
          <w:trHeight w:val="70"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b/>
                <w:bCs/>
                <w:color w:val="auto"/>
                <w:sz w:val="21"/>
                <w:szCs w:val="21"/>
                <w:highlight w:val="none"/>
                <w:lang w:bidi="ar"/>
              </w:rPr>
            </w:pPr>
            <w:r>
              <w:rPr>
                <w:rFonts w:hint="eastAsia" w:hAnsi="宋体" w:cs="宋体"/>
                <w:b/>
                <w:bCs/>
                <w:color w:val="auto"/>
                <w:sz w:val="21"/>
                <w:szCs w:val="21"/>
                <w:highlight w:val="none"/>
                <w:lang w:bidi="ar"/>
              </w:rPr>
              <w:t>序号</w:t>
            </w:r>
          </w:p>
        </w:tc>
        <w:tc>
          <w:tcPr>
            <w:tcW w:w="4456" w:type="pct"/>
            <w:tcBorders>
              <w:top w:val="single" w:color="auto" w:sz="4" w:space="0"/>
              <w:left w:val="nil"/>
              <w:bottom w:val="single" w:color="auto" w:sz="4" w:space="0"/>
              <w:right w:val="single" w:color="auto" w:sz="4" w:space="0"/>
            </w:tcBorders>
            <w:vAlign w:val="center"/>
          </w:tcPr>
          <w:p>
            <w:pPr>
              <w:jc w:val="center"/>
              <w:rPr>
                <w:rFonts w:hAnsi="宋体" w:cs="宋体"/>
                <w:b/>
                <w:bCs/>
                <w:color w:val="auto"/>
                <w:sz w:val="21"/>
                <w:szCs w:val="21"/>
                <w:highlight w:val="none"/>
                <w:lang w:bidi="ar"/>
              </w:rPr>
            </w:pPr>
            <w:r>
              <w:rPr>
                <w:rFonts w:hint="eastAsia" w:hAnsi="宋体" w:cs="宋体"/>
                <w:b/>
                <w:bCs/>
                <w:color w:val="auto"/>
                <w:sz w:val="21"/>
                <w:szCs w:val="21"/>
                <w:highlight w:val="none"/>
                <w:lang w:bidi="ar"/>
              </w:rPr>
              <w:t>技术规格参数</w:t>
            </w:r>
          </w:p>
        </w:tc>
      </w:tr>
      <w:tr>
        <w:tblPrEx>
          <w:tblCellMar>
            <w:top w:w="0" w:type="dxa"/>
            <w:left w:w="108" w:type="dxa"/>
            <w:bottom w:w="0" w:type="dxa"/>
            <w:right w:w="108" w:type="dxa"/>
          </w:tblCellMar>
        </w:tblPrEx>
        <w:trPr>
          <w:trHeight w:val="72"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1</w:t>
            </w:r>
          </w:p>
        </w:tc>
        <w:tc>
          <w:tcPr>
            <w:tcW w:w="4456" w:type="pct"/>
            <w:tcBorders>
              <w:top w:val="single" w:color="auto" w:sz="4" w:space="0"/>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 xml:space="preserve">1）支持发卡类型：ID卡、Mifare卡、普通CPU卡、国密CPU卡； 2）USB2.0接口； 3）具有2个Sim卡尺寸的PSAM卡座； 4）工作电压：DC 5V； 5）工作电流：0.2A； </w:t>
            </w:r>
          </w:p>
        </w:tc>
      </w:tr>
      <w:tr>
        <w:tblPrEx>
          <w:tblCellMar>
            <w:top w:w="0" w:type="dxa"/>
            <w:left w:w="108" w:type="dxa"/>
            <w:bottom w:w="0" w:type="dxa"/>
            <w:right w:w="108" w:type="dxa"/>
          </w:tblCellMar>
        </w:tblPrEx>
        <w:trPr>
          <w:trHeight w:val="72"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int="eastAsia" w:hAnsi="宋体" w:cs="宋体"/>
                <w:color w:val="auto"/>
                <w:sz w:val="21"/>
                <w:szCs w:val="21"/>
                <w:highlight w:val="none"/>
                <w:lang w:bidi="ar"/>
              </w:rPr>
              <w:t>2</w:t>
            </w:r>
          </w:p>
        </w:tc>
        <w:tc>
          <w:tcPr>
            <w:tcW w:w="4456" w:type="pct"/>
            <w:tcBorders>
              <w:top w:val="single" w:color="auto" w:sz="4" w:space="0"/>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软件：提供写卡、读卡软件，方便用户批量发卡和写卡，对用户卡限时、限次、挂失、解挂操作；提供S</w:t>
            </w:r>
            <w:r>
              <w:rPr>
                <w:rFonts w:hAnsi="宋体" w:cs="宋体"/>
                <w:color w:val="auto"/>
                <w:sz w:val="21"/>
                <w:szCs w:val="21"/>
                <w:highlight w:val="none"/>
                <w:lang w:bidi="ar"/>
              </w:rPr>
              <w:t>DK</w:t>
            </w:r>
            <w:r>
              <w:rPr>
                <w:rFonts w:hint="eastAsia" w:hAnsi="宋体" w:cs="宋体"/>
                <w:color w:val="auto"/>
                <w:sz w:val="21"/>
                <w:szCs w:val="21"/>
                <w:highlight w:val="none"/>
                <w:lang w:bidi="ar"/>
              </w:rPr>
              <w:t>开发包；具有可加密、防复制功能，有效防止卡片复制和非加密卡的使用</w:t>
            </w:r>
          </w:p>
        </w:tc>
      </w:tr>
    </w:tbl>
    <w:p>
      <w:pPr>
        <w:pStyle w:val="8"/>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r>
        <w:rPr>
          <w:rFonts w:ascii="宋体" w:hAnsi="宋体" w:eastAsia="宋体" w:cs="宋体"/>
          <w:color w:val="auto"/>
          <w:sz w:val="21"/>
          <w:szCs w:val="21"/>
          <w:highlight w:val="none"/>
        </w:rPr>
        <w:t>6</w:t>
      </w:r>
      <w:r>
        <w:rPr>
          <w:rFonts w:hint="eastAsia" w:ascii="宋体" w:hAnsi="宋体" w:eastAsia="宋体" w:cs="宋体"/>
          <w:color w:val="auto"/>
          <w:sz w:val="21"/>
          <w:szCs w:val="21"/>
          <w:highlight w:val="none"/>
        </w:rPr>
        <w:t>、</w:t>
      </w:r>
      <w:r>
        <w:rPr>
          <w:rFonts w:ascii="宋体" w:hAnsi="宋体" w:eastAsia="宋体" w:cs="宋体"/>
          <w:color w:val="auto"/>
          <w:sz w:val="21"/>
          <w:szCs w:val="21"/>
          <w:highlight w:val="none"/>
        </w:rPr>
        <w:t>CPU</w:t>
      </w:r>
      <w:r>
        <w:rPr>
          <w:rFonts w:hint="eastAsia" w:ascii="宋体" w:hAnsi="宋体" w:eastAsia="宋体" w:cs="宋体"/>
          <w:color w:val="auto"/>
          <w:sz w:val="21"/>
          <w:szCs w:val="21"/>
          <w:highlight w:val="none"/>
        </w:rPr>
        <w:t>卡</w:t>
      </w:r>
    </w:p>
    <w:tbl>
      <w:tblPr>
        <w:tblStyle w:val="52"/>
        <w:tblW w:w="4998" w:type="pct"/>
        <w:tblInd w:w="0" w:type="dxa"/>
        <w:tblLayout w:type="autofit"/>
        <w:tblCellMar>
          <w:top w:w="0" w:type="dxa"/>
          <w:left w:w="108" w:type="dxa"/>
          <w:bottom w:w="0" w:type="dxa"/>
          <w:right w:w="108" w:type="dxa"/>
        </w:tblCellMar>
      </w:tblPr>
      <w:tblGrid>
        <w:gridCol w:w="1012"/>
        <w:gridCol w:w="8288"/>
      </w:tblGrid>
      <w:tr>
        <w:tblPrEx>
          <w:tblCellMar>
            <w:top w:w="0" w:type="dxa"/>
            <w:left w:w="108" w:type="dxa"/>
            <w:bottom w:w="0" w:type="dxa"/>
            <w:right w:w="108" w:type="dxa"/>
          </w:tblCellMar>
        </w:tblPrEx>
        <w:trPr>
          <w:trHeight w:val="70"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b/>
                <w:bCs/>
                <w:color w:val="auto"/>
                <w:sz w:val="21"/>
                <w:szCs w:val="21"/>
                <w:highlight w:val="none"/>
                <w:lang w:bidi="ar"/>
              </w:rPr>
            </w:pPr>
            <w:r>
              <w:rPr>
                <w:rFonts w:hint="eastAsia" w:hAnsi="宋体" w:cs="宋体"/>
                <w:b/>
                <w:bCs/>
                <w:color w:val="auto"/>
                <w:sz w:val="21"/>
                <w:szCs w:val="21"/>
                <w:highlight w:val="none"/>
                <w:lang w:bidi="ar"/>
              </w:rPr>
              <w:t>序号</w:t>
            </w:r>
          </w:p>
        </w:tc>
        <w:tc>
          <w:tcPr>
            <w:tcW w:w="4456" w:type="pct"/>
            <w:tcBorders>
              <w:top w:val="single" w:color="auto" w:sz="4" w:space="0"/>
              <w:left w:val="nil"/>
              <w:bottom w:val="single" w:color="auto" w:sz="4" w:space="0"/>
              <w:right w:val="single" w:color="auto" w:sz="4" w:space="0"/>
            </w:tcBorders>
            <w:vAlign w:val="center"/>
          </w:tcPr>
          <w:p>
            <w:pPr>
              <w:jc w:val="center"/>
              <w:rPr>
                <w:rFonts w:hAnsi="宋体" w:cs="宋体"/>
                <w:b/>
                <w:bCs/>
                <w:color w:val="auto"/>
                <w:sz w:val="21"/>
                <w:szCs w:val="21"/>
                <w:highlight w:val="none"/>
                <w:lang w:bidi="ar"/>
              </w:rPr>
            </w:pPr>
            <w:r>
              <w:rPr>
                <w:rFonts w:hint="eastAsia" w:hAnsi="宋体" w:cs="宋体"/>
                <w:b/>
                <w:bCs/>
                <w:color w:val="auto"/>
                <w:sz w:val="21"/>
                <w:szCs w:val="21"/>
                <w:highlight w:val="none"/>
                <w:lang w:bidi="ar"/>
              </w:rPr>
              <w:t>技术规格参数</w:t>
            </w:r>
          </w:p>
        </w:tc>
      </w:tr>
      <w:tr>
        <w:tblPrEx>
          <w:tblCellMar>
            <w:top w:w="0" w:type="dxa"/>
            <w:left w:w="108" w:type="dxa"/>
            <w:bottom w:w="0" w:type="dxa"/>
            <w:right w:w="108" w:type="dxa"/>
          </w:tblCellMar>
        </w:tblPrEx>
        <w:trPr>
          <w:trHeight w:val="72"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Ansi="宋体" w:cs="宋体"/>
                <w:color w:val="auto"/>
                <w:sz w:val="21"/>
                <w:szCs w:val="21"/>
                <w:highlight w:val="none"/>
                <w:lang w:bidi="ar"/>
              </w:rPr>
              <w:t>1</w:t>
            </w:r>
          </w:p>
        </w:tc>
        <w:tc>
          <w:tcPr>
            <w:tcW w:w="4456" w:type="pct"/>
            <w:tcBorders>
              <w:top w:val="single" w:color="auto" w:sz="4" w:space="0"/>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1、产品名称：</w:t>
            </w:r>
            <w:r>
              <w:rPr>
                <w:rFonts w:hAnsi="宋体" w:cs="宋体"/>
                <w:color w:val="auto"/>
                <w:sz w:val="21"/>
                <w:szCs w:val="21"/>
                <w:highlight w:val="none"/>
                <w:lang w:bidi="ar"/>
              </w:rPr>
              <w:t>CPU</w:t>
            </w:r>
            <w:r>
              <w:rPr>
                <w:rFonts w:hint="eastAsia" w:hAnsi="宋体" w:cs="宋体"/>
                <w:color w:val="auto"/>
                <w:sz w:val="21"/>
                <w:szCs w:val="21"/>
                <w:highlight w:val="none"/>
                <w:lang w:bidi="ar"/>
              </w:rPr>
              <w:t>卡2、规格：感应频率13.56MHZ；</w:t>
            </w:r>
          </w:p>
          <w:p>
            <w:pPr>
              <w:rPr>
                <w:rFonts w:hAnsi="宋体" w:cs="宋体"/>
                <w:color w:val="auto"/>
                <w:sz w:val="21"/>
                <w:szCs w:val="21"/>
                <w:highlight w:val="none"/>
                <w:lang w:bidi="ar"/>
              </w:rPr>
            </w:pPr>
            <w:r>
              <w:rPr>
                <w:rFonts w:hint="eastAsia" w:hAnsi="宋体" w:cs="宋体"/>
                <w:color w:val="auto"/>
                <w:sz w:val="21"/>
                <w:szCs w:val="21"/>
                <w:highlight w:val="none"/>
                <w:lang w:bidi="ar"/>
              </w:rPr>
              <w:t>容量为8K；。</w:t>
            </w:r>
          </w:p>
        </w:tc>
      </w:tr>
    </w:tbl>
    <w:p>
      <w:pPr>
        <w:pStyle w:val="8"/>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3.17、服务器</w:t>
      </w:r>
    </w:p>
    <w:tbl>
      <w:tblPr>
        <w:tblStyle w:val="52"/>
        <w:tblW w:w="4999" w:type="pct"/>
        <w:tblInd w:w="0" w:type="dxa"/>
        <w:tblLayout w:type="autofit"/>
        <w:tblCellMar>
          <w:top w:w="0" w:type="dxa"/>
          <w:left w:w="108" w:type="dxa"/>
          <w:bottom w:w="0" w:type="dxa"/>
          <w:right w:w="108" w:type="dxa"/>
        </w:tblCellMar>
      </w:tblPr>
      <w:tblGrid>
        <w:gridCol w:w="1012"/>
        <w:gridCol w:w="8290"/>
      </w:tblGrid>
      <w:tr>
        <w:tblPrEx>
          <w:tblCellMar>
            <w:top w:w="0" w:type="dxa"/>
            <w:left w:w="108" w:type="dxa"/>
            <w:bottom w:w="0" w:type="dxa"/>
            <w:right w:w="108" w:type="dxa"/>
          </w:tblCellMar>
        </w:tblPrEx>
        <w:trPr>
          <w:trHeight w:val="70"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b/>
                <w:bCs/>
                <w:color w:val="auto"/>
                <w:sz w:val="21"/>
                <w:szCs w:val="21"/>
                <w:highlight w:val="none"/>
                <w:lang w:bidi="ar"/>
              </w:rPr>
            </w:pPr>
            <w:r>
              <w:rPr>
                <w:rFonts w:hint="eastAsia" w:hAnsi="宋体" w:cs="宋体"/>
                <w:b/>
                <w:bCs/>
                <w:color w:val="auto"/>
                <w:sz w:val="21"/>
                <w:szCs w:val="21"/>
                <w:highlight w:val="none"/>
                <w:lang w:bidi="ar"/>
              </w:rPr>
              <w:t>序号</w:t>
            </w:r>
          </w:p>
        </w:tc>
        <w:tc>
          <w:tcPr>
            <w:tcW w:w="4456" w:type="pct"/>
            <w:tcBorders>
              <w:top w:val="single" w:color="auto" w:sz="4" w:space="0"/>
              <w:left w:val="nil"/>
              <w:bottom w:val="single" w:color="auto" w:sz="4" w:space="0"/>
              <w:right w:val="single" w:color="auto" w:sz="4" w:space="0"/>
            </w:tcBorders>
            <w:vAlign w:val="center"/>
          </w:tcPr>
          <w:p>
            <w:pPr>
              <w:jc w:val="center"/>
              <w:rPr>
                <w:rFonts w:hAnsi="宋体" w:cs="宋体"/>
                <w:b/>
                <w:bCs/>
                <w:color w:val="auto"/>
                <w:sz w:val="21"/>
                <w:szCs w:val="21"/>
                <w:highlight w:val="none"/>
                <w:lang w:bidi="ar"/>
              </w:rPr>
            </w:pPr>
            <w:r>
              <w:rPr>
                <w:rFonts w:hint="eastAsia" w:hAnsi="宋体" w:cs="宋体"/>
                <w:b/>
                <w:bCs/>
                <w:color w:val="auto"/>
                <w:sz w:val="21"/>
                <w:szCs w:val="21"/>
                <w:highlight w:val="none"/>
                <w:lang w:bidi="ar"/>
              </w:rPr>
              <w:t>技术规格参数</w:t>
            </w:r>
          </w:p>
        </w:tc>
      </w:tr>
      <w:tr>
        <w:tblPrEx>
          <w:tblCellMar>
            <w:top w:w="0" w:type="dxa"/>
            <w:left w:w="108" w:type="dxa"/>
            <w:bottom w:w="0" w:type="dxa"/>
            <w:right w:w="108" w:type="dxa"/>
          </w:tblCellMar>
        </w:tblPrEx>
        <w:trPr>
          <w:trHeight w:val="72" w:hRule="atLeast"/>
        </w:trPr>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lang w:bidi="ar"/>
              </w:rPr>
            </w:pPr>
            <w:r>
              <w:rPr>
                <w:rFonts w:hAnsi="宋体" w:cs="宋体"/>
                <w:color w:val="auto"/>
                <w:sz w:val="21"/>
                <w:szCs w:val="21"/>
                <w:highlight w:val="none"/>
                <w:lang w:bidi="ar"/>
              </w:rPr>
              <w:t>1</w:t>
            </w:r>
          </w:p>
        </w:tc>
        <w:tc>
          <w:tcPr>
            <w:tcW w:w="4456" w:type="pct"/>
            <w:tcBorders>
              <w:top w:val="single" w:color="auto" w:sz="4" w:space="0"/>
              <w:left w:val="nil"/>
              <w:bottom w:val="single" w:color="auto" w:sz="4" w:space="0"/>
              <w:right w:val="single" w:color="auto" w:sz="4" w:space="0"/>
            </w:tcBorders>
            <w:vAlign w:val="center"/>
          </w:tcPr>
          <w:p>
            <w:pPr>
              <w:rPr>
                <w:rFonts w:hAnsi="宋体" w:cs="宋体"/>
                <w:color w:val="auto"/>
                <w:sz w:val="21"/>
                <w:szCs w:val="21"/>
                <w:highlight w:val="none"/>
                <w:lang w:bidi="ar"/>
              </w:rPr>
            </w:pPr>
            <w:r>
              <w:rPr>
                <w:rFonts w:hint="eastAsia" w:hAnsi="宋体" w:cs="宋体"/>
                <w:color w:val="auto"/>
                <w:sz w:val="21"/>
                <w:szCs w:val="21"/>
                <w:highlight w:val="none"/>
                <w:lang w:bidi="ar"/>
              </w:rPr>
              <w:t>1、英特尔至强银牌4210(2.2GHz/10-Core/13.75MB/85W)处理器；</w:t>
            </w:r>
          </w:p>
          <w:p>
            <w:pPr>
              <w:rPr>
                <w:rFonts w:hAnsi="宋体" w:cs="宋体"/>
                <w:color w:val="auto"/>
                <w:sz w:val="21"/>
                <w:szCs w:val="21"/>
                <w:highlight w:val="none"/>
                <w:lang w:bidi="ar"/>
              </w:rPr>
            </w:pPr>
            <w:r>
              <w:rPr>
                <w:rFonts w:hAnsi="宋体" w:cs="宋体"/>
                <w:color w:val="auto"/>
                <w:sz w:val="21"/>
                <w:szCs w:val="21"/>
                <w:highlight w:val="none"/>
                <w:lang w:bidi="ar"/>
              </w:rPr>
              <w:t>2</w:t>
            </w:r>
            <w:r>
              <w:rPr>
                <w:rFonts w:hint="eastAsia" w:hAnsi="宋体" w:cs="宋体"/>
                <w:color w:val="auto"/>
                <w:sz w:val="21"/>
                <w:szCs w:val="21"/>
                <w:highlight w:val="none"/>
                <w:lang w:bidi="ar"/>
              </w:rPr>
              <w:t>、2*32GB-2933MT/s-2Rank(2G*16bit)-1.2V-ECC内存；</w:t>
            </w:r>
          </w:p>
          <w:p>
            <w:pPr>
              <w:rPr>
                <w:rFonts w:hAnsi="宋体" w:cs="宋体"/>
                <w:color w:val="auto"/>
                <w:sz w:val="21"/>
                <w:szCs w:val="21"/>
                <w:highlight w:val="none"/>
                <w:lang w:bidi="ar"/>
              </w:rPr>
            </w:pPr>
            <w:r>
              <w:rPr>
                <w:rFonts w:hint="eastAsia" w:hAnsi="宋体" w:cs="宋体"/>
                <w:color w:val="auto"/>
                <w:sz w:val="21"/>
                <w:szCs w:val="21"/>
                <w:highlight w:val="none"/>
                <w:lang w:bidi="ar"/>
              </w:rPr>
              <w:t>3、2*2400GB-SAS 12Gb/s-10K rpm-128MB硬盘；</w:t>
            </w:r>
          </w:p>
          <w:p>
            <w:pPr>
              <w:rPr>
                <w:rFonts w:hAnsi="宋体" w:cs="宋体"/>
                <w:color w:val="auto"/>
                <w:sz w:val="21"/>
                <w:szCs w:val="21"/>
                <w:highlight w:val="none"/>
                <w:lang w:bidi="ar"/>
              </w:rPr>
            </w:pPr>
            <w:r>
              <w:rPr>
                <w:rFonts w:hint="eastAsia" w:hAnsi="宋体" w:cs="宋体"/>
                <w:color w:val="auto"/>
                <w:sz w:val="21"/>
                <w:szCs w:val="21"/>
                <w:highlight w:val="none"/>
                <w:lang w:bidi="ar"/>
              </w:rPr>
              <w:t>4、raid1，2*GE+2*10GE光口，2*550W电源；</w:t>
            </w:r>
          </w:p>
          <w:p>
            <w:pPr>
              <w:rPr>
                <w:rFonts w:hAnsi="宋体" w:cs="宋体"/>
                <w:color w:val="auto"/>
                <w:sz w:val="21"/>
                <w:szCs w:val="21"/>
                <w:highlight w:val="none"/>
                <w:lang w:bidi="ar"/>
              </w:rPr>
            </w:pPr>
            <w:r>
              <w:rPr>
                <w:rFonts w:hint="eastAsia" w:hAnsi="宋体" w:cs="宋体"/>
                <w:color w:val="auto"/>
                <w:sz w:val="21"/>
                <w:szCs w:val="21"/>
                <w:highlight w:val="none"/>
                <w:lang w:bidi="ar"/>
              </w:rPr>
              <w:t>5、8*2.5盘位/2U</w:t>
            </w:r>
          </w:p>
        </w:tc>
      </w:tr>
    </w:tbl>
    <w:p>
      <w:pPr>
        <w:pStyle w:val="5"/>
        <w:keepNext/>
        <w:keepLines/>
        <w:pageBreakBefore/>
        <w:numPr>
          <w:ilvl w:val="0"/>
          <w:numId w:val="22"/>
        </w:numPr>
        <w:spacing w:line="360" w:lineRule="auto"/>
        <w:jc w:val="center"/>
        <w:rPr>
          <w:rFonts w:hAnsi="宋体" w:cs="宋体"/>
          <w:b/>
          <w:bCs/>
          <w:color w:val="auto"/>
          <w:kern w:val="44"/>
          <w:sz w:val="28"/>
          <w:szCs w:val="28"/>
          <w:highlight w:val="none"/>
          <w:lang w:val="zh-CN"/>
        </w:rPr>
      </w:pPr>
      <w:bookmarkStart w:id="37" w:name="_Toc13954"/>
      <w:r>
        <w:rPr>
          <w:rFonts w:hint="eastAsia" w:hAnsi="宋体" w:cs="宋体"/>
          <w:b/>
          <w:bCs/>
          <w:color w:val="auto"/>
          <w:kern w:val="44"/>
          <w:sz w:val="28"/>
          <w:szCs w:val="28"/>
          <w:highlight w:val="none"/>
        </w:rPr>
        <w:t xml:space="preserve"> </w:t>
      </w:r>
      <w:bookmarkStart w:id="38" w:name="_Toc10133"/>
      <w:r>
        <w:rPr>
          <w:rFonts w:hint="eastAsia" w:hAnsi="宋体" w:cs="宋体"/>
          <w:b/>
          <w:bCs/>
          <w:color w:val="auto"/>
          <w:kern w:val="44"/>
          <w:sz w:val="28"/>
          <w:szCs w:val="28"/>
          <w:highlight w:val="none"/>
          <w:lang w:val="zh-CN"/>
        </w:rPr>
        <w:t>评标工作大纲</w:t>
      </w:r>
      <w:bookmarkEnd w:id="37"/>
      <w:bookmarkEnd w:id="38"/>
    </w:p>
    <w:p>
      <w:pPr>
        <w:tabs>
          <w:tab w:val="left" w:pos="1287"/>
        </w:tabs>
        <w:snapToGrid w:val="0"/>
        <w:spacing w:line="360" w:lineRule="auto"/>
        <w:ind w:left="-53" w:leftChars="-22" w:firstLine="51" w:firstLineChars="24"/>
        <w:outlineLvl w:val="1"/>
        <w:rPr>
          <w:rFonts w:hAnsi="宋体" w:cs="宋体"/>
          <w:b/>
          <w:color w:val="auto"/>
          <w:sz w:val="21"/>
          <w:szCs w:val="21"/>
          <w:highlight w:val="none"/>
        </w:rPr>
      </w:pPr>
      <w:bookmarkStart w:id="39" w:name="_Toc1763"/>
      <w:bookmarkStart w:id="40" w:name="_Toc396137263"/>
      <w:bookmarkStart w:id="41" w:name="_Toc22865"/>
      <w:r>
        <w:rPr>
          <w:rFonts w:hint="eastAsia" w:hAnsi="宋体" w:cs="宋体"/>
          <w:b/>
          <w:color w:val="auto"/>
          <w:sz w:val="21"/>
          <w:szCs w:val="21"/>
          <w:highlight w:val="none"/>
        </w:rPr>
        <w:t>一、评标原则</w:t>
      </w:r>
      <w:bookmarkEnd w:id="39"/>
      <w:bookmarkEnd w:id="40"/>
      <w:r>
        <w:rPr>
          <w:rFonts w:hint="eastAsia" w:hAnsi="宋体" w:cs="宋体"/>
          <w:b/>
          <w:color w:val="auto"/>
          <w:sz w:val="21"/>
          <w:szCs w:val="21"/>
          <w:highlight w:val="none"/>
        </w:rPr>
        <w:t>和评标对象</w:t>
      </w:r>
      <w:bookmarkEnd w:id="41"/>
    </w:p>
    <w:p>
      <w:pPr>
        <w:numPr>
          <w:ilvl w:val="0"/>
          <w:numId w:val="23"/>
        </w:numPr>
        <w:autoSpaceDE/>
        <w:autoSpaceDN/>
        <w:adjustRightInd/>
        <w:spacing w:line="360" w:lineRule="auto"/>
        <w:ind w:firstLineChars="200"/>
        <w:jc w:val="both"/>
        <w:rPr>
          <w:rFonts w:hAnsi="宋体" w:cs="宋体"/>
          <w:color w:val="auto"/>
          <w:sz w:val="21"/>
          <w:szCs w:val="21"/>
          <w:highlight w:val="none"/>
        </w:rPr>
      </w:pPr>
      <w:r>
        <w:rPr>
          <w:rFonts w:hint="eastAsia" w:hAnsi="宋体" w:cs="宋体"/>
          <w:color w:val="auto"/>
          <w:sz w:val="21"/>
          <w:szCs w:val="21"/>
          <w:highlight w:val="none"/>
        </w:rPr>
        <w:t>评标原则:评标工作遵循“公平、公正、信用”的原则进行。评标委员会将按照采购文件确定的评标方法进行评审。对采购文件中描述有歧义或前后不一致的地方，评标委员会有权按法律、法规的规定进行评判，但对同一条款的评判应适用于各投标人。</w:t>
      </w:r>
    </w:p>
    <w:p>
      <w:pPr>
        <w:numPr>
          <w:ilvl w:val="0"/>
          <w:numId w:val="23"/>
        </w:numPr>
        <w:autoSpaceDE/>
        <w:autoSpaceDN/>
        <w:adjustRightInd/>
        <w:spacing w:line="360" w:lineRule="auto"/>
        <w:ind w:firstLineChars="200"/>
        <w:jc w:val="both"/>
        <w:rPr>
          <w:rFonts w:hAnsi="宋体" w:cs="宋体"/>
          <w:color w:val="auto"/>
          <w:szCs w:val="21"/>
          <w:highlight w:val="none"/>
        </w:rPr>
      </w:pPr>
      <w:r>
        <w:rPr>
          <w:rFonts w:hint="eastAsia" w:hAnsi="宋体" w:cs="宋体"/>
          <w:color w:val="auto"/>
          <w:sz w:val="21"/>
          <w:szCs w:val="21"/>
          <w:highlight w:val="none"/>
        </w:rPr>
        <w:t>评标对象：指投标人按照采购文件要求提供的有效投标文件，包括投标人应评标委员会要求对原投标文件作出的正式书面澄清文件。</w:t>
      </w:r>
    </w:p>
    <w:p>
      <w:pPr>
        <w:tabs>
          <w:tab w:val="left" w:pos="1287"/>
        </w:tabs>
        <w:snapToGrid w:val="0"/>
        <w:spacing w:line="360" w:lineRule="auto"/>
        <w:ind w:left="-53" w:leftChars="-22" w:firstLine="51" w:firstLineChars="24"/>
        <w:outlineLvl w:val="1"/>
        <w:rPr>
          <w:rFonts w:hAnsi="宋体" w:cs="宋体"/>
          <w:b/>
          <w:color w:val="auto"/>
          <w:sz w:val="21"/>
          <w:szCs w:val="21"/>
          <w:highlight w:val="none"/>
        </w:rPr>
      </w:pPr>
      <w:bookmarkStart w:id="42" w:name="_Toc31131"/>
      <w:bookmarkStart w:id="43" w:name="_Toc7648"/>
      <w:bookmarkStart w:id="44" w:name="_Toc8528"/>
      <w:bookmarkStart w:id="45" w:name="_Toc396137264"/>
      <w:bookmarkStart w:id="46" w:name="_Toc396137265"/>
      <w:r>
        <w:rPr>
          <w:rFonts w:hint="eastAsia" w:hAnsi="宋体" w:cs="宋体"/>
          <w:b/>
          <w:color w:val="auto"/>
          <w:sz w:val="21"/>
          <w:szCs w:val="21"/>
          <w:highlight w:val="none"/>
        </w:rPr>
        <w:t>二、评标程序</w:t>
      </w:r>
      <w:bookmarkEnd w:id="42"/>
      <w:bookmarkEnd w:id="43"/>
      <w:bookmarkEnd w:id="44"/>
      <w:bookmarkEnd w:id="45"/>
    </w:p>
    <w:p>
      <w:pPr>
        <w:tabs>
          <w:tab w:val="left" w:pos="984"/>
        </w:tabs>
        <w:snapToGrid w:val="0"/>
        <w:spacing w:line="360" w:lineRule="auto"/>
        <w:ind w:left="-171" w:hanging="9"/>
        <w:rPr>
          <w:rFonts w:hAnsi="宋体" w:cs="宋体"/>
          <w:b/>
          <w:bCs/>
          <w:color w:val="auto"/>
          <w:sz w:val="21"/>
          <w:szCs w:val="21"/>
          <w:highlight w:val="none"/>
        </w:rPr>
      </w:pPr>
      <w:r>
        <w:rPr>
          <w:rFonts w:hint="eastAsia" w:hAnsi="宋体" w:cs="宋体"/>
          <w:b/>
          <w:bCs/>
          <w:color w:val="auto"/>
          <w:sz w:val="21"/>
          <w:szCs w:val="21"/>
          <w:highlight w:val="none"/>
        </w:rPr>
        <w:t>（一）资格性检查</w:t>
      </w:r>
    </w:p>
    <w:p>
      <w:pPr>
        <w:tabs>
          <w:tab w:val="left" w:pos="984"/>
        </w:tabs>
        <w:snapToGrid w:val="0"/>
        <w:spacing w:line="360" w:lineRule="auto"/>
        <w:ind w:left="-171" w:hanging="9"/>
        <w:rPr>
          <w:rFonts w:hAnsi="宋体" w:cs="宋体"/>
          <w:color w:val="auto"/>
          <w:sz w:val="21"/>
          <w:szCs w:val="21"/>
          <w:highlight w:val="none"/>
        </w:rPr>
      </w:pPr>
      <w:r>
        <w:rPr>
          <w:rFonts w:hint="eastAsia" w:hAnsi="宋体" w:cs="宋体"/>
          <w:color w:val="auto"/>
          <w:sz w:val="21"/>
          <w:szCs w:val="21"/>
          <w:highlight w:val="none"/>
        </w:rPr>
        <w:t xml:space="preserve">      公开采购项目开标结束后，采购人或者采购代理机构将依法对投标人的资格进行审查。未通过资格审查的投标人不进入符合性审查。合格投标人不足3家的，不得评标。资格性审查内容详见第六篇投标文件格式附件《资格性审查索引表》。</w:t>
      </w:r>
    </w:p>
    <w:p>
      <w:pPr>
        <w:pStyle w:val="48"/>
        <w:widowControl w:val="0"/>
        <w:numPr>
          <w:ilvl w:val="0"/>
          <w:numId w:val="24"/>
        </w:numPr>
        <w:spacing w:before="0" w:beforeAutospacing="0" w:after="0" w:afterAutospacing="0" w:line="360" w:lineRule="auto"/>
        <w:ind w:left="-25" w:leftChars="-85" w:hanging="179" w:hangingChars="85"/>
        <w:rPr>
          <w:rFonts w:cs="宋体"/>
          <w:b/>
          <w:bCs/>
          <w:color w:val="auto"/>
          <w:kern w:val="2"/>
          <w:sz w:val="21"/>
          <w:szCs w:val="21"/>
          <w:highlight w:val="none"/>
        </w:rPr>
      </w:pPr>
      <w:r>
        <w:rPr>
          <w:rFonts w:hint="eastAsia" w:cs="宋体"/>
          <w:b/>
          <w:bCs/>
          <w:color w:val="auto"/>
          <w:kern w:val="2"/>
          <w:sz w:val="21"/>
          <w:szCs w:val="21"/>
          <w:highlight w:val="none"/>
        </w:rPr>
        <w:t>符合性检查</w:t>
      </w:r>
    </w:p>
    <w:p>
      <w:p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评标委员会将对符合资格的投标人的投标文件进行符合性审查，以确定其是否满足采购文件的实质性要求。未通过符合性审查的投标人，不进入技术、商务评审。符合性表审内容详见第六篇投标文件格式附件《符合性审查索引表》。</w:t>
      </w:r>
    </w:p>
    <w:p>
      <w:pPr>
        <w:pStyle w:val="48"/>
        <w:widowControl w:val="0"/>
        <w:spacing w:before="0" w:beforeAutospacing="0" w:after="0" w:afterAutospacing="0" w:line="360" w:lineRule="auto"/>
        <w:ind w:left="386" w:leftChars="-85" w:hanging="590" w:hangingChars="280"/>
        <w:rPr>
          <w:rFonts w:cs="宋体"/>
          <w:b/>
          <w:bCs/>
          <w:color w:val="auto"/>
          <w:sz w:val="21"/>
          <w:szCs w:val="21"/>
          <w:highlight w:val="none"/>
        </w:rPr>
      </w:pPr>
      <w:r>
        <w:rPr>
          <w:rFonts w:hint="eastAsia" w:cs="宋体"/>
          <w:b/>
          <w:bCs/>
          <w:color w:val="auto"/>
          <w:sz w:val="21"/>
          <w:szCs w:val="21"/>
          <w:highlight w:val="none"/>
        </w:rPr>
        <w:t>（三）当符合专业条件或者对采购文件作实质响应的供应商不足3家的应予废标，本项目采购失败。</w:t>
      </w:r>
    </w:p>
    <w:p>
      <w:pPr>
        <w:pStyle w:val="48"/>
        <w:widowControl w:val="0"/>
        <w:spacing w:before="0" w:beforeAutospacing="0" w:after="0" w:afterAutospacing="0" w:line="360" w:lineRule="auto"/>
        <w:ind w:left="-25" w:leftChars="-85" w:hanging="179" w:hangingChars="85"/>
        <w:rPr>
          <w:rFonts w:cs="宋体"/>
          <w:b/>
          <w:bCs/>
          <w:color w:val="auto"/>
          <w:sz w:val="21"/>
          <w:szCs w:val="21"/>
          <w:highlight w:val="none"/>
        </w:rPr>
      </w:pPr>
      <w:r>
        <w:rPr>
          <w:rFonts w:hint="eastAsia" w:cs="宋体"/>
          <w:b/>
          <w:bCs/>
          <w:color w:val="auto"/>
          <w:sz w:val="21"/>
          <w:szCs w:val="21"/>
          <w:highlight w:val="none"/>
        </w:rPr>
        <w:t>（四）投标文件的澄清及细微偏差修正</w:t>
      </w:r>
    </w:p>
    <w:p>
      <w:pPr>
        <w:pStyle w:val="48"/>
        <w:widowControl w:val="0"/>
        <w:spacing w:before="0" w:beforeAutospacing="0" w:after="0" w:afterAutospacing="0" w:line="360" w:lineRule="auto"/>
        <w:ind w:left="795" w:leftChars="200" w:hanging="315" w:hangingChars="150"/>
        <w:rPr>
          <w:rFonts w:cs="宋体"/>
          <w:color w:val="auto"/>
          <w:sz w:val="21"/>
          <w:szCs w:val="21"/>
          <w:highlight w:val="none"/>
        </w:rPr>
      </w:pPr>
      <w:r>
        <w:rPr>
          <w:rFonts w:hint="eastAsia" w:cs="宋体"/>
          <w:color w:val="auto"/>
          <w:sz w:val="21"/>
          <w:szCs w:val="21"/>
          <w:highlight w:val="none"/>
        </w:rPr>
        <w:t>1、对于投标文件中含义不明确、同类问题表述不一致或者有明显文字和计算错误的内容，评标委员会将以书面形式要求投标人作出必要的澄清、说明或者补正。</w:t>
      </w:r>
    </w:p>
    <w:p>
      <w:pPr>
        <w:pStyle w:val="48"/>
        <w:widowControl w:val="0"/>
        <w:spacing w:before="0" w:beforeAutospacing="0" w:after="0" w:afterAutospacing="0" w:line="360" w:lineRule="auto"/>
        <w:ind w:left="795" w:leftChars="200" w:hanging="315" w:hangingChars="150"/>
        <w:rPr>
          <w:rFonts w:cs="宋体"/>
          <w:color w:val="auto"/>
          <w:sz w:val="21"/>
          <w:szCs w:val="21"/>
          <w:highlight w:val="none"/>
        </w:rPr>
      </w:pPr>
      <w:r>
        <w:rPr>
          <w:rFonts w:hint="eastAsia" w:cs="宋体"/>
          <w:color w:val="auto"/>
          <w:sz w:val="21"/>
          <w:szCs w:val="21"/>
          <w:highlight w:val="none"/>
        </w:rPr>
        <w:t>2、投标人的澄清、说明或者补正应当采用书面形式，并加盖公章，或者由法定代表人或其授权的代表签名。投标人的澄清、说明或者补正不得超出投标文件的范围或者改变投标文件的实质性内容。</w:t>
      </w:r>
    </w:p>
    <w:p>
      <w:pPr>
        <w:pStyle w:val="48"/>
        <w:widowControl w:val="0"/>
        <w:spacing w:before="0" w:beforeAutospacing="0" w:after="0" w:afterAutospacing="0" w:line="360" w:lineRule="auto"/>
        <w:ind w:left="-25" w:leftChars="-85" w:hanging="179" w:hangingChars="85"/>
        <w:rPr>
          <w:rFonts w:cs="宋体"/>
          <w:b/>
          <w:bCs/>
          <w:color w:val="auto"/>
          <w:sz w:val="21"/>
          <w:szCs w:val="21"/>
          <w:highlight w:val="none"/>
        </w:rPr>
      </w:pPr>
      <w:r>
        <w:rPr>
          <w:rFonts w:hint="eastAsia" w:cs="宋体"/>
          <w:b/>
          <w:bCs/>
          <w:color w:val="auto"/>
          <w:sz w:val="21"/>
          <w:szCs w:val="21"/>
          <w:highlight w:val="none"/>
        </w:rPr>
        <w:t>（五）投标文件的比较与评价。</w:t>
      </w:r>
    </w:p>
    <w:p>
      <w:pPr>
        <w:pStyle w:val="48"/>
        <w:widowControl w:val="0"/>
        <w:numPr>
          <w:ilvl w:val="0"/>
          <w:numId w:val="25"/>
        </w:numPr>
        <w:spacing w:before="0" w:beforeAutospacing="0" w:after="0" w:afterAutospacing="0" w:line="360" w:lineRule="auto"/>
        <w:ind w:left="480" w:leftChars="200"/>
        <w:rPr>
          <w:rFonts w:cs="宋体"/>
          <w:color w:val="auto"/>
          <w:sz w:val="21"/>
          <w:szCs w:val="21"/>
          <w:highlight w:val="none"/>
        </w:rPr>
      </w:pPr>
      <w:r>
        <w:rPr>
          <w:rFonts w:hint="eastAsia" w:cs="宋体"/>
          <w:color w:val="auto"/>
          <w:sz w:val="21"/>
          <w:szCs w:val="21"/>
          <w:highlight w:val="none"/>
        </w:rPr>
        <w:t>评标委员会应当按照采购文件中规定的评标方法和标准，对符合性审查合格的投标文件进行商务、技术的评估，综合比较与评价。</w:t>
      </w:r>
    </w:p>
    <w:p>
      <w:pPr>
        <w:pStyle w:val="48"/>
        <w:widowControl w:val="0"/>
        <w:numPr>
          <w:ilvl w:val="0"/>
          <w:numId w:val="25"/>
        </w:numPr>
        <w:spacing w:before="0" w:beforeAutospacing="0" w:after="0" w:afterAutospacing="0" w:line="360" w:lineRule="auto"/>
        <w:ind w:left="480" w:leftChars="200"/>
        <w:rPr>
          <w:rFonts w:cs="宋体"/>
          <w:color w:val="auto"/>
          <w:sz w:val="21"/>
          <w:szCs w:val="21"/>
          <w:highlight w:val="none"/>
        </w:rPr>
      </w:pPr>
      <w:r>
        <w:rPr>
          <w:rFonts w:hint="eastAsia" w:cs="宋体"/>
          <w:color w:val="auto"/>
          <w:sz w:val="21"/>
          <w:szCs w:val="21"/>
          <w:highlight w:val="none"/>
        </w:rPr>
        <w:t>商务评价:评标委员会对投标人的商务状况及响应程度进行评议和比较,并依据评分标准,评出其商务评分。</w:t>
      </w:r>
    </w:p>
    <w:p>
      <w:pPr>
        <w:pStyle w:val="48"/>
        <w:widowControl w:val="0"/>
        <w:numPr>
          <w:ilvl w:val="0"/>
          <w:numId w:val="25"/>
        </w:numPr>
        <w:spacing w:before="0" w:beforeAutospacing="0" w:after="0" w:afterAutospacing="0" w:line="360" w:lineRule="auto"/>
        <w:ind w:left="480" w:leftChars="200"/>
        <w:rPr>
          <w:rFonts w:cs="宋体"/>
          <w:color w:val="auto"/>
          <w:sz w:val="21"/>
          <w:szCs w:val="21"/>
          <w:highlight w:val="none"/>
        </w:rPr>
      </w:pPr>
      <w:r>
        <w:rPr>
          <w:rFonts w:hint="eastAsia" w:cs="宋体"/>
          <w:color w:val="auto"/>
          <w:sz w:val="21"/>
          <w:szCs w:val="21"/>
          <w:highlight w:val="none"/>
        </w:rPr>
        <w:t>技术评价:评标委员会对投标人的技术状况及响应程度进行评议和比较,并依据评分标准,评出其技术评分。</w:t>
      </w:r>
      <w:r>
        <w:rPr>
          <w:rFonts w:hint="eastAsia" w:cs="宋体"/>
          <w:color w:val="auto"/>
          <w:kern w:val="2"/>
          <w:sz w:val="21"/>
          <w:highlight w:val="none"/>
        </w:rPr>
        <w:t>当评标委员会为五人时，在所有评委对同一份投标文件技术标评审的总评分中，去掉一个最高分和一个最低分，计算剩余总评分的算术平均值即为该投标人技术标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标评审的总评分中，去掉一个最高分和一个最低分，计算剩余总评分的算术平均值即为该投标人技术标的最终综合得分。</w:t>
      </w:r>
    </w:p>
    <w:p>
      <w:pPr>
        <w:spacing w:line="360" w:lineRule="auto"/>
        <w:rPr>
          <w:rFonts w:hAnsi="宋体" w:cs="宋体"/>
          <w:b/>
          <w:bCs/>
          <w:color w:val="auto"/>
          <w:sz w:val="21"/>
          <w:szCs w:val="21"/>
          <w:highlight w:val="none"/>
        </w:rPr>
      </w:pPr>
      <w:r>
        <w:rPr>
          <w:rFonts w:hint="eastAsia" w:hAnsi="宋体" w:cs="宋体"/>
          <w:b/>
          <w:bCs/>
          <w:color w:val="auto"/>
          <w:sz w:val="21"/>
          <w:szCs w:val="21"/>
          <w:highlight w:val="none"/>
        </w:rPr>
        <w:t>（六）得分统计及推荐中标候选人名单</w:t>
      </w:r>
    </w:p>
    <w:p>
      <w:p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1、按照评标程序的规定和依据评分标准，评标委员会各成员将独立对每个投标人的投标文件进行评价，独立评出其商务评分和技术评分。各评委的评分的算术平均值即为该投标人的商务得分和技术得分。</w:t>
      </w:r>
    </w:p>
    <w:p>
      <w:pPr>
        <w:spacing w:line="360" w:lineRule="auto"/>
        <w:ind w:firstLine="420" w:firstLineChars="200"/>
        <w:rPr>
          <w:rFonts w:hAnsi="宋体" w:cs="宋体"/>
          <w:color w:val="auto"/>
          <w:kern w:val="2"/>
          <w:sz w:val="21"/>
          <w:highlight w:val="none"/>
        </w:rPr>
      </w:pPr>
      <w:r>
        <w:rPr>
          <w:rFonts w:hint="eastAsia" w:hAnsi="宋体" w:cs="宋体"/>
          <w:color w:val="auto"/>
          <w:sz w:val="21"/>
          <w:szCs w:val="21"/>
          <w:highlight w:val="none"/>
        </w:rPr>
        <w:t>2、</w:t>
      </w:r>
      <w:r>
        <w:rPr>
          <w:rFonts w:hint="eastAsia" w:hAnsi="宋体" w:cs="宋体"/>
          <w:color w:val="auto"/>
          <w:kern w:val="2"/>
          <w:sz w:val="21"/>
          <w:highlight w:val="none"/>
        </w:rPr>
        <w:t>综合得分＝商务得分＋技术得分+价格得分。</w:t>
      </w:r>
    </w:p>
    <w:p>
      <w:pPr>
        <w:spacing w:line="360" w:lineRule="auto"/>
        <w:ind w:firstLine="420" w:firstLineChars="200"/>
        <w:rPr>
          <w:rFonts w:hAnsi="宋体" w:cs="宋体"/>
          <w:color w:val="auto"/>
          <w:kern w:val="2"/>
          <w:sz w:val="21"/>
          <w:highlight w:val="none"/>
        </w:rPr>
      </w:pPr>
      <w:r>
        <w:rPr>
          <w:rFonts w:hint="eastAsia" w:hAnsi="宋体" w:cs="宋体"/>
          <w:color w:val="auto"/>
          <w:kern w:val="2"/>
          <w:sz w:val="21"/>
          <w:highlight w:val="none"/>
        </w:rPr>
        <w:t>3、评标结果按评审后得分由高到低顺序排列推荐两名中标候选人。投标文件满足采购文件全部实质性要求，且按照评审因素的量化指标评审得分最高的投标人为第一中标候选人，得分次高的投标人为第二中标候选人，依次类推。综合得分相同的，按价格评分由</w:t>
      </w:r>
      <w:r>
        <w:rPr>
          <w:rFonts w:hint="eastAsia" w:hAnsi="宋体" w:cs="宋体"/>
          <w:color w:val="auto"/>
          <w:kern w:val="2"/>
          <w:sz w:val="21"/>
          <w:highlight w:val="none"/>
          <w:lang w:eastAsia="zh-CN"/>
        </w:rPr>
        <w:t>高</w:t>
      </w:r>
      <w:r>
        <w:rPr>
          <w:rFonts w:hint="eastAsia" w:hAnsi="宋体" w:cs="宋体"/>
          <w:color w:val="auto"/>
          <w:kern w:val="2"/>
          <w:sz w:val="21"/>
          <w:highlight w:val="none"/>
        </w:rPr>
        <w:t>到低顺序排列，得分高的排前，得分低的排后；按上述环节依然存在同分情形而不能确认排名顺序时，由评标委员会进行投票，得票多的排名在先。当第一轮投票结果为投标人得票数相同时，再次进行投票，如此类推，直到能确定排序次序为止。</w:t>
      </w:r>
    </w:p>
    <w:p>
      <w:pPr>
        <w:spacing w:line="360" w:lineRule="auto"/>
        <w:ind w:firstLine="420" w:firstLineChars="200"/>
        <w:rPr>
          <w:rFonts w:hAnsi="宋体" w:cs="宋体"/>
          <w:color w:val="auto"/>
          <w:kern w:val="2"/>
          <w:sz w:val="21"/>
          <w:highlight w:val="none"/>
        </w:rPr>
      </w:pPr>
      <w:r>
        <w:rPr>
          <w:rFonts w:hint="eastAsia" w:hAnsi="宋体" w:cs="宋体"/>
          <w:color w:val="auto"/>
          <w:kern w:val="2"/>
          <w:sz w:val="21"/>
          <w:highlight w:val="none"/>
        </w:rPr>
        <w:t>4、评标结果汇总完成后，除下列情形外，任何人不得修改评标结果：</w:t>
      </w:r>
    </w:p>
    <w:p>
      <w:pPr>
        <w:spacing w:line="360" w:lineRule="auto"/>
        <w:ind w:firstLine="420" w:firstLineChars="200"/>
        <w:rPr>
          <w:rFonts w:hAnsi="宋体" w:cs="宋体"/>
          <w:color w:val="auto"/>
          <w:kern w:val="2"/>
          <w:sz w:val="21"/>
          <w:highlight w:val="none"/>
        </w:rPr>
      </w:pPr>
      <w:r>
        <w:rPr>
          <w:rFonts w:hint="eastAsia" w:hAnsi="宋体" w:cs="宋体"/>
          <w:color w:val="auto"/>
          <w:kern w:val="2"/>
          <w:sz w:val="21"/>
          <w:highlight w:val="none"/>
        </w:rPr>
        <w:t>　　1）分值汇总计算错误的；</w:t>
      </w:r>
    </w:p>
    <w:p>
      <w:pPr>
        <w:spacing w:line="360" w:lineRule="auto"/>
        <w:ind w:firstLine="420" w:firstLineChars="200"/>
        <w:rPr>
          <w:rFonts w:hAnsi="宋体" w:cs="宋体"/>
          <w:color w:val="auto"/>
          <w:kern w:val="2"/>
          <w:sz w:val="21"/>
          <w:highlight w:val="none"/>
        </w:rPr>
      </w:pPr>
      <w:r>
        <w:rPr>
          <w:rFonts w:hint="eastAsia" w:hAnsi="宋体" w:cs="宋体"/>
          <w:color w:val="auto"/>
          <w:kern w:val="2"/>
          <w:sz w:val="21"/>
          <w:highlight w:val="none"/>
        </w:rPr>
        <w:t>　　2）分项评分超出评分标准范围的；</w:t>
      </w:r>
    </w:p>
    <w:p>
      <w:pPr>
        <w:spacing w:line="360" w:lineRule="auto"/>
        <w:ind w:firstLine="420" w:firstLineChars="200"/>
        <w:rPr>
          <w:rFonts w:hAnsi="宋体" w:cs="宋体"/>
          <w:color w:val="auto"/>
          <w:kern w:val="2"/>
          <w:sz w:val="21"/>
          <w:highlight w:val="none"/>
        </w:rPr>
      </w:pPr>
      <w:r>
        <w:rPr>
          <w:rFonts w:hint="eastAsia" w:hAnsi="宋体" w:cs="宋体"/>
          <w:color w:val="auto"/>
          <w:kern w:val="2"/>
          <w:sz w:val="21"/>
          <w:highlight w:val="none"/>
        </w:rPr>
        <w:t>　　3）评标委员会成员对客观评审因素评分不一致的；</w:t>
      </w:r>
    </w:p>
    <w:p>
      <w:pPr>
        <w:spacing w:line="360" w:lineRule="auto"/>
        <w:ind w:firstLine="420" w:firstLineChars="200"/>
        <w:rPr>
          <w:rFonts w:hAnsi="宋体" w:cs="宋体"/>
          <w:color w:val="auto"/>
          <w:kern w:val="2"/>
          <w:sz w:val="21"/>
          <w:highlight w:val="none"/>
        </w:rPr>
      </w:pPr>
      <w:r>
        <w:rPr>
          <w:rFonts w:hint="eastAsia" w:hAnsi="宋体" w:cs="宋体"/>
          <w:color w:val="auto"/>
          <w:kern w:val="2"/>
          <w:sz w:val="21"/>
          <w:highlight w:val="none"/>
        </w:rPr>
        <w:t>　　4）经评标委员会认定评分畸高、畸低的。</w:t>
      </w:r>
    </w:p>
    <w:p>
      <w:pPr>
        <w:spacing w:line="360" w:lineRule="auto"/>
        <w:rPr>
          <w:rFonts w:hAnsi="宋体" w:cs="宋体"/>
          <w:color w:val="auto"/>
          <w:kern w:val="2"/>
          <w:sz w:val="21"/>
          <w:highlight w:val="none"/>
        </w:rPr>
      </w:pPr>
      <w:r>
        <w:rPr>
          <w:rFonts w:hint="eastAsia" w:hAnsi="宋体" w:cs="宋体"/>
          <w:color w:val="auto"/>
          <w:kern w:val="2"/>
          <w:sz w:val="21"/>
          <w:highlight w:val="none"/>
        </w:rPr>
        <w:t>评标报告签署前，经复核发现存在以上情形之一的，评标委员会当场修改评标结果，并在评标报告中记载；评标报告签署后，采购人或者采购代理机构发现存在以上情形之一的，将组织原评标委员会进行重新评审，重新评审改变评标结果的，书面报告</w:t>
      </w:r>
      <w:r>
        <w:rPr>
          <w:rFonts w:hint="eastAsia" w:hAnsi="宋体" w:cs="宋体"/>
          <w:color w:val="auto"/>
          <w:kern w:val="2"/>
          <w:sz w:val="21"/>
          <w:highlight w:val="none"/>
          <w:lang w:eastAsia="zh-CN"/>
        </w:rPr>
        <w:t>采购人监督部门</w:t>
      </w:r>
      <w:r>
        <w:rPr>
          <w:rFonts w:hint="eastAsia" w:hAnsi="宋体" w:cs="宋体"/>
          <w:color w:val="auto"/>
          <w:kern w:val="2"/>
          <w:sz w:val="21"/>
          <w:highlight w:val="none"/>
        </w:rPr>
        <w:t>。投标人对本条第一款情形提出质疑的，采购人或者采购代理机构可以组织原评标委员会进行重新评审，重新评审改变评标结果的，将书面报告</w:t>
      </w:r>
      <w:r>
        <w:rPr>
          <w:rFonts w:hint="eastAsia" w:hAnsi="宋体" w:cs="宋体"/>
          <w:color w:val="auto"/>
          <w:kern w:val="2"/>
          <w:sz w:val="21"/>
          <w:highlight w:val="none"/>
          <w:lang w:eastAsia="zh-CN"/>
        </w:rPr>
        <w:t>采购人监督部门</w:t>
      </w:r>
      <w:r>
        <w:rPr>
          <w:rFonts w:hint="eastAsia" w:hAnsi="宋体" w:cs="宋体"/>
          <w:color w:val="auto"/>
          <w:kern w:val="2"/>
          <w:sz w:val="21"/>
          <w:highlight w:val="none"/>
        </w:rPr>
        <w:t>。</w:t>
      </w:r>
    </w:p>
    <w:p>
      <w:pPr>
        <w:spacing w:line="360" w:lineRule="auto"/>
        <w:rPr>
          <w:rFonts w:hAnsi="宋体" w:cs="宋体"/>
          <w:b/>
          <w:bCs/>
          <w:color w:val="auto"/>
          <w:sz w:val="21"/>
          <w:szCs w:val="21"/>
          <w:highlight w:val="none"/>
        </w:rPr>
      </w:pPr>
      <w:r>
        <w:rPr>
          <w:rFonts w:hint="eastAsia" w:hAnsi="宋体" w:cs="宋体"/>
          <w:b/>
          <w:bCs/>
          <w:color w:val="auto"/>
          <w:sz w:val="21"/>
          <w:szCs w:val="21"/>
          <w:highlight w:val="none"/>
        </w:rPr>
        <w:t>（七）编制评标报告</w:t>
      </w:r>
    </w:p>
    <w:p>
      <w:p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评标委员会根据评标结果撰写评标报告。评标报告是评标委员会根据全体评标成员签名的原始评标记录和评标结果编写的报告，其主要内容包括：</w:t>
      </w:r>
    </w:p>
    <w:p>
      <w:pPr>
        <w:spacing w:line="360" w:lineRule="auto"/>
        <w:rPr>
          <w:rFonts w:hAnsi="宋体" w:cs="宋体"/>
          <w:color w:val="auto"/>
          <w:sz w:val="21"/>
          <w:szCs w:val="21"/>
          <w:highlight w:val="none"/>
        </w:rPr>
      </w:pPr>
      <w:r>
        <w:rPr>
          <w:rFonts w:hint="eastAsia" w:hAnsi="宋体" w:cs="宋体"/>
          <w:color w:val="auto"/>
          <w:sz w:val="21"/>
          <w:szCs w:val="21"/>
          <w:highlight w:val="none"/>
        </w:rPr>
        <w:t>　　  1、采购公告刊登的媒体名称、开标日期和地点；</w:t>
      </w:r>
    </w:p>
    <w:p>
      <w:pPr>
        <w:spacing w:line="360" w:lineRule="auto"/>
        <w:rPr>
          <w:rFonts w:hAnsi="宋体" w:cs="宋体"/>
          <w:color w:val="auto"/>
          <w:sz w:val="21"/>
          <w:szCs w:val="21"/>
          <w:highlight w:val="none"/>
        </w:rPr>
      </w:pPr>
      <w:r>
        <w:rPr>
          <w:rFonts w:hint="eastAsia" w:hAnsi="宋体" w:cs="宋体"/>
          <w:color w:val="auto"/>
          <w:sz w:val="21"/>
          <w:szCs w:val="21"/>
          <w:highlight w:val="none"/>
        </w:rPr>
        <w:t>　　  2、购买采购文件的投标人名单和评标委员会成员名单；</w:t>
      </w:r>
    </w:p>
    <w:p>
      <w:pPr>
        <w:spacing w:line="360" w:lineRule="auto"/>
        <w:rPr>
          <w:rFonts w:hAnsi="宋体" w:cs="宋体"/>
          <w:color w:val="auto"/>
          <w:sz w:val="21"/>
          <w:szCs w:val="21"/>
          <w:highlight w:val="none"/>
        </w:rPr>
      </w:pPr>
      <w:r>
        <w:rPr>
          <w:rFonts w:hint="eastAsia" w:hAnsi="宋体" w:cs="宋体"/>
          <w:color w:val="auto"/>
          <w:sz w:val="21"/>
          <w:szCs w:val="21"/>
          <w:highlight w:val="none"/>
        </w:rPr>
        <w:t>　　  3、评标方法和标准；</w:t>
      </w:r>
    </w:p>
    <w:p>
      <w:pPr>
        <w:spacing w:line="360" w:lineRule="auto"/>
        <w:rPr>
          <w:rFonts w:hAnsi="宋体" w:cs="宋体"/>
          <w:color w:val="auto"/>
          <w:sz w:val="21"/>
          <w:szCs w:val="21"/>
          <w:highlight w:val="none"/>
        </w:rPr>
      </w:pPr>
      <w:r>
        <w:rPr>
          <w:rFonts w:hint="eastAsia" w:hAnsi="宋体" w:cs="宋体"/>
          <w:color w:val="auto"/>
          <w:sz w:val="21"/>
          <w:szCs w:val="21"/>
          <w:highlight w:val="none"/>
        </w:rPr>
        <w:t>　　  4、开标记录和评标情况及说明，包括投标无效投标人名单及原因；</w:t>
      </w:r>
    </w:p>
    <w:p>
      <w:pPr>
        <w:spacing w:line="360" w:lineRule="auto"/>
        <w:rPr>
          <w:rFonts w:hAnsi="宋体" w:cs="宋体"/>
          <w:color w:val="auto"/>
          <w:sz w:val="21"/>
          <w:szCs w:val="21"/>
          <w:highlight w:val="none"/>
        </w:rPr>
      </w:pPr>
      <w:r>
        <w:rPr>
          <w:rFonts w:hint="eastAsia" w:hAnsi="宋体" w:cs="宋体"/>
          <w:color w:val="auto"/>
          <w:sz w:val="21"/>
          <w:szCs w:val="21"/>
          <w:highlight w:val="none"/>
        </w:rPr>
        <w:t>　　  5、评标结果和中标候选投标人排序表；</w:t>
      </w:r>
    </w:p>
    <w:p>
      <w:pPr>
        <w:spacing w:line="360" w:lineRule="auto"/>
        <w:ind w:firstLine="630" w:firstLineChars="300"/>
        <w:rPr>
          <w:rFonts w:hAnsi="宋体" w:cs="宋体"/>
          <w:color w:val="auto"/>
          <w:sz w:val="21"/>
          <w:szCs w:val="21"/>
          <w:highlight w:val="none"/>
        </w:rPr>
      </w:pPr>
      <w:r>
        <w:rPr>
          <w:rFonts w:hint="eastAsia" w:hAnsi="宋体" w:cs="宋体"/>
          <w:color w:val="auto"/>
          <w:sz w:val="21"/>
          <w:szCs w:val="21"/>
          <w:highlight w:val="none"/>
        </w:rPr>
        <w:t>6、评标委员会的授标建议。</w:t>
      </w:r>
    </w:p>
    <w:bookmarkEnd w:id="46"/>
    <w:p>
      <w:pPr>
        <w:tabs>
          <w:tab w:val="left" w:pos="1287"/>
        </w:tabs>
        <w:snapToGrid w:val="0"/>
        <w:spacing w:line="360" w:lineRule="auto"/>
        <w:ind w:left="-53" w:leftChars="-22" w:firstLine="261" w:firstLineChars="124"/>
        <w:outlineLvl w:val="1"/>
        <w:rPr>
          <w:rFonts w:hAnsi="宋体" w:cs="宋体"/>
          <w:b/>
          <w:bCs/>
          <w:color w:val="auto"/>
          <w:szCs w:val="21"/>
          <w:highlight w:val="none"/>
        </w:rPr>
      </w:pPr>
      <w:bookmarkStart w:id="47" w:name="_Toc25135"/>
      <w:bookmarkStart w:id="48" w:name="_Toc24512"/>
      <w:r>
        <w:rPr>
          <w:rFonts w:hint="eastAsia" w:hAnsi="宋体" w:cs="宋体"/>
          <w:b/>
          <w:color w:val="auto"/>
          <w:sz w:val="21"/>
          <w:szCs w:val="21"/>
          <w:highlight w:val="none"/>
        </w:rPr>
        <w:t>三、评分标准和细则</w:t>
      </w:r>
      <w:bookmarkEnd w:id="47"/>
      <w:bookmarkEnd w:id="48"/>
    </w:p>
    <w:tbl>
      <w:tblPr>
        <w:tblStyle w:val="52"/>
        <w:tblW w:w="8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327"/>
        <w:gridCol w:w="827"/>
        <w:gridCol w:w="5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89" w:type="dxa"/>
            <w:vAlign w:val="center"/>
          </w:tcPr>
          <w:p>
            <w:pPr>
              <w:pStyle w:val="66"/>
              <w:spacing w:after="48" w:afterLines="20" w:line="360" w:lineRule="auto"/>
              <w:ind w:firstLine="0" w:firstLineChars="0"/>
              <w:jc w:val="center"/>
              <w:rPr>
                <w:rFonts w:ascii="宋体" w:eastAsia="宋体" w:cs="宋体"/>
                <w:b/>
                <w:color w:val="auto"/>
                <w:sz w:val="21"/>
                <w:szCs w:val="21"/>
                <w:highlight w:val="none"/>
              </w:rPr>
            </w:pPr>
            <w:r>
              <w:rPr>
                <w:rFonts w:hint="eastAsia" w:ascii="宋体" w:eastAsia="宋体" w:cs="宋体"/>
                <w:b/>
                <w:color w:val="auto"/>
                <w:sz w:val="21"/>
                <w:szCs w:val="21"/>
                <w:highlight w:val="none"/>
              </w:rPr>
              <w:t>序号</w:t>
            </w:r>
          </w:p>
        </w:tc>
        <w:tc>
          <w:tcPr>
            <w:tcW w:w="1327" w:type="dxa"/>
            <w:vAlign w:val="center"/>
          </w:tcPr>
          <w:p>
            <w:pPr>
              <w:pStyle w:val="66"/>
              <w:spacing w:after="48" w:afterLines="20" w:line="360" w:lineRule="auto"/>
              <w:ind w:firstLine="0" w:firstLineChars="0"/>
              <w:jc w:val="center"/>
              <w:rPr>
                <w:rFonts w:ascii="宋体" w:eastAsia="宋体" w:cs="宋体"/>
                <w:b/>
                <w:color w:val="auto"/>
                <w:sz w:val="21"/>
                <w:szCs w:val="21"/>
                <w:highlight w:val="none"/>
              </w:rPr>
            </w:pPr>
            <w:r>
              <w:rPr>
                <w:rFonts w:hint="eastAsia" w:ascii="宋体" w:eastAsia="宋体" w:cs="宋体"/>
                <w:b/>
                <w:color w:val="auto"/>
                <w:sz w:val="21"/>
                <w:szCs w:val="21"/>
                <w:highlight w:val="none"/>
              </w:rPr>
              <w:t>评分内容</w:t>
            </w:r>
          </w:p>
        </w:tc>
        <w:tc>
          <w:tcPr>
            <w:tcW w:w="827" w:type="dxa"/>
            <w:vAlign w:val="center"/>
          </w:tcPr>
          <w:p>
            <w:pPr>
              <w:pStyle w:val="66"/>
              <w:spacing w:after="48" w:afterLines="20" w:line="360" w:lineRule="auto"/>
              <w:ind w:firstLine="0" w:firstLineChars="0"/>
              <w:jc w:val="center"/>
              <w:rPr>
                <w:rFonts w:ascii="宋体" w:eastAsia="宋体" w:cs="宋体"/>
                <w:b/>
                <w:color w:val="auto"/>
                <w:sz w:val="21"/>
                <w:szCs w:val="21"/>
                <w:highlight w:val="none"/>
              </w:rPr>
            </w:pPr>
            <w:r>
              <w:rPr>
                <w:rFonts w:hint="eastAsia" w:ascii="宋体" w:eastAsia="宋体" w:cs="宋体"/>
                <w:b/>
                <w:color w:val="auto"/>
                <w:sz w:val="21"/>
                <w:szCs w:val="21"/>
                <w:highlight w:val="none"/>
              </w:rPr>
              <w:t>分值</w:t>
            </w:r>
          </w:p>
        </w:tc>
        <w:tc>
          <w:tcPr>
            <w:tcW w:w="5470" w:type="dxa"/>
            <w:vAlign w:val="center"/>
          </w:tcPr>
          <w:p>
            <w:pPr>
              <w:pStyle w:val="66"/>
              <w:spacing w:after="48" w:afterLines="20" w:line="360" w:lineRule="auto"/>
              <w:ind w:firstLine="0" w:firstLineChars="0"/>
              <w:jc w:val="center"/>
              <w:rPr>
                <w:rFonts w:ascii="宋体" w:eastAsia="宋体" w:cs="宋体"/>
                <w:b/>
                <w:color w:val="auto"/>
                <w:sz w:val="21"/>
                <w:szCs w:val="21"/>
                <w:highlight w:val="none"/>
              </w:rPr>
            </w:pPr>
            <w:r>
              <w:rPr>
                <w:rFonts w:hint="eastAsia" w:ascii="宋体" w:eastAsia="宋体" w:cs="宋体"/>
                <w:b/>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413" w:type="dxa"/>
            <w:gridSpan w:val="4"/>
            <w:vAlign w:val="center"/>
          </w:tcPr>
          <w:p>
            <w:pPr>
              <w:pStyle w:val="66"/>
              <w:spacing w:line="360" w:lineRule="auto"/>
              <w:ind w:firstLine="0" w:firstLineChars="0"/>
              <w:jc w:val="center"/>
              <w:rPr>
                <w:rFonts w:ascii="宋体" w:eastAsia="宋体" w:cs="宋体"/>
                <w:b/>
                <w:color w:val="auto"/>
                <w:sz w:val="21"/>
                <w:szCs w:val="21"/>
                <w:highlight w:val="none"/>
              </w:rPr>
            </w:pPr>
            <w:r>
              <w:rPr>
                <w:rFonts w:hint="eastAsia" w:ascii="宋体" w:eastAsia="宋体" w:cs="宋体"/>
                <w:b/>
                <w:color w:val="auto"/>
                <w:sz w:val="21"/>
                <w:szCs w:val="21"/>
                <w:highlight w:val="none"/>
              </w:rPr>
              <w:t>价格评分（</w:t>
            </w:r>
            <w:r>
              <w:rPr>
                <w:rFonts w:hint="eastAsia" w:ascii="宋体" w:eastAsia="宋体" w:cs="宋体"/>
                <w:b/>
                <w:color w:val="auto"/>
                <w:sz w:val="21"/>
                <w:szCs w:val="21"/>
                <w:highlight w:val="none"/>
                <w:u w:val="single"/>
              </w:rPr>
              <w:t xml:space="preserve"> </w:t>
            </w:r>
            <w:r>
              <w:rPr>
                <w:rFonts w:hint="eastAsia" w:ascii="宋体" w:eastAsia="宋体" w:cs="宋体"/>
                <w:b/>
                <w:color w:val="auto"/>
                <w:sz w:val="21"/>
                <w:szCs w:val="21"/>
                <w:highlight w:val="none"/>
                <w:u w:val="single"/>
                <w:lang w:val="en-US" w:eastAsia="zh-CN"/>
              </w:rPr>
              <w:t>6</w:t>
            </w:r>
            <w:r>
              <w:rPr>
                <w:rFonts w:hint="eastAsia" w:ascii="宋体" w:eastAsia="宋体" w:cs="宋体"/>
                <w:b/>
                <w:color w:val="auto"/>
                <w:sz w:val="21"/>
                <w:szCs w:val="21"/>
                <w:highlight w:val="none"/>
                <w:u w:val="single"/>
              </w:rPr>
              <w:t xml:space="preserve">0 </w:t>
            </w:r>
            <w:r>
              <w:rPr>
                <w:rFonts w:hint="eastAsia" w:ascii="宋体" w:eastAsia="宋体" w:cs="宋体"/>
                <w:b/>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89" w:type="dxa"/>
            <w:vAlign w:val="center"/>
          </w:tcPr>
          <w:p>
            <w:pPr>
              <w:pStyle w:val="66"/>
              <w:spacing w:line="360" w:lineRule="auto"/>
              <w:ind w:firstLine="0" w:firstLineChars="0"/>
              <w:jc w:val="center"/>
              <w:rPr>
                <w:rFonts w:ascii="宋体" w:eastAsia="宋体" w:cs="宋体"/>
                <w:bCs/>
                <w:color w:val="auto"/>
                <w:sz w:val="21"/>
                <w:szCs w:val="21"/>
                <w:highlight w:val="none"/>
              </w:rPr>
            </w:pPr>
            <w:r>
              <w:rPr>
                <w:rFonts w:hint="eastAsia" w:ascii="宋体" w:eastAsia="宋体" w:cs="宋体"/>
                <w:bCs/>
                <w:color w:val="auto"/>
                <w:sz w:val="21"/>
                <w:szCs w:val="21"/>
                <w:highlight w:val="none"/>
              </w:rPr>
              <w:t>1</w:t>
            </w:r>
          </w:p>
        </w:tc>
        <w:tc>
          <w:tcPr>
            <w:tcW w:w="1327" w:type="dxa"/>
            <w:vAlign w:val="center"/>
          </w:tcPr>
          <w:p>
            <w:pPr>
              <w:pStyle w:val="48"/>
              <w:spacing w:line="360" w:lineRule="auto"/>
              <w:jc w:val="center"/>
              <w:rPr>
                <w:rFonts w:cs="宋体"/>
                <w:color w:val="auto"/>
                <w:sz w:val="21"/>
                <w:szCs w:val="21"/>
                <w:highlight w:val="none"/>
              </w:rPr>
            </w:pPr>
            <w:r>
              <w:rPr>
                <w:rFonts w:hint="eastAsia"/>
                <w:color w:val="auto"/>
                <w:kern w:val="2"/>
                <w:sz w:val="21"/>
                <w:szCs w:val="21"/>
                <w:highlight w:val="none"/>
              </w:rPr>
              <w:t>价格</w:t>
            </w:r>
          </w:p>
        </w:tc>
        <w:tc>
          <w:tcPr>
            <w:tcW w:w="827" w:type="dxa"/>
            <w:vAlign w:val="center"/>
          </w:tcPr>
          <w:p>
            <w:pPr>
              <w:pStyle w:val="48"/>
              <w:spacing w:line="360" w:lineRule="auto"/>
              <w:jc w:val="center"/>
              <w:rPr>
                <w:rFonts w:cs="宋体"/>
                <w:color w:val="auto"/>
                <w:sz w:val="21"/>
                <w:szCs w:val="21"/>
                <w:highlight w:val="none"/>
              </w:rPr>
            </w:pPr>
            <w:r>
              <w:rPr>
                <w:rFonts w:hint="eastAsia"/>
                <w:color w:val="auto"/>
                <w:kern w:val="2"/>
                <w:sz w:val="21"/>
                <w:szCs w:val="21"/>
                <w:highlight w:val="none"/>
                <w:lang w:val="en-US" w:eastAsia="zh-CN"/>
              </w:rPr>
              <w:t>6</w:t>
            </w:r>
            <w:r>
              <w:rPr>
                <w:rFonts w:hint="eastAsia"/>
                <w:color w:val="auto"/>
                <w:kern w:val="2"/>
                <w:sz w:val="21"/>
                <w:szCs w:val="21"/>
                <w:highlight w:val="none"/>
              </w:rPr>
              <w:t>0分</w:t>
            </w:r>
          </w:p>
        </w:tc>
        <w:tc>
          <w:tcPr>
            <w:tcW w:w="5470" w:type="dxa"/>
            <w:vAlign w:val="center"/>
          </w:tcPr>
          <w:p>
            <w:pPr>
              <w:pStyle w:val="48"/>
              <w:spacing w:line="360" w:lineRule="auto"/>
              <w:rPr>
                <w:rFonts w:cs="宋体"/>
                <w:color w:val="auto"/>
                <w:szCs w:val="21"/>
                <w:highlight w:val="none"/>
              </w:rPr>
            </w:pPr>
            <w:r>
              <w:rPr>
                <w:rFonts w:hint="eastAsia"/>
                <w:color w:val="auto"/>
                <w:kern w:val="2"/>
                <w:sz w:val="21"/>
                <w:szCs w:val="21"/>
                <w:highlight w:val="none"/>
              </w:rPr>
              <w:t>价格分计算方法：满足采购文件要求且投标价格最低的投标报价为评标基准价，其价格分为满分。其他供应商的价格分统一按照下列公式计算：投标报价得分=(评标基准价／投标报价)×价格权重</w:t>
            </w:r>
            <w:r>
              <w:rPr>
                <w:rFonts w:hint="eastAsia"/>
                <w:color w:val="auto"/>
                <w:kern w:val="2"/>
                <w:sz w:val="21"/>
                <w:szCs w:val="21"/>
                <w:highlight w:val="none"/>
                <w:lang w:val="en-US" w:eastAsia="zh-CN"/>
              </w:rPr>
              <w:t>60</w:t>
            </w:r>
            <w:r>
              <w:rPr>
                <w:rFonts w:hint="eastAsia"/>
                <w:color w:val="auto"/>
                <w:kern w:val="2"/>
                <w:sz w:val="21"/>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413" w:type="dxa"/>
            <w:gridSpan w:val="4"/>
            <w:vAlign w:val="center"/>
          </w:tcPr>
          <w:p>
            <w:pPr>
              <w:pStyle w:val="66"/>
              <w:spacing w:line="360" w:lineRule="auto"/>
              <w:ind w:firstLine="0" w:firstLineChars="0"/>
              <w:jc w:val="center"/>
              <w:rPr>
                <w:rFonts w:ascii="宋体" w:eastAsia="宋体" w:cs="宋体"/>
                <w:b/>
                <w:color w:val="auto"/>
                <w:sz w:val="21"/>
                <w:szCs w:val="21"/>
                <w:highlight w:val="none"/>
              </w:rPr>
            </w:pPr>
            <w:r>
              <w:rPr>
                <w:rFonts w:hint="eastAsia" w:ascii="宋体" w:eastAsia="宋体" w:cs="宋体"/>
                <w:b/>
                <w:color w:val="auto"/>
                <w:sz w:val="21"/>
                <w:szCs w:val="21"/>
                <w:highlight w:val="none"/>
              </w:rPr>
              <w:t>商务评分（</w:t>
            </w:r>
            <w:r>
              <w:rPr>
                <w:rFonts w:hint="eastAsia" w:ascii="宋体" w:eastAsia="宋体" w:cs="宋体"/>
                <w:b/>
                <w:color w:val="auto"/>
                <w:sz w:val="21"/>
                <w:szCs w:val="21"/>
                <w:highlight w:val="none"/>
                <w:u w:val="single"/>
              </w:rPr>
              <w:t xml:space="preserve"> </w:t>
            </w:r>
            <w:r>
              <w:rPr>
                <w:rFonts w:hint="eastAsia" w:ascii="宋体" w:eastAsia="宋体" w:cs="宋体"/>
                <w:b/>
                <w:color w:val="auto"/>
                <w:sz w:val="21"/>
                <w:szCs w:val="21"/>
                <w:highlight w:val="none"/>
                <w:u w:val="single"/>
                <w:lang w:val="en-US" w:eastAsia="zh-CN"/>
              </w:rPr>
              <w:t>1</w:t>
            </w:r>
            <w:r>
              <w:rPr>
                <w:rFonts w:hint="eastAsia" w:ascii="宋体" w:eastAsia="宋体" w:cs="宋体"/>
                <w:b/>
                <w:color w:val="auto"/>
                <w:sz w:val="21"/>
                <w:szCs w:val="21"/>
                <w:highlight w:val="none"/>
                <w:u w:val="single"/>
              </w:rPr>
              <w:t xml:space="preserve">0 </w:t>
            </w:r>
            <w:r>
              <w:rPr>
                <w:rFonts w:hint="eastAsia" w:ascii="宋体" w:eastAsia="宋体" w:cs="宋体"/>
                <w:b/>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89" w:type="dxa"/>
            <w:vAlign w:val="center"/>
          </w:tcPr>
          <w:p>
            <w:pPr>
              <w:spacing w:before="24" w:beforeLines="10" w:after="72" w:afterLines="30" w:line="360" w:lineRule="auto"/>
              <w:jc w:val="center"/>
              <w:rPr>
                <w:rFonts w:hAnsi="宋体" w:cs="宋体"/>
                <w:color w:val="auto"/>
                <w:sz w:val="21"/>
                <w:szCs w:val="21"/>
                <w:highlight w:val="none"/>
              </w:rPr>
            </w:pPr>
            <w:r>
              <w:rPr>
                <w:rFonts w:hint="eastAsia" w:hAnsi="宋体" w:cs="宋体"/>
                <w:color w:val="auto"/>
                <w:sz w:val="21"/>
                <w:szCs w:val="21"/>
                <w:highlight w:val="none"/>
              </w:rPr>
              <w:t>1</w:t>
            </w:r>
          </w:p>
        </w:tc>
        <w:tc>
          <w:tcPr>
            <w:tcW w:w="1327" w:type="dxa"/>
            <w:vAlign w:val="center"/>
          </w:tcPr>
          <w:p>
            <w:pPr>
              <w:spacing w:line="360" w:lineRule="auto"/>
              <w:jc w:val="center"/>
              <w:rPr>
                <w:rFonts w:hAnsi="宋体" w:cs="宋体"/>
                <w:bCs/>
                <w:color w:val="auto"/>
                <w:sz w:val="21"/>
                <w:szCs w:val="21"/>
                <w:highlight w:val="none"/>
              </w:rPr>
            </w:pPr>
            <w:r>
              <w:rPr>
                <w:rFonts w:hint="eastAsia" w:hAnsi="宋体" w:cs="宋体"/>
                <w:color w:val="auto"/>
                <w:sz w:val="21"/>
                <w:szCs w:val="21"/>
                <w:highlight w:val="none"/>
              </w:rPr>
              <w:t>认证情况</w:t>
            </w:r>
          </w:p>
        </w:tc>
        <w:tc>
          <w:tcPr>
            <w:tcW w:w="827" w:type="dxa"/>
            <w:vAlign w:val="center"/>
          </w:tcPr>
          <w:p>
            <w:pPr>
              <w:spacing w:before="9" w:line="360" w:lineRule="auto"/>
              <w:jc w:val="center"/>
              <w:rPr>
                <w:rFonts w:hAnsi="宋体" w:cs="宋体"/>
                <w:color w:val="auto"/>
                <w:sz w:val="21"/>
                <w:szCs w:val="21"/>
                <w:highlight w:val="none"/>
              </w:rPr>
            </w:pPr>
            <w:r>
              <w:rPr>
                <w:rFonts w:hint="eastAsia" w:hAnsi="宋体" w:cs="宋体"/>
                <w:color w:val="auto"/>
                <w:sz w:val="21"/>
                <w:szCs w:val="21"/>
                <w:highlight w:val="none"/>
                <w:lang w:val="en-US" w:eastAsia="zh-CN"/>
              </w:rPr>
              <w:t>4</w:t>
            </w:r>
            <w:r>
              <w:rPr>
                <w:rFonts w:hint="eastAsia" w:hAnsi="宋体" w:cs="宋体"/>
                <w:color w:val="auto"/>
                <w:sz w:val="21"/>
                <w:szCs w:val="21"/>
                <w:highlight w:val="none"/>
              </w:rPr>
              <w:t>分</w:t>
            </w:r>
          </w:p>
        </w:tc>
        <w:tc>
          <w:tcPr>
            <w:tcW w:w="5470" w:type="dxa"/>
            <w:vAlign w:val="center"/>
          </w:tcPr>
          <w:p>
            <w:pPr>
              <w:spacing w:line="360" w:lineRule="auto"/>
              <w:rPr>
                <w:rFonts w:hAnsi="宋体" w:cs="宋体"/>
                <w:color w:val="auto"/>
                <w:sz w:val="21"/>
                <w:szCs w:val="21"/>
                <w:highlight w:val="none"/>
              </w:rPr>
            </w:pPr>
            <w:r>
              <w:rPr>
                <w:rFonts w:hint="eastAsia" w:hAnsi="宋体" w:cs="宋体"/>
                <w:color w:val="auto"/>
                <w:sz w:val="21"/>
                <w:szCs w:val="21"/>
                <w:highlight w:val="none"/>
              </w:rPr>
              <w:t>供应商具有以下由国家认证认可监督管理部门批准设立的认证机构颁发的认证证书</w:t>
            </w:r>
            <w:r>
              <w:rPr>
                <w:rFonts w:hint="eastAsia" w:hAnsi="宋体" w:cs="宋体"/>
                <w:color w:val="auto"/>
                <w:sz w:val="21"/>
                <w:szCs w:val="21"/>
                <w:highlight w:val="none"/>
                <w:lang w:eastAsia="zh-CN"/>
              </w:rPr>
              <w:t>：</w:t>
            </w:r>
          </w:p>
          <w:p>
            <w:pPr>
              <w:spacing w:line="360" w:lineRule="auto"/>
              <w:rPr>
                <w:rFonts w:hint="eastAsia" w:hAnsi="宋体" w:cs="宋体"/>
                <w:color w:val="auto"/>
                <w:sz w:val="21"/>
                <w:szCs w:val="21"/>
                <w:highlight w:val="none"/>
              </w:rPr>
            </w:pPr>
            <w:r>
              <w:rPr>
                <w:rFonts w:hint="eastAsia" w:hAnsi="宋体" w:cs="宋体"/>
                <w:color w:val="auto"/>
                <w:sz w:val="21"/>
                <w:szCs w:val="21"/>
                <w:highlight w:val="none"/>
              </w:rPr>
              <w:t>①质量管理体系认证；</w:t>
            </w:r>
          </w:p>
          <w:p>
            <w:pPr>
              <w:spacing w:line="360" w:lineRule="auto"/>
              <w:rPr>
                <w:rFonts w:hint="eastAsia" w:hAnsi="宋体" w:cs="宋体"/>
                <w:color w:val="auto"/>
                <w:sz w:val="21"/>
                <w:szCs w:val="21"/>
                <w:highlight w:val="none"/>
              </w:rPr>
            </w:pPr>
            <w:r>
              <w:rPr>
                <w:rFonts w:hint="eastAsia" w:hAnsi="宋体" w:cs="宋体"/>
                <w:color w:val="auto"/>
                <w:sz w:val="21"/>
                <w:szCs w:val="21"/>
                <w:highlight w:val="none"/>
              </w:rPr>
              <w:t>②环境管理体系认证；</w:t>
            </w:r>
          </w:p>
          <w:p>
            <w:pPr>
              <w:spacing w:line="360" w:lineRule="auto"/>
              <w:rPr>
                <w:rFonts w:hint="eastAsia" w:hAnsi="宋体" w:cs="宋体"/>
                <w:color w:val="auto"/>
                <w:sz w:val="21"/>
                <w:szCs w:val="21"/>
                <w:highlight w:val="none"/>
              </w:rPr>
            </w:pPr>
            <w:r>
              <w:rPr>
                <w:rFonts w:hint="eastAsia" w:hAnsi="宋体" w:cs="宋体"/>
                <w:color w:val="auto"/>
                <w:sz w:val="21"/>
                <w:szCs w:val="21"/>
                <w:highlight w:val="none"/>
              </w:rPr>
              <w:t>③职业健康安全管理体系认证；</w:t>
            </w:r>
          </w:p>
          <w:p>
            <w:pPr>
              <w:spacing w:line="360" w:lineRule="auto"/>
              <w:rPr>
                <w:rFonts w:hint="eastAsia" w:hAnsi="宋体" w:cs="宋体"/>
                <w:color w:val="auto"/>
                <w:sz w:val="21"/>
                <w:szCs w:val="21"/>
                <w:highlight w:val="none"/>
              </w:rPr>
            </w:pPr>
            <w:r>
              <w:rPr>
                <w:rFonts w:hint="eastAsia" w:hAnsi="宋体" w:cs="宋体"/>
                <w:color w:val="auto"/>
                <w:sz w:val="21"/>
                <w:szCs w:val="21"/>
                <w:highlight w:val="none"/>
              </w:rPr>
              <w:t>④信息安全管理体系认证；</w:t>
            </w:r>
          </w:p>
          <w:p>
            <w:pPr>
              <w:spacing w:line="360" w:lineRule="auto"/>
              <w:rPr>
                <w:rFonts w:hint="eastAsia" w:hAnsi="宋体" w:cs="宋体"/>
                <w:color w:val="auto"/>
                <w:sz w:val="21"/>
                <w:szCs w:val="21"/>
                <w:highlight w:val="none"/>
              </w:rPr>
            </w:pPr>
            <w:r>
              <w:rPr>
                <w:rFonts w:hint="eastAsia" w:hAnsi="宋体" w:cs="宋体"/>
                <w:color w:val="auto"/>
                <w:sz w:val="21"/>
                <w:szCs w:val="21"/>
                <w:highlight w:val="none"/>
              </w:rPr>
              <w:t>⑤信息技术服务管理体系认证；</w:t>
            </w:r>
          </w:p>
          <w:p>
            <w:pPr>
              <w:spacing w:line="360" w:lineRule="auto"/>
              <w:rPr>
                <w:rFonts w:hint="eastAsia" w:hAnsi="宋体" w:cs="宋体"/>
                <w:color w:val="auto"/>
                <w:sz w:val="21"/>
                <w:szCs w:val="21"/>
                <w:highlight w:val="none"/>
              </w:rPr>
            </w:pPr>
            <w:r>
              <w:rPr>
                <w:rFonts w:hint="eastAsia" w:hAnsi="宋体" w:cs="宋体"/>
                <w:color w:val="auto"/>
                <w:sz w:val="21"/>
                <w:szCs w:val="21"/>
                <w:highlight w:val="none"/>
              </w:rPr>
              <w:t>⑥商品售后服务评价认证；</w:t>
            </w:r>
          </w:p>
          <w:p>
            <w:pPr>
              <w:spacing w:line="360" w:lineRule="auto"/>
              <w:rPr>
                <w:rFonts w:hint="eastAsia" w:hAnsi="宋体" w:cs="宋体"/>
                <w:color w:val="auto"/>
                <w:sz w:val="21"/>
                <w:szCs w:val="21"/>
                <w:highlight w:val="none"/>
                <w:lang w:eastAsia="zh-CN"/>
              </w:rPr>
            </w:pPr>
            <w:r>
              <w:rPr>
                <w:rFonts w:hint="eastAsia" w:hAnsi="宋体" w:cs="宋体"/>
                <w:color w:val="auto"/>
                <w:sz w:val="21"/>
                <w:szCs w:val="21"/>
                <w:highlight w:val="none"/>
              </w:rPr>
              <w:t>⑦信息安全服务资质认证（信息系统安全集成）</w:t>
            </w:r>
            <w:r>
              <w:rPr>
                <w:rFonts w:hint="eastAsia" w:hAnsi="宋体" w:cs="宋体"/>
                <w:color w:val="auto"/>
                <w:sz w:val="21"/>
                <w:szCs w:val="21"/>
                <w:highlight w:val="none"/>
                <w:lang w:eastAsia="zh-CN"/>
              </w:rPr>
              <w:t>。</w:t>
            </w:r>
          </w:p>
          <w:p>
            <w:pPr>
              <w:spacing w:line="360" w:lineRule="auto"/>
              <w:rPr>
                <w:rFonts w:hAnsi="宋体" w:cs="宋体"/>
                <w:color w:val="auto"/>
                <w:sz w:val="21"/>
                <w:szCs w:val="21"/>
                <w:highlight w:val="none"/>
              </w:rPr>
            </w:pPr>
            <w:r>
              <w:rPr>
                <w:rFonts w:hint="eastAsia" w:hAnsi="宋体" w:cs="宋体"/>
                <w:color w:val="auto"/>
                <w:sz w:val="21"/>
                <w:szCs w:val="21"/>
                <w:highlight w:val="none"/>
                <w:lang w:eastAsia="zh-CN"/>
              </w:rPr>
              <w:t>具有七个认证证书的，</w:t>
            </w:r>
            <w:r>
              <w:rPr>
                <w:rFonts w:hint="eastAsia" w:hAnsi="宋体" w:cs="宋体"/>
                <w:color w:val="auto"/>
                <w:sz w:val="21"/>
                <w:szCs w:val="21"/>
                <w:highlight w:val="none"/>
              </w:rPr>
              <w:t>得</w:t>
            </w:r>
            <w:r>
              <w:rPr>
                <w:rFonts w:hint="eastAsia" w:hAnsi="宋体" w:cs="宋体"/>
                <w:color w:val="auto"/>
                <w:sz w:val="21"/>
                <w:szCs w:val="21"/>
                <w:highlight w:val="none"/>
                <w:lang w:val="en-US" w:eastAsia="zh-CN"/>
              </w:rPr>
              <w:t>4</w:t>
            </w:r>
            <w:bookmarkStart w:id="91" w:name="_GoBack"/>
            <w:bookmarkEnd w:id="91"/>
            <w:r>
              <w:rPr>
                <w:rFonts w:hint="eastAsia" w:hAnsi="宋体" w:cs="宋体"/>
                <w:color w:val="auto"/>
                <w:sz w:val="21"/>
                <w:szCs w:val="21"/>
                <w:highlight w:val="none"/>
              </w:rPr>
              <w:t>分</w:t>
            </w:r>
            <w:r>
              <w:rPr>
                <w:rFonts w:hint="eastAsia" w:hAnsi="宋体" w:cs="宋体"/>
                <w:color w:val="auto"/>
                <w:sz w:val="21"/>
                <w:szCs w:val="21"/>
                <w:highlight w:val="none"/>
                <w:lang w:eastAsia="zh-CN"/>
              </w:rPr>
              <w:t>；具有五个或以上的，得</w:t>
            </w:r>
            <w:r>
              <w:rPr>
                <w:rFonts w:hint="eastAsia" w:hAnsi="宋体" w:cs="宋体"/>
                <w:color w:val="auto"/>
                <w:sz w:val="21"/>
                <w:szCs w:val="21"/>
                <w:highlight w:val="none"/>
                <w:lang w:val="en-US" w:eastAsia="zh-CN"/>
              </w:rPr>
              <w:t>2分；具有四个或以下的，得1分；无提供不得分。</w:t>
            </w:r>
          </w:p>
          <w:p>
            <w:pPr>
              <w:spacing w:line="360" w:lineRule="auto"/>
              <w:rPr>
                <w:rFonts w:hAnsi="宋体" w:cs="宋体"/>
                <w:b/>
                <w:bCs/>
                <w:color w:val="auto"/>
                <w:sz w:val="21"/>
                <w:szCs w:val="21"/>
                <w:highlight w:val="none"/>
                <w:u w:val="single"/>
              </w:rPr>
            </w:pPr>
            <w:r>
              <w:rPr>
                <w:rFonts w:hint="eastAsia" w:hAnsi="宋体" w:cs="宋体"/>
                <w:b/>
                <w:color w:val="auto"/>
                <w:sz w:val="21"/>
                <w:szCs w:val="21"/>
                <w:highlight w:val="none"/>
                <w:u w:val="single"/>
              </w:rPr>
              <w:t>注：须提供有效证书复印件及全国认证认可信息公共服务平台官网查询截图加盖供应商公章。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89" w:type="dxa"/>
            <w:vAlign w:val="center"/>
          </w:tcPr>
          <w:p>
            <w:pPr>
              <w:spacing w:before="24" w:beforeLines="10" w:after="72" w:afterLines="30" w:line="360" w:lineRule="auto"/>
              <w:jc w:val="center"/>
              <w:rPr>
                <w:rFonts w:hAnsi="宋体" w:cs="宋体"/>
                <w:color w:val="auto"/>
                <w:sz w:val="21"/>
                <w:szCs w:val="21"/>
                <w:highlight w:val="none"/>
              </w:rPr>
            </w:pPr>
            <w:r>
              <w:rPr>
                <w:rFonts w:hint="eastAsia" w:hAnsi="宋体" w:cs="宋体"/>
                <w:color w:val="auto"/>
                <w:sz w:val="21"/>
                <w:szCs w:val="21"/>
                <w:highlight w:val="none"/>
              </w:rPr>
              <w:t>2</w:t>
            </w:r>
          </w:p>
        </w:tc>
        <w:tc>
          <w:tcPr>
            <w:tcW w:w="1327" w:type="dxa"/>
            <w:vAlign w:val="center"/>
          </w:tcPr>
          <w:p>
            <w:pPr>
              <w:spacing w:line="360" w:lineRule="auto"/>
              <w:jc w:val="center"/>
              <w:rPr>
                <w:rFonts w:hAnsi="宋体" w:cs="宋体"/>
                <w:color w:val="auto"/>
                <w:sz w:val="21"/>
                <w:szCs w:val="21"/>
                <w:highlight w:val="none"/>
              </w:rPr>
            </w:pPr>
            <w:r>
              <w:rPr>
                <w:rFonts w:hint="eastAsia" w:hAnsi="宋体" w:cs="宋体"/>
                <w:color w:val="auto"/>
                <w:sz w:val="21"/>
                <w:szCs w:val="21"/>
                <w:highlight w:val="none"/>
              </w:rPr>
              <w:t>业绩情况</w:t>
            </w:r>
          </w:p>
        </w:tc>
        <w:tc>
          <w:tcPr>
            <w:tcW w:w="827" w:type="dxa"/>
            <w:vAlign w:val="center"/>
          </w:tcPr>
          <w:p>
            <w:pPr>
              <w:spacing w:before="9" w:line="360" w:lineRule="auto"/>
              <w:jc w:val="center"/>
              <w:rPr>
                <w:rFonts w:hAnsi="宋体" w:cs="宋体"/>
                <w:color w:val="auto"/>
                <w:sz w:val="21"/>
                <w:szCs w:val="21"/>
                <w:highlight w:val="none"/>
              </w:rPr>
            </w:pPr>
            <w:r>
              <w:rPr>
                <w:rFonts w:hint="eastAsia" w:hAnsi="宋体" w:cs="宋体"/>
                <w:color w:val="auto"/>
                <w:sz w:val="21"/>
                <w:szCs w:val="21"/>
                <w:highlight w:val="none"/>
                <w:lang w:val="en-US" w:eastAsia="zh-CN"/>
              </w:rPr>
              <w:t>6</w:t>
            </w:r>
            <w:r>
              <w:rPr>
                <w:rFonts w:hint="eastAsia" w:hAnsi="宋体" w:cs="宋体"/>
                <w:color w:val="auto"/>
                <w:sz w:val="21"/>
                <w:szCs w:val="21"/>
                <w:highlight w:val="none"/>
              </w:rPr>
              <w:t>分</w:t>
            </w:r>
          </w:p>
        </w:tc>
        <w:tc>
          <w:tcPr>
            <w:tcW w:w="5470" w:type="dxa"/>
            <w:vAlign w:val="center"/>
          </w:tcPr>
          <w:p>
            <w:pPr>
              <w:pStyle w:val="29"/>
              <w:spacing w:line="360" w:lineRule="auto"/>
              <w:rPr>
                <w:rFonts w:hAnsi="宋体" w:cs="宋体"/>
                <w:color w:val="auto"/>
                <w:szCs w:val="21"/>
                <w:highlight w:val="none"/>
              </w:rPr>
            </w:pPr>
            <w:r>
              <w:rPr>
                <w:rFonts w:hint="eastAsia" w:hAnsi="宋体" w:cs="宋体"/>
                <w:color w:val="auto"/>
                <w:szCs w:val="21"/>
                <w:highlight w:val="none"/>
              </w:rPr>
              <w:t>根据供应商自2019年1月1日以来具有的安防或智能化或监控业绩进行评审，每提供一个得</w:t>
            </w:r>
            <w:r>
              <w:rPr>
                <w:rFonts w:hint="eastAsia" w:hAnsi="宋体" w:cs="宋体"/>
                <w:color w:val="auto"/>
                <w:szCs w:val="21"/>
                <w:highlight w:val="none"/>
                <w:lang w:val="en-US" w:eastAsia="zh-CN"/>
              </w:rPr>
              <w:t>1</w:t>
            </w:r>
            <w:r>
              <w:rPr>
                <w:rFonts w:hint="eastAsia" w:hAnsi="宋体" w:cs="宋体"/>
                <w:color w:val="auto"/>
                <w:szCs w:val="21"/>
                <w:highlight w:val="none"/>
              </w:rPr>
              <w:t>分，最高得</w:t>
            </w:r>
            <w:r>
              <w:rPr>
                <w:rFonts w:hint="eastAsia" w:hAnsi="宋体" w:cs="宋体"/>
                <w:color w:val="auto"/>
                <w:szCs w:val="21"/>
                <w:highlight w:val="none"/>
                <w:lang w:val="en-US" w:eastAsia="zh-CN"/>
              </w:rPr>
              <w:t>6</w:t>
            </w:r>
            <w:r>
              <w:rPr>
                <w:rFonts w:hint="eastAsia" w:hAnsi="宋体" w:cs="宋体"/>
                <w:color w:val="auto"/>
                <w:szCs w:val="21"/>
                <w:highlight w:val="none"/>
              </w:rPr>
              <w:t>分。</w:t>
            </w:r>
          </w:p>
          <w:p>
            <w:pPr>
              <w:spacing w:line="360" w:lineRule="auto"/>
              <w:rPr>
                <w:rFonts w:hAnsi="宋体" w:cs="宋体"/>
                <w:b/>
                <w:bCs/>
                <w:color w:val="auto"/>
                <w:sz w:val="21"/>
                <w:szCs w:val="21"/>
                <w:highlight w:val="none"/>
                <w:u w:val="single"/>
              </w:rPr>
            </w:pPr>
            <w:r>
              <w:rPr>
                <w:rFonts w:hint="eastAsia" w:hAnsi="宋体" w:cs="宋体"/>
                <w:b/>
                <w:color w:val="auto"/>
                <w:sz w:val="21"/>
                <w:szCs w:val="21"/>
                <w:highlight w:val="none"/>
                <w:u w:val="single"/>
              </w:rPr>
              <w:t>注：①须提供合同复印件加盖供应商公章，日期以合同签订时间为准②与项目相关的发票或完税证明等材料（张数不限）。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413" w:type="dxa"/>
            <w:gridSpan w:val="4"/>
            <w:vAlign w:val="center"/>
          </w:tcPr>
          <w:p>
            <w:pPr>
              <w:pStyle w:val="66"/>
              <w:spacing w:line="360" w:lineRule="auto"/>
              <w:ind w:firstLine="0" w:firstLineChars="0"/>
              <w:jc w:val="center"/>
              <w:rPr>
                <w:rFonts w:ascii="宋体" w:eastAsia="宋体" w:cs="宋体"/>
                <w:color w:val="auto"/>
                <w:sz w:val="21"/>
                <w:szCs w:val="21"/>
                <w:highlight w:val="none"/>
              </w:rPr>
            </w:pPr>
            <w:r>
              <w:rPr>
                <w:rFonts w:hint="eastAsia" w:ascii="宋体" w:eastAsia="宋体" w:cs="宋体"/>
                <w:b/>
                <w:color w:val="auto"/>
                <w:sz w:val="21"/>
                <w:szCs w:val="21"/>
                <w:highlight w:val="none"/>
              </w:rPr>
              <w:t>技术评分（</w:t>
            </w:r>
            <w:r>
              <w:rPr>
                <w:rFonts w:hint="eastAsia" w:ascii="宋体" w:eastAsia="宋体" w:cs="宋体"/>
                <w:b/>
                <w:color w:val="auto"/>
                <w:sz w:val="21"/>
                <w:szCs w:val="21"/>
                <w:highlight w:val="none"/>
                <w:u w:val="single"/>
              </w:rPr>
              <w:t xml:space="preserve"> 30 </w:t>
            </w:r>
            <w:r>
              <w:rPr>
                <w:rFonts w:hint="eastAsia" w:ascii="宋体" w:eastAsia="宋体" w:cs="宋体"/>
                <w:b/>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789" w:type="dxa"/>
            <w:vAlign w:val="center"/>
          </w:tcPr>
          <w:p>
            <w:pPr>
              <w:spacing w:before="24" w:beforeLines="10" w:after="72" w:afterLines="30" w:line="360" w:lineRule="auto"/>
              <w:jc w:val="center"/>
              <w:rPr>
                <w:rFonts w:hAnsi="宋体" w:cs="宋体"/>
                <w:color w:val="auto"/>
                <w:sz w:val="21"/>
                <w:szCs w:val="21"/>
                <w:highlight w:val="none"/>
              </w:rPr>
            </w:pPr>
            <w:r>
              <w:rPr>
                <w:rFonts w:hint="eastAsia" w:hAnsi="宋体" w:cs="宋体"/>
                <w:color w:val="auto"/>
                <w:sz w:val="21"/>
                <w:szCs w:val="21"/>
                <w:highlight w:val="none"/>
              </w:rPr>
              <w:t>1</w:t>
            </w:r>
          </w:p>
        </w:tc>
        <w:tc>
          <w:tcPr>
            <w:tcW w:w="1327" w:type="dxa"/>
            <w:vAlign w:val="center"/>
          </w:tcPr>
          <w:p>
            <w:pPr>
              <w:spacing w:line="360" w:lineRule="auto"/>
              <w:jc w:val="center"/>
              <w:rPr>
                <w:rFonts w:hAnsi="宋体" w:cs="宋体"/>
                <w:color w:val="auto"/>
                <w:sz w:val="21"/>
                <w:szCs w:val="21"/>
                <w:highlight w:val="none"/>
                <w:lang w:val="zh-CN"/>
              </w:rPr>
            </w:pPr>
            <w:r>
              <w:rPr>
                <w:rFonts w:hint="eastAsia" w:hAnsi="宋体" w:cs="宋体"/>
                <w:color w:val="auto"/>
                <w:sz w:val="21"/>
                <w:szCs w:val="21"/>
                <w:highlight w:val="none"/>
              </w:rPr>
              <w:t>技术条款响应情况</w:t>
            </w:r>
          </w:p>
        </w:tc>
        <w:tc>
          <w:tcPr>
            <w:tcW w:w="827" w:type="dxa"/>
            <w:vAlign w:val="center"/>
          </w:tcPr>
          <w:p>
            <w:pPr>
              <w:widowControl/>
              <w:spacing w:line="360" w:lineRule="auto"/>
              <w:jc w:val="center"/>
              <w:rPr>
                <w:rFonts w:hAnsi="宋体" w:cs="宋体"/>
                <w:color w:val="auto"/>
                <w:sz w:val="21"/>
                <w:szCs w:val="21"/>
                <w:highlight w:val="none"/>
              </w:rPr>
            </w:pPr>
            <w:r>
              <w:rPr>
                <w:rFonts w:hint="eastAsia" w:hAnsi="宋体" w:cs="宋体"/>
                <w:color w:val="auto"/>
                <w:sz w:val="21"/>
                <w:szCs w:val="21"/>
                <w:highlight w:val="none"/>
              </w:rPr>
              <w:t>8分</w:t>
            </w:r>
          </w:p>
        </w:tc>
        <w:tc>
          <w:tcPr>
            <w:tcW w:w="5470" w:type="dxa"/>
            <w:vAlign w:val="center"/>
          </w:tcPr>
          <w:p>
            <w:pPr>
              <w:spacing w:line="360" w:lineRule="auto"/>
              <w:ind w:left="6"/>
              <w:rPr>
                <w:rFonts w:hAnsi="宋体" w:cs="宋体"/>
                <w:b/>
                <w:color w:val="auto"/>
                <w:sz w:val="21"/>
                <w:szCs w:val="21"/>
                <w:highlight w:val="none"/>
              </w:rPr>
            </w:pPr>
            <w:r>
              <w:rPr>
                <w:rFonts w:hint="eastAsia" w:hAnsi="宋体" w:cs="宋体"/>
                <w:color w:val="auto"/>
                <w:sz w:val="21"/>
                <w:szCs w:val="21"/>
                <w:highlight w:val="none"/>
              </w:rPr>
              <w:t>根据供应商对采购需求中带“▲”技术要求条款的响应情况进行评审，若全部响应为满足或优于的得8分，不满足或者不响应的每一个扣1分，扣完为止，本项最低得0分。</w:t>
            </w:r>
          </w:p>
          <w:p>
            <w:pPr>
              <w:spacing w:line="360" w:lineRule="auto"/>
              <w:rPr>
                <w:rFonts w:hAnsi="宋体" w:cs="宋体"/>
                <w:color w:val="auto"/>
                <w:sz w:val="21"/>
                <w:szCs w:val="21"/>
                <w:highlight w:val="none"/>
                <w:lang w:val="zh-CN"/>
              </w:rPr>
            </w:pPr>
            <w:r>
              <w:rPr>
                <w:rFonts w:hint="eastAsia" w:hAnsi="宋体" w:cs="宋体"/>
                <w:b/>
                <w:color w:val="auto"/>
                <w:sz w:val="21"/>
                <w:szCs w:val="21"/>
                <w:highlight w:val="none"/>
                <w:u w:val="single"/>
              </w:rPr>
              <w:t>注：以采购需求中要求提供的材料为准，须提供证明材料复印件加盖供应商公章。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789" w:type="dxa"/>
            <w:vAlign w:val="center"/>
          </w:tcPr>
          <w:p>
            <w:pPr>
              <w:spacing w:before="24" w:beforeLines="10" w:after="72" w:afterLines="30" w:line="360" w:lineRule="auto"/>
              <w:jc w:val="center"/>
              <w:rPr>
                <w:rFonts w:hAnsi="宋体" w:cs="宋体"/>
                <w:color w:val="auto"/>
                <w:sz w:val="21"/>
                <w:szCs w:val="21"/>
                <w:highlight w:val="none"/>
              </w:rPr>
            </w:pPr>
            <w:r>
              <w:rPr>
                <w:rFonts w:hint="eastAsia" w:hAnsi="宋体" w:cs="宋体"/>
                <w:color w:val="auto"/>
                <w:sz w:val="21"/>
                <w:szCs w:val="21"/>
                <w:highlight w:val="none"/>
              </w:rPr>
              <w:t>2</w:t>
            </w:r>
          </w:p>
        </w:tc>
        <w:tc>
          <w:tcPr>
            <w:tcW w:w="1327" w:type="dxa"/>
            <w:vAlign w:val="center"/>
          </w:tcPr>
          <w:p>
            <w:pPr>
              <w:spacing w:line="360" w:lineRule="auto"/>
              <w:jc w:val="center"/>
              <w:rPr>
                <w:rFonts w:hAnsi="宋体" w:cs="宋体"/>
                <w:color w:val="auto"/>
                <w:sz w:val="21"/>
                <w:szCs w:val="21"/>
                <w:highlight w:val="none"/>
                <w:lang w:val="zh-CN"/>
              </w:rPr>
            </w:pPr>
            <w:r>
              <w:rPr>
                <w:rFonts w:hint="eastAsia" w:hAnsi="宋体" w:cs="宋体"/>
                <w:color w:val="auto"/>
                <w:sz w:val="21"/>
                <w:szCs w:val="21"/>
                <w:highlight w:val="none"/>
              </w:rPr>
              <w:t>项目实施方案</w:t>
            </w:r>
          </w:p>
        </w:tc>
        <w:tc>
          <w:tcPr>
            <w:tcW w:w="827" w:type="dxa"/>
            <w:vAlign w:val="center"/>
          </w:tcPr>
          <w:p>
            <w:pPr>
              <w:widowControl/>
              <w:spacing w:line="360" w:lineRule="auto"/>
              <w:jc w:val="center"/>
              <w:rPr>
                <w:rFonts w:hAnsi="宋体" w:cs="宋体"/>
                <w:color w:val="auto"/>
                <w:sz w:val="21"/>
                <w:szCs w:val="21"/>
                <w:highlight w:val="none"/>
              </w:rPr>
            </w:pPr>
            <w:r>
              <w:rPr>
                <w:rFonts w:hint="eastAsia" w:hAnsi="宋体" w:cs="宋体"/>
                <w:color w:val="auto"/>
                <w:sz w:val="21"/>
                <w:szCs w:val="21"/>
                <w:highlight w:val="none"/>
              </w:rPr>
              <w:t>6</w:t>
            </w:r>
            <w:r>
              <w:rPr>
                <w:rFonts w:hint="eastAsia" w:hAnsi="宋体" w:cs="宋体"/>
                <w:color w:val="auto"/>
                <w:sz w:val="21"/>
                <w:szCs w:val="21"/>
                <w:highlight w:val="none"/>
                <w:lang w:val="zh-CN"/>
              </w:rPr>
              <w:t>分</w:t>
            </w:r>
          </w:p>
        </w:tc>
        <w:tc>
          <w:tcPr>
            <w:tcW w:w="5470" w:type="dxa"/>
            <w:vAlign w:val="center"/>
          </w:tcPr>
          <w:p>
            <w:pPr>
              <w:spacing w:line="360" w:lineRule="auto"/>
              <w:rPr>
                <w:rFonts w:hAnsi="宋体" w:cs="宋体"/>
                <w:color w:val="auto"/>
                <w:sz w:val="21"/>
                <w:szCs w:val="21"/>
                <w:highlight w:val="none"/>
              </w:rPr>
            </w:pPr>
            <w:r>
              <w:rPr>
                <w:rFonts w:hint="eastAsia" w:hAnsi="宋体" w:cs="宋体"/>
                <w:color w:val="auto"/>
                <w:sz w:val="21"/>
                <w:szCs w:val="21"/>
                <w:highlight w:val="none"/>
              </w:rPr>
              <w:t>根据供应商提供的项目实施方案（包括不限于施工</w:t>
            </w:r>
            <w:r>
              <w:rPr>
                <w:rFonts w:hint="eastAsia" w:hAnsi="宋体" w:cs="宋体"/>
                <w:bCs/>
                <w:color w:val="auto"/>
                <w:sz w:val="21"/>
                <w:szCs w:val="21"/>
                <w:highlight w:val="none"/>
              </w:rPr>
              <w:t>进度安排、项目验收方案、货物运输及保护措施、</w:t>
            </w:r>
            <w:r>
              <w:rPr>
                <w:rFonts w:hint="eastAsia" w:hAnsi="宋体" w:cs="宋体"/>
                <w:color w:val="auto"/>
                <w:sz w:val="21"/>
                <w:szCs w:val="21"/>
                <w:highlight w:val="none"/>
              </w:rPr>
              <w:t>安装调试方案、）进行评审：</w:t>
            </w:r>
          </w:p>
          <w:p>
            <w:pPr>
              <w:spacing w:line="360" w:lineRule="auto"/>
              <w:rPr>
                <w:rFonts w:hAnsi="宋体" w:cs="宋体"/>
                <w:color w:val="auto"/>
                <w:sz w:val="21"/>
                <w:szCs w:val="21"/>
                <w:highlight w:val="none"/>
              </w:rPr>
            </w:pPr>
            <w:r>
              <w:rPr>
                <w:rFonts w:hint="eastAsia" w:hAnsi="宋体" w:cs="宋体"/>
                <w:color w:val="auto"/>
                <w:sz w:val="21"/>
                <w:szCs w:val="21"/>
                <w:highlight w:val="none"/>
              </w:rPr>
              <w:t>①针对本项目特征制定的实施方案的可靠性、可行性、安全性非常高的，进度计划安排非常科学合理，可行性强的，得6分；</w:t>
            </w:r>
          </w:p>
          <w:p>
            <w:pPr>
              <w:spacing w:line="360" w:lineRule="auto"/>
              <w:rPr>
                <w:rFonts w:hAnsi="宋体" w:cs="宋体"/>
                <w:color w:val="auto"/>
                <w:sz w:val="21"/>
                <w:szCs w:val="21"/>
                <w:highlight w:val="none"/>
              </w:rPr>
            </w:pPr>
            <w:r>
              <w:rPr>
                <w:rFonts w:hint="eastAsia" w:hAnsi="宋体" w:cs="宋体"/>
                <w:color w:val="auto"/>
                <w:sz w:val="21"/>
                <w:szCs w:val="21"/>
                <w:highlight w:val="none"/>
              </w:rPr>
              <w:t>②针对本项目特征制定的实施方案的可靠性、可行性、安全性比较高的，进度计划安排比较科学合理，可行性较强的，得4分；</w:t>
            </w:r>
          </w:p>
          <w:p>
            <w:pPr>
              <w:spacing w:line="360" w:lineRule="auto"/>
              <w:rPr>
                <w:rFonts w:hAnsi="宋体" w:cs="宋体"/>
                <w:color w:val="auto"/>
                <w:sz w:val="21"/>
                <w:szCs w:val="21"/>
                <w:highlight w:val="none"/>
              </w:rPr>
            </w:pPr>
            <w:r>
              <w:rPr>
                <w:rFonts w:hint="eastAsia" w:hAnsi="宋体" w:cs="宋体"/>
                <w:color w:val="auto"/>
                <w:sz w:val="21"/>
                <w:szCs w:val="21"/>
                <w:highlight w:val="none"/>
              </w:rPr>
              <w:t>③针对本项目特征制定的实施方案的可靠性、可行性、安全性一般的，进度计划安排基本科学合理，可行性一般的，得2分；</w:t>
            </w:r>
          </w:p>
          <w:p>
            <w:pPr>
              <w:spacing w:line="360" w:lineRule="auto"/>
              <w:rPr>
                <w:rFonts w:hAnsi="宋体" w:cs="宋体"/>
                <w:color w:val="auto"/>
                <w:sz w:val="21"/>
                <w:szCs w:val="21"/>
                <w:highlight w:val="none"/>
              </w:rPr>
            </w:pPr>
            <w:r>
              <w:rPr>
                <w:rFonts w:hint="eastAsia" w:hAnsi="宋体" w:cs="宋体"/>
                <w:color w:val="auto"/>
                <w:sz w:val="21"/>
                <w:szCs w:val="21"/>
                <w:highlight w:val="none"/>
              </w:rPr>
              <w:t>④针对本项目特征制定的实施方案的可靠性、可行性、安全性较差的，进度计划安排比较简单，可行性较差的，得1分；</w:t>
            </w:r>
          </w:p>
          <w:p>
            <w:pPr>
              <w:spacing w:line="360" w:lineRule="auto"/>
              <w:rPr>
                <w:rFonts w:hAnsi="宋体" w:cs="宋体"/>
                <w:color w:val="auto"/>
                <w:sz w:val="21"/>
                <w:szCs w:val="21"/>
                <w:highlight w:val="none"/>
                <w:lang w:val="zh-CN"/>
              </w:rPr>
            </w:pPr>
            <w:r>
              <w:rPr>
                <w:rFonts w:hint="eastAsia" w:hAnsi="宋体" w:cs="宋体"/>
                <w:color w:val="auto"/>
                <w:sz w:val="21"/>
                <w:szCs w:val="21"/>
                <w:highlight w:val="none"/>
              </w:rPr>
              <w:t>⑤未提供对应方案的不得分。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789" w:type="dxa"/>
            <w:vAlign w:val="center"/>
          </w:tcPr>
          <w:p>
            <w:pPr>
              <w:spacing w:before="24" w:beforeLines="10" w:after="72" w:afterLines="30" w:line="360" w:lineRule="auto"/>
              <w:jc w:val="center"/>
              <w:rPr>
                <w:rFonts w:hAnsi="宋体" w:cs="宋体"/>
                <w:color w:val="auto"/>
                <w:sz w:val="21"/>
                <w:szCs w:val="21"/>
                <w:highlight w:val="none"/>
              </w:rPr>
            </w:pPr>
            <w:r>
              <w:rPr>
                <w:rFonts w:hint="eastAsia" w:hAnsi="宋体" w:cs="宋体"/>
                <w:color w:val="auto"/>
                <w:sz w:val="21"/>
                <w:szCs w:val="21"/>
                <w:highlight w:val="none"/>
              </w:rPr>
              <w:t>3</w:t>
            </w:r>
          </w:p>
        </w:tc>
        <w:tc>
          <w:tcPr>
            <w:tcW w:w="1327" w:type="dxa"/>
            <w:vAlign w:val="center"/>
          </w:tcPr>
          <w:p>
            <w:pPr>
              <w:spacing w:line="360" w:lineRule="auto"/>
              <w:jc w:val="center"/>
              <w:rPr>
                <w:rFonts w:hAnsi="宋体" w:cs="宋体"/>
                <w:color w:val="auto"/>
                <w:sz w:val="21"/>
                <w:szCs w:val="21"/>
                <w:highlight w:val="none"/>
                <w:lang w:val="zh-CN"/>
              </w:rPr>
            </w:pPr>
            <w:r>
              <w:rPr>
                <w:rFonts w:hint="eastAsia" w:hAnsi="宋体" w:cs="宋体"/>
                <w:color w:val="auto"/>
                <w:sz w:val="21"/>
                <w:szCs w:val="21"/>
                <w:highlight w:val="none"/>
              </w:rPr>
              <w:t>货物质量可靠性</w:t>
            </w:r>
          </w:p>
        </w:tc>
        <w:tc>
          <w:tcPr>
            <w:tcW w:w="827" w:type="dxa"/>
            <w:vAlign w:val="center"/>
          </w:tcPr>
          <w:p>
            <w:pPr>
              <w:pStyle w:val="150"/>
              <w:keepNext w:val="0"/>
              <w:tabs>
                <w:tab w:val="left" w:pos="585"/>
                <w:tab w:val="left" w:pos="680"/>
              </w:tabs>
              <w:spacing w:after="48" w:line="360" w:lineRule="auto"/>
              <w:jc w:val="center"/>
              <w:rPr>
                <w:rFonts w:ascii="宋体" w:hAnsi="宋体" w:cs="宋体"/>
                <w:color w:val="auto"/>
                <w:szCs w:val="21"/>
                <w:highlight w:val="none"/>
              </w:rPr>
            </w:pPr>
            <w:r>
              <w:rPr>
                <w:rFonts w:hint="eastAsia" w:ascii="宋体" w:hAnsi="宋体" w:cs="宋体"/>
                <w:color w:val="auto"/>
                <w:szCs w:val="21"/>
                <w:highlight w:val="none"/>
              </w:rPr>
              <w:t>6分</w:t>
            </w:r>
          </w:p>
        </w:tc>
        <w:tc>
          <w:tcPr>
            <w:tcW w:w="5470" w:type="dxa"/>
            <w:vAlign w:val="center"/>
          </w:tcPr>
          <w:p>
            <w:pPr>
              <w:spacing w:line="360" w:lineRule="auto"/>
              <w:rPr>
                <w:rFonts w:hAnsi="宋体" w:cs="宋体"/>
                <w:color w:val="auto"/>
                <w:sz w:val="21"/>
                <w:szCs w:val="21"/>
                <w:highlight w:val="none"/>
              </w:rPr>
            </w:pPr>
            <w:r>
              <w:rPr>
                <w:rFonts w:hint="eastAsia" w:hAnsi="宋体" w:cs="宋体"/>
                <w:color w:val="auto"/>
                <w:sz w:val="21"/>
                <w:szCs w:val="21"/>
                <w:highlight w:val="none"/>
              </w:rPr>
              <w:t>根据投标人货物质量可靠性等情况进行综合评价：</w:t>
            </w:r>
          </w:p>
          <w:p>
            <w:pPr>
              <w:spacing w:line="360" w:lineRule="auto"/>
              <w:rPr>
                <w:rFonts w:hAnsi="宋体" w:cs="宋体"/>
                <w:color w:val="auto"/>
                <w:sz w:val="21"/>
                <w:szCs w:val="21"/>
                <w:highlight w:val="none"/>
              </w:rPr>
            </w:pPr>
            <w:r>
              <w:rPr>
                <w:rFonts w:hint="eastAsia" w:hAnsi="宋体" w:cs="宋体"/>
                <w:color w:val="auto"/>
                <w:sz w:val="21"/>
                <w:szCs w:val="21"/>
                <w:highlight w:val="none"/>
              </w:rPr>
              <w:t>①投标货物的质量可靠性高，货物制造技术、制造设备、生产工艺达到行业内高水平，使用材料与部件等方面行业高质量，得6分；</w:t>
            </w:r>
          </w:p>
          <w:p>
            <w:pPr>
              <w:spacing w:line="360" w:lineRule="auto"/>
              <w:rPr>
                <w:rFonts w:hAnsi="宋体" w:cs="宋体"/>
                <w:color w:val="auto"/>
                <w:sz w:val="21"/>
                <w:szCs w:val="21"/>
                <w:highlight w:val="none"/>
              </w:rPr>
            </w:pPr>
            <w:r>
              <w:rPr>
                <w:rFonts w:hint="eastAsia" w:hAnsi="宋体" w:cs="宋体"/>
                <w:color w:val="auto"/>
                <w:sz w:val="21"/>
                <w:szCs w:val="21"/>
                <w:highlight w:val="none"/>
              </w:rPr>
              <w:t>②投标货物的质量可靠性较高，货物制造技术、制造设备、生产工艺达到行业内较高水平，使用材料与部件等方面行业较高质量，得3分；</w:t>
            </w:r>
          </w:p>
          <w:p>
            <w:pPr>
              <w:spacing w:line="360" w:lineRule="auto"/>
              <w:rPr>
                <w:rFonts w:hAnsi="宋体" w:cs="宋体"/>
                <w:color w:val="auto"/>
                <w:sz w:val="21"/>
                <w:szCs w:val="21"/>
                <w:highlight w:val="none"/>
              </w:rPr>
            </w:pPr>
            <w:r>
              <w:rPr>
                <w:rFonts w:hint="eastAsia" w:hAnsi="宋体" w:cs="宋体"/>
                <w:color w:val="auto"/>
                <w:sz w:val="21"/>
                <w:szCs w:val="21"/>
                <w:highlight w:val="none"/>
              </w:rPr>
              <w:t>③投标货物的质量可靠性一般，货物制造技术、制造设备、生产工艺一般，使用材料与部件等方面质量一般，得1分；</w:t>
            </w:r>
          </w:p>
          <w:p>
            <w:pPr>
              <w:spacing w:before="24" w:beforeLines="10" w:after="30" w:line="360" w:lineRule="auto"/>
              <w:rPr>
                <w:rFonts w:hAnsi="宋体" w:cs="宋体"/>
                <w:color w:val="auto"/>
                <w:sz w:val="21"/>
                <w:szCs w:val="21"/>
                <w:highlight w:val="none"/>
                <w:lang w:val="zh-CN"/>
              </w:rPr>
            </w:pPr>
            <w:r>
              <w:rPr>
                <w:rFonts w:hint="eastAsia" w:hAnsi="宋体" w:cs="宋体"/>
                <w:color w:val="auto"/>
                <w:sz w:val="21"/>
                <w:szCs w:val="21"/>
                <w:highlight w:val="none"/>
              </w:rPr>
              <w:t>④未提供项目方案的不得分。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89" w:type="dxa"/>
            <w:vAlign w:val="center"/>
          </w:tcPr>
          <w:p>
            <w:pPr>
              <w:spacing w:before="24" w:beforeLines="10" w:after="72" w:afterLines="30" w:line="360" w:lineRule="auto"/>
              <w:jc w:val="center"/>
              <w:rPr>
                <w:rFonts w:hAnsi="宋体" w:cs="宋体"/>
                <w:color w:val="auto"/>
                <w:sz w:val="21"/>
                <w:szCs w:val="21"/>
                <w:highlight w:val="none"/>
              </w:rPr>
            </w:pPr>
            <w:r>
              <w:rPr>
                <w:rFonts w:hint="eastAsia" w:hAnsi="宋体" w:cs="宋体"/>
                <w:color w:val="auto"/>
                <w:sz w:val="21"/>
                <w:szCs w:val="21"/>
                <w:highlight w:val="none"/>
              </w:rPr>
              <w:t>4</w:t>
            </w:r>
          </w:p>
        </w:tc>
        <w:tc>
          <w:tcPr>
            <w:tcW w:w="1327" w:type="dxa"/>
            <w:vAlign w:val="center"/>
          </w:tcPr>
          <w:p>
            <w:pPr>
              <w:spacing w:line="360" w:lineRule="auto"/>
              <w:jc w:val="center"/>
              <w:rPr>
                <w:rFonts w:hAnsi="宋体" w:cs="宋体"/>
                <w:bCs/>
                <w:color w:val="auto"/>
                <w:sz w:val="21"/>
                <w:szCs w:val="21"/>
                <w:highlight w:val="none"/>
              </w:rPr>
            </w:pPr>
            <w:r>
              <w:rPr>
                <w:rFonts w:hint="eastAsia" w:hAnsi="宋体" w:cs="宋体"/>
                <w:color w:val="auto"/>
                <w:sz w:val="21"/>
                <w:szCs w:val="21"/>
                <w:highlight w:val="none"/>
                <w:lang w:bidi="ar"/>
              </w:rPr>
              <w:t>质量保证措施方案</w:t>
            </w:r>
          </w:p>
        </w:tc>
        <w:tc>
          <w:tcPr>
            <w:tcW w:w="827" w:type="dxa"/>
            <w:vAlign w:val="center"/>
          </w:tcPr>
          <w:p>
            <w:pPr>
              <w:widowControl/>
              <w:spacing w:line="360" w:lineRule="auto"/>
              <w:jc w:val="center"/>
              <w:rPr>
                <w:rFonts w:hAnsi="宋体" w:cs="宋体"/>
                <w:color w:val="auto"/>
                <w:sz w:val="21"/>
                <w:szCs w:val="21"/>
                <w:highlight w:val="none"/>
              </w:rPr>
            </w:pPr>
            <w:r>
              <w:rPr>
                <w:rFonts w:hint="eastAsia" w:hAnsi="宋体" w:cs="宋体"/>
                <w:color w:val="auto"/>
                <w:sz w:val="21"/>
                <w:szCs w:val="21"/>
                <w:highlight w:val="none"/>
              </w:rPr>
              <w:t>6</w:t>
            </w:r>
            <w:r>
              <w:rPr>
                <w:rFonts w:hint="eastAsia" w:hAnsi="宋体" w:cs="宋体"/>
                <w:color w:val="auto"/>
                <w:sz w:val="21"/>
                <w:szCs w:val="21"/>
                <w:highlight w:val="none"/>
                <w:lang w:val="zh-CN"/>
              </w:rPr>
              <w:t>分</w:t>
            </w:r>
          </w:p>
        </w:tc>
        <w:tc>
          <w:tcPr>
            <w:tcW w:w="5470" w:type="dxa"/>
            <w:vAlign w:val="center"/>
          </w:tcPr>
          <w:p>
            <w:pPr>
              <w:spacing w:line="360" w:lineRule="auto"/>
              <w:rPr>
                <w:rFonts w:hAnsi="宋体" w:cs="宋体"/>
                <w:color w:val="auto"/>
                <w:sz w:val="21"/>
                <w:szCs w:val="21"/>
                <w:highlight w:val="none"/>
              </w:rPr>
            </w:pPr>
            <w:r>
              <w:rPr>
                <w:rFonts w:hint="eastAsia" w:hAnsi="宋体" w:cs="宋体"/>
                <w:color w:val="auto"/>
                <w:sz w:val="21"/>
                <w:szCs w:val="21"/>
                <w:highlight w:val="none"/>
              </w:rPr>
              <w:t>根据供应商提供质量保证措施方案（包括但不限于质量目标、项目质量的控制、质量保证措施等）进行评审：</w:t>
            </w:r>
          </w:p>
          <w:p>
            <w:pPr>
              <w:spacing w:line="360" w:lineRule="auto"/>
              <w:rPr>
                <w:rFonts w:hAnsi="宋体" w:cs="宋体"/>
                <w:color w:val="auto"/>
                <w:spacing w:val="-2"/>
                <w:sz w:val="21"/>
                <w:szCs w:val="21"/>
                <w:highlight w:val="none"/>
              </w:rPr>
            </w:pPr>
            <w:r>
              <w:rPr>
                <w:rFonts w:hint="eastAsia" w:hAnsi="宋体" w:cs="宋体"/>
                <w:color w:val="auto"/>
                <w:spacing w:val="-2"/>
                <w:sz w:val="21"/>
                <w:szCs w:val="21"/>
                <w:highlight w:val="none"/>
              </w:rPr>
              <w:t>①质量目标非常明确、对项目质量的控制非常详细、检验手段非常科学，</w:t>
            </w:r>
            <w:r>
              <w:rPr>
                <w:rFonts w:hint="eastAsia" w:hAnsi="宋体" w:cs="宋体"/>
                <w:color w:val="auto"/>
                <w:sz w:val="21"/>
                <w:szCs w:val="21"/>
                <w:highlight w:val="none"/>
              </w:rPr>
              <w:t>质量保证措施非常具体，可行的，</w:t>
            </w:r>
            <w:r>
              <w:rPr>
                <w:rFonts w:hint="eastAsia" w:hAnsi="宋体" w:cs="宋体"/>
                <w:color w:val="auto"/>
                <w:spacing w:val="-2"/>
                <w:sz w:val="21"/>
                <w:szCs w:val="21"/>
                <w:highlight w:val="none"/>
              </w:rPr>
              <w:t>得6分；</w:t>
            </w:r>
          </w:p>
          <w:p>
            <w:pPr>
              <w:spacing w:line="360" w:lineRule="auto"/>
              <w:rPr>
                <w:rFonts w:hAnsi="宋体" w:cs="宋体"/>
                <w:color w:val="auto"/>
                <w:sz w:val="21"/>
                <w:szCs w:val="21"/>
                <w:highlight w:val="none"/>
              </w:rPr>
            </w:pPr>
            <w:r>
              <w:rPr>
                <w:rFonts w:hint="eastAsia" w:hAnsi="宋体" w:cs="宋体"/>
                <w:color w:val="auto"/>
                <w:sz w:val="21"/>
                <w:szCs w:val="21"/>
                <w:highlight w:val="none"/>
              </w:rPr>
              <w:t>②质量目标比较明确、对项目质量的控制较为详细、检验手段比较科学，质量保证措施比较具体，可行的，得3分；</w:t>
            </w:r>
          </w:p>
          <w:p>
            <w:pPr>
              <w:spacing w:line="360" w:lineRule="auto"/>
              <w:rPr>
                <w:rFonts w:hAnsi="宋体" w:cs="宋体"/>
                <w:color w:val="auto"/>
                <w:sz w:val="21"/>
                <w:szCs w:val="21"/>
                <w:highlight w:val="none"/>
              </w:rPr>
            </w:pPr>
            <w:r>
              <w:rPr>
                <w:rFonts w:hint="eastAsia" w:hAnsi="宋体" w:cs="宋体"/>
                <w:color w:val="auto"/>
                <w:sz w:val="21"/>
                <w:szCs w:val="21"/>
                <w:highlight w:val="none"/>
              </w:rPr>
              <w:t>③质量目标基本明确、对项目质量的控制详细程度一般、检验手段科学性较差，质量保证措施不够具体，可行性较差的，得1分；</w:t>
            </w:r>
          </w:p>
          <w:p>
            <w:pPr>
              <w:spacing w:line="360" w:lineRule="auto"/>
              <w:rPr>
                <w:rFonts w:hAnsi="宋体" w:cs="宋体"/>
                <w:color w:val="auto"/>
                <w:sz w:val="21"/>
                <w:szCs w:val="21"/>
                <w:highlight w:val="none"/>
              </w:rPr>
            </w:pPr>
            <w:r>
              <w:rPr>
                <w:rFonts w:hint="eastAsia" w:hAnsi="宋体" w:cs="宋体"/>
                <w:color w:val="auto"/>
                <w:sz w:val="21"/>
                <w:szCs w:val="21"/>
                <w:highlight w:val="none"/>
              </w:rPr>
              <w:t>④未提供对应方案的不得分。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89" w:type="dxa"/>
            <w:vAlign w:val="center"/>
          </w:tcPr>
          <w:p>
            <w:pPr>
              <w:spacing w:before="24" w:beforeLines="10" w:after="72" w:afterLines="30" w:line="360" w:lineRule="auto"/>
              <w:jc w:val="center"/>
              <w:rPr>
                <w:rFonts w:hAnsi="宋体" w:cs="宋体"/>
                <w:color w:val="auto"/>
                <w:sz w:val="21"/>
                <w:szCs w:val="21"/>
                <w:highlight w:val="none"/>
              </w:rPr>
            </w:pPr>
            <w:r>
              <w:rPr>
                <w:rFonts w:hint="eastAsia" w:hAnsi="宋体" w:cs="宋体"/>
                <w:color w:val="auto"/>
                <w:sz w:val="21"/>
                <w:szCs w:val="21"/>
                <w:highlight w:val="none"/>
              </w:rPr>
              <w:t>5</w:t>
            </w:r>
          </w:p>
        </w:tc>
        <w:tc>
          <w:tcPr>
            <w:tcW w:w="1327" w:type="dxa"/>
            <w:vAlign w:val="center"/>
          </w:tcPr>
          <w:p>
            <w:pPr>
              <w:spacing w:line="360" w:lineRule="auto"/>
              <w:jc w:val="center"/>
              <w:rPr>
                <w:rFonts w:hAnsi="宋体" w:cs="宋体"/>
                <w:bCs/>
                <w:color w:val="auto"/>
                <w:sz w:val="21"/>
                <w:szCs w:val="21"/>
                <w:highlight w:val="none"/>
              </w:rPr>
            </w:pPr>
            <w:r>
              <w:rPr>
                <w:rFonts w:hint="eastAsia" w:hAnsi="宋体" w:cs="宋体"/>
                <w:color w:val="auto"/>
                <w:sz w:val="21"/>
                <w:szCs w:val="21"/>
                <w:highlight w:val="none"/>
              </w:rPr>
              <w:t>售后服务方案</w:t>
            </w:r>
          </w:p>
        </w:tc>
        <w:tc>
          <w:tcPr>
            <w:tcW w:w="827" w:type="dxa"/>
            <w:vAlign w:val="center"/>
          </w:tcPr>
          <w:p>
            <w:pPr>
              <w:widowControl/>
              <w:spacing w:line="360" w:lineRule="auto"/>
              <w:jc w:val="center"/>
              <w:rPr>
                <w:rFonts w:hAnsi="宋体" w:cs="宋体"/>
                <w:color w:val="auto"/>
                <w:sz w:val="21"/>
                <w:szCs w:val="21"/>
                <w:highlight w:val="none"/>
              </w:rPr>
            </w:pPr>
            <w:r>
              <w:rPr>
                <w:rFonts w:hint="eastAsia" w:hAnsi="宋体" w:cs="宋体"/>
                <w:color w:val="auto"/>
                <w:sz w:val="21"/>
                <w:szCs w:val="21"/>
                <w:highlight w:val="none"/>
              </w:rPr>
              <w:t>4分</w:t>
            </w:r>
          </w:p>
        </w:tc>
        <w:tc>
          <w:tcPr>
            <w:tcW w:w="5470" w:type="dxa"/>
            <w:vAlign w:val="center"/>
          </w:tcPr>
          <w:p>
            <w:pPr>
              <w:pStyle w:val="150"/>
              <w:keepNext w:val="0"/>
              <w:tabs>
                <w:tab w:val="left" w:pos="585"/>
                <w:tab w:val="left" w:pos="680"/>
              </w:tabs>
              <w:spacing w:after="0" w:line="360" w:lineRule="auto"/>
              <w:rPr>
                <w:rFonts w:ascii="宋体" w:hAnsi="宋体" w:cs="宋体"/>
                <w:color w:val="auto"/>
                <w:kern w:val="0"/>
                <w:szCs w:val="21"/>
                <w:highlight w:val="none"/>
              </w:rPr>
            </w:pPr>
            <w:r>
              <w:rPr>
                <w:rFonts w:hint="eastAsia" w:ascii="宋体" w:hAnsi="宋体" w:cs="宋体"/>
                <w:color w:val="auto"/>
                <w:szCs w:val="21"/>
                <w:highlight w:val="none"/>
              </w:rPr>
              <w:t>根据供应商提供的售后服务方案（包括不限于</w:t>
            </w:r>
            <w:r>
              <w:rPr>
                <w:rFonts w:hint="eastAsia" w:ascii="宋体" w:hAnsi="宋体" w:cs="宋体"/>
                <w:bCs/>
                <w:color w:val="auto"/>
                <w:szCs w:val="21"/>
                <w:highlight w:val="none"/>
              </w:rPr>
              <w:t>质保期、应急维修时间安排、质保期外的维修服务收费标准、售后服务人员配置安排</w:t>
            </w:r>
            <w:r>
              <w:rPr>
                <w:rFonts w:hint="eastAsia" w:ascii="宋体" w:hAnsi="宋体" w:cs="宋体"/>
                <w:color w:val="auto"/>
                <w:szCs w:val="21"/>
                <w:highlight w:val="none"/>
              </w:rPr>
              <w:t>）进行评审：</w:t>
            </w:r>
          </w:p>
          <w:p>
            <w:pPr>
              <w:pStyle w:val="150"/>
              <w:keepNext w:val="0"/>
              <w:tabs>
                <w:tab w:val="left" w:pos="585"/>
                <w:tab w:val="left" w:pos="680"/>
              </w:tabs>
              <w:spacing w:after="0" w:line="360" w:lineRule="auto"/>
              <w:rPr>
                <w:rFonts w:ascii="宋体" w:hAnsi="宋体" w:cs="宋体"/>
                <w:color w:val="auto"/>
                <w:szCs w:val="21"/>
                <w:highlight w:val="none"/>
              </w:rPr>
            </w:pPr>
            <w:r>
              <w:rPr>
                <w:rFonts w:hint="eastAsia" w:ascii="宋体" w:hAnsi="宋体" w:cs="宋体"/>
                <w:color w:val="auto"/>
                <w:szCs w:val="21"/>
                <w:highlight w:val="none"/>
              </w:rPr>
              <w:t>①</w:t>
            </w:r>
            <w:r>
              <w:rPr>
                <w:rFonts w:hint="eastAsia" w:ascii="宋体" w:hAnsi="宋体" w:cs="宋体"/>
                <w:bCs/>
                <w:color w:val="auto"/>
                <w:szCs w:val="21"/>
                <w:highlight w:val="none"/>
              </w:rPr>
              <w:t>质保期完全</w:t>
            </w:r>
            <w:r>
              <w:rPr>
                <w:rFonts w:hint="eastAsia" w:ascii="宋体" w:hAnsi="宋体" w:cs="宋体"/>
                <w:color w:val="auto"/>
                <w:szCs w:val="21"/>
                <w:highlight w:val="none"/>
              </w:rPr>
              <w:t>满足或承诺优于采购需求，售后方案非常具体详细，应急维修响应非常迅速，</w:t>
            </w:r>
            <w:r>
              <w:rPr>
                <w:rFonts w:hint="eastAsia" w:ascii="宋体" w:hAnsi="宋体" w:cs="宋体"/>
                <w:bCs/>
                <w:color w:val="auto"/>
                <w:szCs w:val="21"/>
                <w:highlight w:val="none"/>
              </w:rPr>
              <w:t>质保期外的维修服务收费标准非常明确，服务人员配置安排非常合理、可行的，得4分；</w:t>
            </w:r>
          </w:p>
          <w:p>
            <w:pPr>
              <w:pStyle w:val="150"/>
              <w:keepNext w:val="0"/>
              <w:tabs>
                <w:tab w:val="left" w:pos="585"/>
                <w:tab w:val="left" w:pos="680"/>
              </w:tabs>
              <w:spacing w:after="0" w:line="360" w:lineRule="auto"/>
              <w:rPr>
                <w:rFonts w:ascii="宋体" w:hAnsi="宋体" w:cs="宋体"/>
                <w:color w:val="auto"/>
                <w:szCs w:val="21"/>
                <w:highlight w:val="none"/>
              </w:rPr>
            </w:pPr>
            <w:r>
              <w:rPr>
                <w:rFonts w:hint="eastAsia" w:ascii="宋体" w:hAnsi="宋体" w:cs="宋体"/>
                <w:color w:val="auto"/>
                <w:szCs w:val="21"/>
                <w:highlight w:val="none"/>
              </w:rPr>
              <w:t>②</w:t>
            </w:r>
            <w:r>
              <w:rPr>
                <w:rFonts w:hint="eastAsia" w:ascii="宋体" w:hAnsi="宋体" w:cs="宋体"/>
                <w:bCs/>
                <w:color w:val="auto"/>
                <w:szCs w:val="21"/>
                <w:highlight w:val="none"/>
              </w:rPr>
              <w:t>质保期</w:t>
            </w:r>
            <w:r>
              <w:rPr>
                <w:rFonts w:hint="eastAsia" w:ascii="宋体" w:hAnsi="宋体" w:cs="宋体"/>
                <w:color w:val="auto"/>
                <w:szCs w:val="21"/>
                <w:highlight w:val="none"/>
              </w:rPr>
              <w:t>满足采购需求，售后方案比较具体详细，应急维修响应迅速，</w:t>
            </w:r>
            <w:r>
              <w:rPr>
                <w:rFonts w:hint="eastAsia" w:ascii="宋体" w:hAnsi="宋体" w:cs="宋体"/>
                <w:bCs/>
                <w:color w:val="auto"/>
                <w:szCs w:val="21"/>
                <w:highlight w:val="none"/>
              </w:rPr>
              <w:t>质保期外的维修服务收费标准比较明确，服务人员配置安排比较合理、可行的，得2分；</w:t>
            </w:r>
          </w:p>
          <w:p>
            <w:pPr>
              <w:pStyle w:val="66"/>
              <w:spacing w:line="360" w:lineRule="auto"/>
              <w:ind w:firstLine="0" w:firstLineChars="0"/>
              <w:jc w:val="left"/>
              <w:rPr>
                <w:rFonts w:ascii="宋体" w:eastAsia="宋体" w:cs="宋体"/>
                <w:color w:val="auto"/>
                <w:sz w:val="21"/>
                <w:szCs w:val="21"/>
                <w:highlight w:val="none"/>
                <w:lang w:val="zh-CN"/>
              </w:rPr>
            </w:pPr>
            <w:r>
              <w:rPr>
                <w:rFonts w:hint="eastAsia" w:ascii="宋体" w:eastAsia="宋体" w:cs="宋体"/>
                <w:color w:val="auto"/>
                <w:sz w:val="21"/>
                <w:szCs w:val="21"/>
                <w:highlight w:val="none"/>
                <w:lang w:val="zh-CN"/>
              </w:rPr>
              <w:t>③</w:t>
            </w:r>
            <w:r>
              <w:rPr>
                <w:rFonts w:hint="eastAsia" w:ascii="宋体" w:eastAsia="宋体" w:cs="宋体"/>
                <w:bCs/>
                <w:color w:val="auto"/>
                <w:sz w:val="21"/>
                <w:szCs w:val="21"/>
                <w:highlight w:val="none"/>
              </w:rPr>
              <w:t>质保期</w:t>
            </w:r>
            <w:r>
              <w:rPr>
                <w:rFonts w:hint="eastAsia" w:ascii="宋体" w:eastAsia="宋体" w:cs="宋体"/>
                <w:color w:val="auto"/>
                <w:sz w:val="21"/>
                <w:szCs w:val="21"/>
                <w:highlight w:val="none"/>
              </w:rPr>
              <w:t>满足采购需求，但售后方案简略，应急维修响应速度不明确，</w:t>
            </w:r>
            <w:r>
              <w:rPr>
                <w:rFonts w:hint="eastAsia" w:ascii="宋体" w:eastAsia="宋体" w:cs="宋体"/>
                <w:bCs/>
                <w:color w:val="auto"/>
                <w:sz w:val="21"/>
                <w:szCs w:val="21"/>
                <w:highlight w:val="none"/>
              </w:rPr>
              <w:t>服务人员配置安排可行性较低的，得1分</w:t>
            </w:r>
            <w:r>
              <w:rPr>
                <w:rFonts w:hint="eastAsia" w:ascii="宋体" w:eastAsia="宋体" w:cs="宋体"/>
                <w:color w:val="auto"/>
                <w:sz w:val="21"/>
                <w:szCs w:val="21"/>
                <w:highlight w:val="none"/>
              </w:rPr>
              <w:t>；</w:t>
            </w:r>
          </w:p>
          <w:p>
            <w:pPr>
              <w:pStyle w:val="66"/>
              <w:spacing w:line="360" w:lineRule="auto"/>
              <w:ind w:firstLine="0" w:firstLineChars="0"/>
              <w:jc w:val="left"/>
              <w:rPr>
                <w:rFonts w:ascii="宋体" w:eastAsia="宋体" w:cs="宋体"/>
                <w:bCs/>
                <w:color w:val="auto"/>
                <w:sz w:val="21"/>
                <w:szCs w:val="21"/>
                <w:highlight w:val="none"/>
              </w:rPr>
            </w:pPr>
            <w:r>
              <w:rPr>
                <w:rFonts w:hint="eastAsia" w:ascii="宋体" w:eastAsia="宋体" w:cs="宋体"/>
                <w:color w:val="auto"/>
                <w:sz w:val="21"/>
                <w:szCs w:val="21"/>
                <w:highlight w:val="none"/>
              </w:rPr>
              <w:t>④未提供对应方案的不得分。</w:t>
            </w:r>
          </w:p>
        </w:tc>
      </w:tr>
    </w:tbl>
    <w:p>
      <w:pPr>
        <w:pStyle w:val="51"/>
        <w:ind w:left="0" w:leftChars="0" w:firstLine="0" w:firstLineChars="0"/>
        <w:jc w:val="left"/>
        <w:rPr>
          <w:rFonts w:ascii="宋体" w:hAnsi="宋体" w:cs="宋体"/>
          <w:color w:val="auto"/>
          <w:szCs w:val="21"/>
          <w:highlight w:val="none"/>
        </w:rPr>
      </w:pPr>
    </w:p>
    <w:p>
      <w:pPr>
        <w:pStyle w:val="5"/>
        <w:keepNext/>
        <w:keepLines/>
        <w:pageBreakBefore/>
        <w:numPr>
          <w:ilvl w:val="0"/>
          <w:numId w:val="22"/>
        </w:numPr>
        <w:spacing w:line="360" w:lineRule="auto"/>
        <w:jc w:val="center"/>
        <w:rPr>
          <w:rFonts w:hAnsi="宋体" w:cs="宋体"/>
          <w:b/>
          <w:bCs/>
          <w:color w:val="auto"/>
          <w:kern w:val="44"/>
          <w:sz w:val="28"/>
          <w:szCs w:val="28"/>
          <w:highlight w:val="none"/>
          <w:lang w:val="zh-CN"/>
        </w:rPr>
      </w:pPr>
      <w:bookmarkStart w:id="49" w:name="_Toc26638"/>
      <w:r>
        <w:rPr>
          <w:rFonts w:hint="eastAsia" w:hAnsi="宋体" w:cs="宋体"/>
          <w:b/>
          <w:bCs/>
          <w:color w:val="auto"/>
          <w:kern w:val="44"/>
          <w:sz w:val="28"/>
          <w:szCs w:val="28"/>
          <w:highlight w:val="none"/>
        </w:rPr>
        <w:t xml:space="preserve"> </w:t>
      </w:r>
      <w:bookmarkStart w:id="50" w:name="_Toc941"/>
      <w:r>
        <w:rPr>
          <w:rFonts w:hint="eastAsia" w:hAnsi="宋体" w:cs="宋体"/>
          <w:b/>
          <w:bCs/>
          <w:color w:val="auto"/>
          <w:kern w:val="44"/>
          <w:sz w:val="28"/>
          <w:szCs w:val="28"/>
          <w:highlight w:val="none"/>
          <w:lang w:val="zh-CN"/>
        </w:rPr>
        <w:t>合同条款格式</w:t>
      </w:r>
      <w:bookmarkEnd w:id="49"/>
      <w:bookmarkEnd w:id="50"/>
    </w:p>
    <w:p>
      <w:pPr>
        <w:jc w:val="center"/>
        <w:rPr>
          <w:rFonts w:hAnsi="宋体"/>
          <w:b/>
          <w:color w:val="auto"/>
          <w:sz w:val="52"/>
          <w:szCs w:val="52"/>
          <w:highlight w:val="none"/>
        </w:rPr>
      </w:pPr>
      <w:bookmarkStart w:id="51" w:name="_Toc396137262"/>
      <w:r>
        <w:rPr>
          <w:rFonts w:hint="eastAsia" w:hAnsi="宋体"/>
          <w:b/>
          <w:color w:val="auto"/>
          <w:sz w:val="52"/>
          <w:szCs w:val="52"/>
          <w:highlight w:val="none"/>
        </w:rPr>
        <w:t>合  同  书</w:t>
      </w:r>
    </w:p>
    <w:p>
      <w:pPr>
        <w:jc w:val="center"/>
        <w:rPr>
          <w:rFonts w:hAnsi="宋体"/>
          <w:b/>
          <w:color w:val="auto"/>
          <w:sz w:val="52"/>
          <w:szCs w:val="52"/>
          <w:highlight w:val="none"/>
        </w:rPr>
      </w:pPr>
    </w:p>
    <w:p>
      <w:pPr>
        <w:jc w:val="center"/>
        <w:rPr>
          <w:rFonts w:hAnsi="宋体"/>
          <w:color w:val="auto"/>
          <w:highlight w:val="none"/>
        </w:rPr>
      </w:pPr>
    </w:p>
    <w:p>
      <w:pPr>
        <w:jc w:val="center"/>
        <w:rPr>
          <w:rFonts w:ascii="黑体" w:hAnsi="宋体" w:eastAsia="黑体"/>
          <w:b/>
          <w:color w:val="auto"/>
          <w:sz w:val="48"/>
          <w:highlight w:val="none"/>
        </w:rPr>
      </w:pPr>
    </w:p>
    <w:p>
      <w:pPr>
        <w:jc w:val="center"/>
        <w:rPr>
          <w:rFonts w:hAnsi="宋体"/>
          <w:color w:val="auto"/>
          <w:sz w:val="48"/>
          <w:highlight w:val="none"/>
        </w:rPr>
      </w:pPr>
      <w:r>
        <w:rPr>
          <w:rFonts w:hint="eastAsia" w:hAnsi="宋体"/>
          <w:color w:val="auto"/>
          <w:sz w:val="48"/>
          <w:highlight w:val="none"/>
        </w:rPr>
        <w:t xml:space="preserve">  </w:t>
      </w:r>
    </w:p>
    <w:p>
      <w:pPr>
        <w:jc w:val="center"/>
        <w:rPr>
          <w:rFonts w:hAnsi="宋体"/>
          <w:color w:val="auto"/>
          <w:sz w:val="48"/>
          <w:highlight w:val="none"/>
        </w:rPr>
      </w:pPr>
    </w:p>
    <w:p>
      <w:pPr>
        <w:jc w:val="center"/>
        <w:rPr>
          <w:rFonts w:hAnsi="宋体"/>
          <w:color w:val="auto"/>
          <w:sz w:val="48"/>
          <w:highlight w:val="none"/>
        </w:rPr>
      </w:pPr>
    </w:p>
    <w:p>
      <w:pPr>
        <w:jc w:val="center"/>
        <w:rPr>
          <w:rFonts w:hAnsi="宋体"/>
          <w:color w:val="auto"/>
          <w:sz w:val="48"/>
          <w:highlight w:val="none"/>
        </w:rPr>
      </w:pPr>
    </w:p>
    <w:p>
      <w:pPr>
        <w:jc w:val="center"/>
        <w:rPr>
          <w:rFonts w:hAnsi="宋体"/>
          <w:color w:val="auto"/>
          <w:sz w:val="44"/>
          <w:szCs w:val="21"/>
          <w:highlight w:val="none"/>
        </w:rPr>
      </w:pPr>
    </w:p>
    <w:p>
      <w:pPr>
        <w:spacing w:line="360" w:lineRule="auto"/>
        <w:ind w:firstLine="1680" w:firstLineChars="525"/>
        <w:rPr>
          <w:rFonts w:hAnsi="宋体"/>
          <w:color w:val="auto"/>
          <w:sz w:val="32"/>
          <w:highlight w:val="none"/>
          <w:u w:val="single"/>
        </w:rPr>
      </w:pPr>
      <w:r>
        <w:rPr>
          <w:rFonts w:hint="eastAsia" w:hAnsi="宋体"/>
          <w:color w:val="auto"/>
          <w:sz w:val="32"/>
          <w:highlight w:val="none"/>
        </w:rPr>
        <w:t>项目名称：</w:t>
      </w:r>
      <w:r>
        <w:rPr>
          <w:rFonts w:hAnsi="宋体"/>
          <w:color w:val="auto"/>
          <w:sz w:val="32"/>
          <w:highlight w:val="none"/>
          <w:u w:val="single"/>
        </w:rPr>
        <w:t xml:space="preserve">                   </w:t>
      </w:r>
      <w:r>
        <w:rPr>
          <w:rFonts w:hAnsi="宋体"/>
          <w:color w:val="auto"/>
          <w:highlight w:val="none"/>
          <w:u w:val="single"/>
        </w:rPr>
        <w:t xml:space="preserve">        </w:t>
      </w:r>
      <w:r>
        <w:rPr>
          <w:color w:val="auto"/>
          <w:highlight w:val="none"/>
          <w:u w:val="single"/>
        </w:rPr>
        <w:t xml:space="preserve">    </w:t>
      </w:r>
    </w:p>
    <w:p>
      <w:pPr>
        <w:spacing w:line="360" w:lineRule="auto"/>
        <w:ind w:firstLine="1478" w:firstLineChars="462"/>
        <w:rPr>
          <w:rFonts w:hAnsi="宋体"/>
          <w:color w:val="auto"/>
          <w:sz w:val="32"/>
          <w:highlight w:val="none"/>
          <w:u w:val="single"/>
        </w:rPr>
      </w:pPr>
      <w:r>
        <w:rPr>
          <w:rFonts w:hint="eastAsia" w:hAnsi="宋体"/>
          <w:color w:val="auto"/>
          <w:sz w:val="32"/>
          <w:highlight w:val="none"/>
        </w:rPr>
        <w:t xml:space="preserve"> 合同编号：</w:t>
      </w:r>
      <w:r>
        <w:rPr>
          <w:rFonts w:hAnsi="宋体"/>
          <w:color w:val="auto"/>
          <w:sz w:val="32"/>
          <w:highlight w:val="none"/>
          <w:u w:val="single"/>
        </w:rPr>
        <w:t xml:space="preserve">                       </w:t>
      </w:r>
    </w:p>
    <w:p>
      <w:pPr>
        <w:spacing w:line="360" w:lineRule="auto"/>
        <w:ind w:firstLine="1478" w:firstLineChars="462"/>
        <w:rPr>
          <w:rFonts w:hAnsi="宋体"/>
          <w:color w:val="auto"/>
          <w:sz w:val="32"/>
          <w:highlight w:val="none"/>
          <w:u w:val="single"/>
        </w:rPr>
      </w:pPr>
      <w:r>
        <w:rPr>
          <w:rFonts w:hAnsi="宋体"/>
          <w:color w:val="auto"/>
          <w:sz w:val="32"/>
          <w:highlight w:val="none"/>
        </w:rPr>
        <w:t xml:space="preserve"> </w:t>
      </w:r>
      <w:r>
        <w:rPr>
          <w:rFonts w:hint="eastAsia" w:hAnsi="宋体"/>
          <w:color w:val="auto"/>
          <w:sz w:val="32"/>
          <w:highlight w:val="none"/>
        </w:rPr>
        <w:t>签订地点：</w:t>
      </w:r>
      <w:r>
        <w:rPr>
          <w:rFonts w:hAnsi="宋体"/>
          <w:color w:val="auto"/>
          <w:sz w:val="32"/>
          <w:highlight w:val="none"/>
          <w:u w:val="single"/>
        </w:rPr>
        <w:t xml:space="preserve">              </w:t>
      </w:r>
      <w:r>
        <w:rPr>
          <w:rFonts w:hAnsi="宋体"/>
          <w:color w:val="auto"/>
          <w:highlight w:val="none"/>
          <w:u w:val="single"/>
        </w:rPr>
        <w:t xml:space="preserve">     </w:t>
      </w:r>
      <w:r>
        <w:rPr>
          <w:rFonts w:hAnsi="宋体"/>
          <w:color w:val="auto"/>
          <w:sz w:val="32"/>
          <w:highlight w:val="none"/>
          <w:u w:val="single"/>
        </w:rPr>
        <w:t xml:space="preserve">          </w:t>
      </w:r>
    </w:p>
    <w:p>
      <w:pPr>
        <w:ind w:firstLine="1478" w:firstLineChars="462"/>
        <w:jc w:val="center"/>
        <w:rPr>
          <w:rFonts w:hAnsi="宋体"/>
          <w:color w:val="auto"/>
          <w:sz w:val="32"/>
          <w:highlight w:val="none"/>
        </w:rPr>
      </w:pPr>
    </w:p>
    <w:p>
      <w:pPr>
        <w:rPr>
          <w:rFonts w:hAnsi="宋体"/>
          <w:color w:val="auto"/>
          <w:sz w:val="22"/>
          <w:highlight w:val="none"/>
        </w:rPr>
      </w:pPr>
    </w:p>
    <w:p>
      <w:pPr>
        <w:rPr>
          <w:rFonts w:hAnsi="宋体"/>
          <w:color w:val="auto"/>
          <w:sz w:val="32"/>
          <w:highlight w:val="none"/>
        </w:rPr>
      </w:pPr>
    </w:p>
    <w:p>
      <w:pPr>
        <w:tabs>
          <w:tab w:val="left" w:pos="0"/>
        </w:tabs>
        <w:spacing w:line="360" w:lineRule="auto"/>
        <w:jc w:val="center"/>
        <w:rPr>
          <w:rFonts w:hAnsi="宋体"/>
          <w:color w:val="auto"/>
          <w:sz w:val="32"/>
          <w:highlight w:val="none"/>
        </w:rPr>
      </w:pPr>
      <w:r>
        <w:rPr>
          <w:rFonts w:hint="eastAsia" w:hAnsi="宋体"/>
          <w:color w:val="auto"/>
          <w:sz w:val="32"/>
          <w:highlight w:val="none"/>
        </w:rPr>
        <w:t>二○    年</w:t>
      </w:r>
      <w:r>
        <w:rPr>
          <w:rFonts w:hAnsi="宋体"/>
          <w:color w:val="auto"/>
          <w:sz w:val="32"/>
          <w:highlight w:val="none"/>
        </w:rPr>
        <w:t xml:space="preserve">    月    日</w:t>
      </w:r>
    </w:p>
    <w:p>
      <w:pPr>
        <w:tabs>
          <w:tab w:val="left" w:pos="0"/>
        </w:tabs>
        <w:spacing w:line="360" w:lineRule="auto"/>
        <w:jc w:val="center"/>
        <w:rPr>
          <w:color w:val="auto"/>
          <w:highlight w:val="none"/>
        </w:rPr>
      </w:pPr>
    </w:p>
    <w:p>
      <w:pPr>
        <w:tabs>
          <w:tab w:val="left" w:pos="0"/>
        </w:tabs>
        <w:spacing w:line="360" w:lineRule="auto"/>
        <w:jc w:val="center"/>
        <w:rPr>
          <w:color w:val="auto"/>
          <w:highlight w:val="none"/>
        </w:rPr>
      </w:pPr>
    </w:p>
    <w:p>
      <w:pPr>
        <w:tabs>
          <w:tab w:val="left" w:pos="0"/>
        </w:tabs>
        <w:spacing w:line="360" w:lineRule="auto"/>
        <w:jc w:val="center"/>
        <w:rPr>
          <w:color w:val="auto"/>
          <w:highlight w:val="none"/>
        </w:rPr>
      </w:pPr>
    </w:p>
    <w:p>
      <w:pPr>
        <w:tabs>
          <w:tab w:val="left" w:pos="0"/>
        </w:tabs>
        <w:spacing w:line="360" w:lineRule="auto"/>
        <w:jc w:val="center"/>
        <w:rPr>
          <w:color w:val="auto"/>
          <w:highlight w:val="none"/>
        </w:rPr>
      </w:pPr>
    </w:p>
    <w:p>
      <w:pPr>
        <w:tabs>
          <w:tab w:val="left" w:pos="0"/>
        </w:tabs>
        <w:spacing w:line="360" w:lineRule="auto"/>
        <w:jc w:val="center"/>
        <w:rPr>
          <w:color w:val="auto"/>
          <w:highlight w:val="none"/>
        </w:rPr>
      </w:pPr>
    </w:p>
    <w:p>
      <w:pPr>
        <w:spacing w:line="440" w:lineRule="exact"/>
        <w:rPr>
          <w:rFonts w:hAnsi="宋体"/>
          <w:color w:val="auto"/>
          <w:sz w:val="21"/>
          <w:szCs w:val="21"/>
          <w:highlight w:val="none"/>
        </w:rPr>
      </w:pPr>
      <w:r>
        <w:rPr>
          <w:rFonts w:hint="eastAsia" w:hAnsi="宋体"/>
          <w:color w:val="auto"/>
          <w:sz w:val="21"/>
          <w:szCs w:val="21"/>
          <w:highlight w:val="none"/>
        </w:rPr>
        <w:t xml:space="preserve">甲方：（采购人）                     </w:t>
      </w:r>
    </w:p>
    <w:p>
      <w:pPr>
        <w:spacing w:line="440" w:lineRule="exact"/>
        <w:rPr>
          <w:rFonts w:hAnsi="宋体"/>
          <w:color w:val="auto"/>
          <w:sz w:val="21"/>
          <w:szCs w:val="21"/>
          <w:highlight w:val="none"/>
        </w:rPr>
      </w:pPr>
      <w:r>
        <w:rPr>
          <w:rFonts w:hint="eastAsia" w:hAnsi="宋体"/>
          <w:color w:val="auto"/>
          <w:sz w:val="21"/>
          <w:szCs w:val="21"/>
          <w:highlight w:val="none"/>
        </w:rPr>
        <w:t>乙方：（成交人）</w:t>
      </w:r>
    </w:p>
    <w:p>
      <w:pPr>
        <w:spacing w:line="440" w:lineRule="exact"/>
        <w:ind w:firstLine="420" w:firstLineChars="200"/>
        <w:rPr>
          <w:rFonts w:hAnsi="宋体"/>
          <w:color w:val="auto"/>
          <w:sz w:val="21"/>
          <w:szCs w:val="21"/>
          <w:highlight w:val="none"/>
        </w:rPr>
      </w:pPr>
    </w:p>
    <w:p>
      <w:pPr>
        <w:pStyle w:val="48"/>
        <w:spacing w:line="440" w:lineRule="exact"/>
        <w:ind w:firstLine="420" w:firstLineChars="200"/>
        <w:rPr>
          <w:color w:val="auto"/>
          <w:sz w:val="21"/>
          <w:szCs w:val="21"/>
          <w:highlight w:val="none"/>
        </w:rPr>
      </w:pPr>
      <w:r>
        <w:rPr>
          <w:rFonts w:hint="eastAsia"/>
          <w:color w:val="auto"/>
          <w:sz w:val="21"/>
          <w:szCs w:val="21"/>
          <w:highlight w:val="none"/>
        </w:rPr>
        <w:t>受甲方委托，</w:t>
      </w:r>
      <w:r>
        <w:rPr>
          <w:rFonts w:hint="eastAsia"/>
          <w:color w:val="auto"/>
          <w:sz w:val="21"/>
          <w:szCs w:val="21"/>
          <w:highlight w:val="none"/>
          <w:u w:val="single"/>
        </w:rPr>
        <w:t xml:space="preserve">           (采购代理机构)</w:t>
      </w:r>
      <w:r>
        <w:rPr>
          <w:rFonts w:hint="eastAsia"/>
          <w:color w:val="auto"/>
          <w:sz w:val="21"/>
          <w:szCs w:val="21"/>
          <w:highlight w:val="none"/>
        </w:rPr>
        <w:t>组织对</w:t>
      </w:r>
      <w:r>
        <w:rPr>
          <w:rFonts w:hint="eastAsia"/>
          <w:color w:val="auto"/>
          <w:sz w:val="21"/>
          <w:szCs w:val="21"/>
          <w:highlight w:val="none"/>
          <w:u w:val="single"/>
        </w:rPr>
        <w:t xml:space="preserve">         （项目名称）</w:t>
      </w:r>
      <w:r>
        <w:rPr>
          <w:rFonts w:hint="eastAsia"/>
          <w:color w:val="auto"/>
          <w:sz w:val="21"/>
          <w:szCs w:val="21"/>
          <w:highlight w:val="none"/>
        </w:rPr>
        <w:t>采购项目（采购编号为</w:t>
      </w:r>
      <w:r>
        <w:rPr>
          <w:rFonts w:hint="eastAsia"/>
          <w:color w:val="auto"/>
          <w:sz w:val="21"/>
          <w:szCs w:val="21"/>
          <w:highlight w:val="none"/>
          <w:u w:val="single"/>
        </w:rPr>
        <w:t xml:space="preserve">       </w:t>
      </w:r>
      <w:r>
        <w:rPr>
          <w:rFonts w:hint="eastAsia"/>
          <w:color w:val="auto"/>
          <w:sz w:val="21"/>
          <w:szCs w:val="21"/>
          <w:highlight w:val="none"/>
        </w:rPr>
        <w:t>）进行采购，于</w:t>
      </w:r>
      <w:r>
        <w:rPr>
          <w:rFonts w:hint="eastAsia"/>
          <w:color w:val="auto"/>
          <w:sz w:val="21"/>
          <w:szCs w:val="21"/>
          <w:highlight w:val="none"/>
          <w:u w:val="single"/>
        </w:rPr>
        <w:t xml:space="preserve">  </w:t>
      </w:r>
      <w:r>
        <w:rPr>
          <w:rFonts w:hint="eastAsia"/>
          <w:color w:val="auto"/>
          <w:sz w:val="21"/>
          <w:szCs w:val="21"/>
          <w:highlight w:val="none"/>
        </w:rPr>
        <w:t>年</w:t>
      </w:r>
      <w:r>
        <w:rPr>
          <w:rFonts w:hint="eastAsia"/>
          <w:color w:val="auto"/>
          <w:sz w:val="21"/>
          <w:szCs w:val="21"/>
          <w:highlight w:val="none"/>
          <w:u w:val="single"/>
        </w:rPr>
        <w:t xml:space="preserve">  </w:t>
      </w:r>
      <w:r>
        <w:rPr>
          <w:rFonts w:hint="eastAsia"/>
          <w:color w:val="auto"/>
          <w:sz w:val="21"/>
          <w:szCs w:val="21"/>
          <w:highlight w:val="none"/>
        </w:rPr>
        <w:t>月</w:t>
      </w:r>
      <w:r>
        <w:rPr>
          <w:rFonts w:hint="eastAsia"/>
          <w:color w:val="auto"/>
          <w:sz w:val="21"/>
          <w:szCs w:val="21"/>
          <w:highlight w:val="none"/>
          <w:u w:val="single"/>
        </w:rPr>
        <w:t xml:space="preserve">  </w:t>
      </w:r>
      <w:r>
        <w:rPr>
          <w:rFonts w:hint="eastAsia"/>
          <w:color w:val="auto"/>
          <w:sz w:val="21"/>
          <w:szCs w:val="21"/>
          <w:highlight w:val="none"/>
        </w:rPr>
        <w:t>日通过公开采购，经评标委员会评定乙方</w:t>
      </w:r>
      <w:r>
        <w:rPr>
          <w:rFonts w:hint="eastAsia"/>
          <w:color w:val="auto"/>
          <w:sz w:val="21"/>
          <w:szCs w:val="21"/>
          <w:highlight w:val="none"/>
          <w:u w:val="single"/>
        </w:rPr>
        <w:t xml:space="preserve">      </w:t>
      </w:r>
      <w:r>
        <w:rPr>
          <w:rFonts w:hint="eastAsia"/>
          <w:color w:val="auto"/>
          <w:sz w:val="21"/>
          <w:szCs w:val="21"/>
          <w:highlight w:val="none"/>
        </w:rPr>
        <w:t>为成交人。为了保护甲乙双方合法权益，根据《中华人民共和国民法典》等有关法律法规的规定，在平等自愿的基础上，甲乙双方按照下面的条款和条件，签署本合同。</w:t>
      </w:r>
    </w:p>
    <w:p>
      <w:pPr>
        <w:pStyle w:val="48"/>
        <w:spacing w:line="440" w:lineRule="exact"/>
        <w:ind w:firstLine="422" w:firstLineChars="200"/>
        <w:rPr>
          <w:b/>
          <w:color w:val="auto"/>
          <w:sz w:val="21"/>
          <w:szCs w:val="21"/>
          <w:highlight w:val="none"/>
        </w:rPr>
      </w:pPr>
      <w:r>
        <w:rPr>
          <w:rFonts w:hint="eastAsia"/>
          <w:b/>
          <w:color w:val="auto"/>
          <w:sz w:val="21"/>
          <w:szCs w:val="21"/>
          <w:highlight w:val="none"/>
        </w:rPr>
        <w:t xml:space="preserve">一、合同组成及合同总价 </w:t>
      </w:r>
    </w:p>
    <w:p>
      <w:pPr>
        <w:pStyle w:val="48"/>
        <w:spacing w:line="440" w:lineRule="exact"/>
        <w:ind w:firstLine="420" w:firstLineChars="200"/>
        <w:rPr>
          <w:color w:val="auto"/>
          <w:sz w:val="21"/>
          <w:szCs w:val="21"/>
          <w:highlight w:val="none"/>
        </w:rPr>
      </w:pPr>
      <w:r>
        <w:rPr>
          <w:rFonts w:hint="eastAsia"/>
          <w:color w:val="auto"/>
          <w:sz w:val="21"/>
          <w:szCs w:val="21"/>
          <w:highlight w:val="none"/>
        </w:rPr>
        <w:t>1.1 合同文件组成内容包括：1、本合同书 ，2、补充协议或者双方签订的备忘录、会议纪要，3、中标通知书，4、采购文件（含采购文件澄清通知），5、投标文件（含澄清内容）等。</w:t>
      </w:r>
    </w:p>
    <w:p>
      <w:pPr>
        <w:pStyle w:val="48"/>
        <w:spacing w:line="440" w:lineRule="exact"/>
        <w:ind w:firstLine="420" w:firstLineChars="200"/>
        <w:rPr>
          <w:color w:val="auto"/>
          <w:sz w:val="21"/>
          <w:szCs w:val="21"/>
          <w:highlight w:val="none"/>
        </w:rPr>
      </w:pPr>
      <w:r>
        <w:rPr>
          <w:rFonts w:hint="eastAsia"/>
          <w:color w:val="auto"/>
          <w:sz w:val="21"/>
          <w:szCs w:val="21"/>
          <w:highlight w:val="none"/>
        </w:rPr>
        <w:t>合同文件内容有冲突的，按照上述顺序优先解释，同一顺序内容有冲突的，以最后签署日期的文件优先。</w:t>
      </w:r>
    </w:p>
    <w:p>
      <w:pPr>
        <w:pStyle w:val="48"/>
        <w:spacing w:line="440" w:lineRule="exact"/>
        <w:ind w:firstLine="420" w:firstLineChars="200"/>
        <w:rPr>
          <w:color w:val="auto"/>
          <w:sz w:val="21"/>
          <w:szCs w:val="21"/>
          <w:highlight w:val="none"/>
        </w:rPr>
      </w:pPr>
      <w:r>
        <w:rPr>
          <w:rFonts w:hint="eastAsia"/>
          <w:color w:val="auto"/>
          <w:sz w:val="21"/>
          <w:szCs w:val="21"/>
          <w:highlight w:val="none"/>
        </w:rPr>
        <w:t>1.2 采购内容：按照图纸及采购清单，提供包括但不限于：对盲区部分补充摄像机，在A3/A5/B2/C1/G1/G2/G3/G4/H1/H3各楼栋停车场主要出入口、电梯厅、楼梯间区域：14台400万枪机、1台400万球机； 园区停车场、人行通道等公共区域：24台400万枪机、2台400万球机。</w:t>
      </w:r>
    </w:p>
    <w:p>
      <w:pPr>
        <w:pStyle w:val="48"/>
        <w:spacing w:line="440" w:lineRule="exact"/>
        <w:ind w:firstLine="420" w:firstLineChars="200"/>
        <w:rPr>
          <w:rFonts w:hint="eastAsia"/>
          <w:color w:val="auto"/>
          <w:sz w:val="21"/>
          <w:szCs w:val="21"/>
          <w:highlight w:val="none"/>
        </w:rPr>
      </w:pPr>
      <w:r>
        <w:rPr>
          <w:rFonts w:hint="eastAsia"/>
          <w:color w:val="auto"/>
          <w:sz w:val="21"/>
          <w:szCs w:val="21"/>
          <w:highlight w:val="none"/>
        </w:rPr>
        <w:t>1.3</w:t>
      </w:r>
      <w:r>
        <w:rPr>
          <w:color w:val="auto"/>
          <w:sz w:val="21"/>
          <w:szCs w:val="21"/>
          <w:highlight w:val="none"/>
        </w:rPr>
        <w:t xml:space="preserve"> </w:t>
      </w:r>
      <w:r>
        <w:rPr>
          <w:rFonts w:hint="eastAsia"/>
          <w:color w:val="auto"/>
          <w:sz w:val="21"/>
          <w:szCs w:val="21"/>
          <w:highlight w:val="none"/>
        </w:rPr>
        <w:t>货物需求收货标准一览表及技术规格:乙方按甲方要求打版各一套并安装到指定位置，甲乙双方</w:t>
      </w:r>
      <w:r>
        <w:rPr>
          <w:rFonts w:hint="eastAsia"/>
          <w:color w:val="auto"/>
          <w:sz w:val="21"/>
          <w:szCs w:val="21"/>
          <w:highlight w:val="none"/>
          <w:lang w:val="en-US" w:eastAsia="zh-CN"/>
        </w:rPr>
        <w:t>对</w:t>
      </w:r>
      <w:r>
        <w:rPr>
          <w:rFonts w:hint="eastAsia"/>
          <w:color w:val="auto"/>
          <w:sz w:val="21"/>
          <w:szCs w:val="21"/>
          <w:highlight w:val="none"/>
        </w:rPr>
        <w:t>样板签字确认后，按合同数量，样板材质，颜色，规格，摆放位置等要求再批量生产如期交货。</w:t>
      </w:r>
    </w:p>
    <w:p>
      <w:pPr>
        <w:pStyle w:val="48"/>
        <w:spacing w:line="440" w:lineRule="exact"/>
        <w:ind w:firstLine="420" w:firstLineChars="200"/>
        <w:rPr>
          <w:color w:val="auto"/>
          <w:sz w:val="21"/>
          <w:szCs w:val="21"/>
          <w:highlight w:val="none"/>
        </w:rPr>
      </w:pPr>
      <w:r>
        <w:rPr>
          <w:rFonts w:hint="eastAsia"/>
          <w:color w:val="auto"/>
          <w:sz w:val="21"/>
          <w:szCs w:val="21"/>
          <w:highlight w:val="none"/>
        </w:rPr>
        <w:t>1.3.1货物总体要求</w:t>
      </w:r>
    </w:p>
    <w:p>
      <w:pPr>
        <w:pStyle w:val="48"/>
        <w:spacing w:line="440" w:lineRule="exact"/>
        <w:ind w:firstLine="420" w:firstLineChars="200"/>
        <w:rPr>
          <w:color w:val="auto"/>
          <w:sz w:val="21"/>
          <w:szCs w:val="21"/>
          <w:highlight w:val="none"/>
        </w:rPr>
      </w:pPr>
      <w:r>
        <w:rPr>
          <w:rFonts w:hint="eastAsia"/>
          <w:color w:val="auto"/>
          <w:sz w:val="21"/>
          <w:szCs w:val="21"/>
          <w:highlight w:val="none"/>
        </w:rPr>
        <w:t>（1）乙方所投货物必须是原装、全新的产品，符合国家以及该产品的出厂标准。</w:t>
      </w:r>
    </w:p>
    <w:p>
      <w:pPr>
        <w:pStyle w:val="48"/>
        <w:spacing w:line="440" w:lineRule="exact"/>
        <w:ind w:firstLine="420" w:firstLineChars="200"/>
        <w:rPr>
          <w:color w:val="auto"/>
          <w:sz w:val="21"/>
          <w:szCs w:val="21"/>
          <w:highlight w:val="none"/>
        </w:rPr>
      </w:pPr>
      <w:r>
        <w:rPr>
          <w:rFonts w:hint="eastAsia"/>
          <w:color w:val="auto"/>
          <w:sz w:val="21"/>
          <w:szCs w:val="21"/>
          <w:highlight w:val="none"/>
        </w:rPr>
        <w:t>（2）实际供货时将根据现场情况和实际使用功能作调整，如材料、规格、产品的效果图等的要求，乙方须无条件配合甲方的要求调整方案。最终供货方案经甲方确认成品样板或产品效果图后，方可正式实施生产供货，所涉及的一切费用由乙方承担。</w:t>
      </w:r>
      <w:r>
        <w:rPr>
          <w:rFonts w:hint="eastAsia"/>
          <w:color w:val="auto"/>
          <w:sz w:val="21"/>
          <w:szCs w:val="21"/>
          <w:highlight w:val="none"/>
          <w:lang w:val="en-US" w:eastAsia="zh-CN"/>
        </w:rPr>
        <w:t>若乙方最终供应的货物在</w:t>
      </w:r>
      <w:r>
        <w:rPr>
          <w:rFonts w:hint="eastAsia"/>
          <w:color w:val="auto"/>
          <w:sz w:val="21"/>
          <w:szCs w:val="21"/>
          <w:highlight w:val="none"/>
        </w:rPr>
        <w:t>材质，颜色，规格</w:t>
      </w:r>
      <w:r>
        <w:rPr>
          <w:rFonts w:hint="eastAsia"/>
          <w:color w:val="auto"/>
          <w:sz w:val="21"/>
          <w:szCs w:val="21"/>
          <w:highlight w:val="none"/>
          <w:lang w:eastAsia="zh-CN"/>
        </w:rPr>
        <w:t>、</w:t>
      </w:r>
      <w:r>
        <w:rPr>
          <w:rFonts w:hint="eastAsia"/>
          <w:color w:val="auto"/>
          <w:sz w:val="21"/>
          <w:szCs w:val="21"/>
          <w:highlight w:val="none"/>
          <w:lang w:val="en-US" w:eastAsia="zh-CN"/>
        </w:rPr>
        <w:t>性能等方面若出现与经甲方确认的样板或产品效果图不一致，影响设备功能的，则乙方构成违约，应承担违约责任。事先获得甲方书面批准同意的除外。</w:t>
      </w:r>
    </w:p>
    <w:p>
      <w:pPr>
        <w:pStyle w:val="48"/>
        <w:spacing w:line="440" w:lineRule="exact"/>
        <w:ind w:firstLine="420" w:firstLineChars="200"/>
        <w:rPr>
          <w:color w:val="auto"/>
          <w:sz w:val="21"/>
          <w:szCs w:val="21"/>
          <w:highlight w:val="none"/>
        </w:rPr>
      </w:pPr>
      <w:r>
        <w:rPr>
          <w:rFonts w:hint="eastAsia"/>
          <w:color w:val="auto"/>
          <w:sz w:val="21"/>
          <w:szCs w:val="21"/>
          <w:highlight w:val="none"/>
        </w:rPr>
        <w:t>（3）乙方所投货物必须使用环保材料并符合国家环保要求及标准。</w:t>
      </w:r>
    </w:p>
    <w:p>
      <w:pPr>
        <w:pStyle w:val="48"/>
        <w:spacing w:line="440" w:lineRule="exact"/>
        <w:ind w:firstLine="420" w:firstLineChars="200"/>
        <w:rPr>
          <w:color w:val="auto"/>
          <w:sz w:val="21"/>
          <w:szCs w:val="21"/>
          <w:highlight w:val="none"/>
        </w:rPr>
      </w:pPr>
      <w:r>
        <w:rPr>
          <w:rFonts w:hint="eastAsia"/>
          <w:color w:val="auto"/>
          <w:sz w:val="21"/>
          <w:szCs w:val="21"/>
          <w:highlight w:val="none"/>
        </w:rPr>
        <w:t>（4）签定合同后，乙方须无条件配合甲方到其生产加工现场就投入本项目有关的人员、设备、原材料采购、原料品牌、品质、型号、加工生产工艺流程、半成品，以及成品打包前质量、材质、款式等进行监督和检查；乙方须按甲方要求提交原材料采购的原始检验证、环保证、合格证等合法手续凭证，以得到甲方的监督和认可。如人员未能达到采购文件要求和投标文件中的承诺响应的，每发现一人处罚（5万元/每人次）；如设备未能达到采购文件要求和投标文件中的承诺响应的，每发现一台处罚（5万元/每台）；监督检查发现生产过程中有不符合相关规定的，甲方有权视其情节轻重进行处罚。</w:t>
      </w:r>
    </w:p>
    <w:p>
      <w:pPr>
        <w:pStyle w:val="48"/>
        <w:spacing w:line="440" w:lineRule="exact"/>
        <w:ind w:firstLine="420" w:firstLineChars="200"/>
        <w:rPr>
          <w:color w:val="auto"/>
          <w:sz w:val="21"/>
          <w:szCs w:val="21"/>
          <w:highlight w:val="none"/>
        </w:rPr>
      </w:pPr>
      <w:r>
        <w:rPr>
          <w:rFonts w:hint="eastAsia"/>
          <w:color w:val="auto"/>
          <w:sz w:val="21"/>
          <w:szCs w:val="21"/>
          <w:highlight w:val="none"/>
        </w:rPr>
        <w:t>（5）乙方应保证货物在不需要增配未列出配件（特别指出的除外）的前提下货物功能、技术标准能够达到采购文件的要求，而无须再增配未列出的配件；如乙方所提供的产品需要增配配件才能达到要求的，所增配的配件须由乙方免费提供。</w:t>
      </w:r>
    </w:p>
    <w:p>
      <w:pPr>
        <w:pStyle w:val="48"/>
        <w:spacing w:line="440" w:lineRule="exact"/>
        <w:ind w:firstLine="420" w:firstLineChars="200"/>
        <w:rPr>
          <w:color w:val="auto"/>
          <w:sz w:val="21"/>
          <w:szCs w:val="21"/>
          <w:highlight w:val="none"/>
        </w:rPr>
      </w:pPr>
      <w:r>
        <w:rPr>
          <w:rFonts w:hint="eastAsia"/>
          <w:color w:val="auto"/>
          <w:sz w:val="21"/>
          <w:szCs w:val="21"/>
          <w:highlight w:val="none"/>
        </w:rPr>
        <w:t>（6）货物在验收合格前的保险由乙方负责，且乙方负责其派出的现场服务人员人身意外保险。</w:t>
      </w:r>
    </w:p>
    <w:p>
      <w:pPr>
        <w:pStyle w:val="48"/>
        <w:spacing w:line="440" w:lineRule="exact"/>
        <w:ind w:firstLine="420" w:firstLineChars="200"/>
        <w:rPr>
          <w:color w:val="auto"/>
          <w:sz w:val="21"/>
          <w:szCs w:val="21"/>
          <w:highlight w:val="none"/>
        </w:rPr>
      </w:pPr>
      <w:r>
        <w:rPr>
          <w:rFonts w:hint="eastAsia"/>
          <w:color w:val="auto"/>
          <w:sz w:val="21"/>
          <w:szCs w:val="21"/>
          <w:highlight w:val="none"/>
        </w:rPr>
        <w:t>（6）乙方应对甲方提供免费培训服务。</w:t>
      </w:r>
    </w:p>
    <w:p>
      <w:pPr>
        <w:pStyle w:val="3"/>
        <w:ind w:firstLine="422" w:firstLineChars="200"/>
        <w:rPr>
          <w:color w:val="auto"/>
          <w:highlight w:val="none"/>
        </w:rPr>
      </w:pPr>
      <w:r>
        <w:rPr>
          <w:rFonts w:hint="eastAsia"/>
          <w:b/>
          <w:bCs/>
          <w:color w:val="auto"/>
          <w:szCs w:val="21"/>
          <w:highlight w:val="none"/>
        </w:rPr>
        <w:t>1.4</w:t>
      </w:r>
      <w:r>
        <w:rPr>
          <w:rFonts w:hint="eastAsia"/>
          <w:color w:val="auto"/>
          <w:szCs w:val="21"/>
          <w:highlight w:val="none"/>
        </w:rPr>
        <w:t>本合同采用总价包干的承包方式。含税总价为¥</w:t>
      </w:r>
      <w:r>
        <w:rPr>
          <w:rFonts w:hint="eastAsia"/>
          <w:color w:val="auto"/>
          <w:szCs w:val="21"/>
          <w:highlight w:val="none"/>
          <w:u w:val="single"/>
        </w:rPr>
        <w:t xml:space="preserve">        </w:t>
      </w:r>
      <w:r>
        <w:rPr>
          <w:rFonts w:hint="eastAsia"/>
          <w:color w:val="auto"/>
          <w:szCs w:val="21"/>
          <w:highlight w:val="none"/>
        </w:rPr>
        <w:t>元（人民币</w:t>
      </w:r>
      <w:r>
        <w:rPr>
          <w:rFonts w:hint="eastAsia"/>
          <w:color w:val="auto"/>
          <w:szCs w:val="21"/>
          <w:highlight w:val="none"/>
          <w:u w:val="single"/>
        </w:rPr>
        <w:t xml:space="preserve">      </w:t>
      </w:r>
      <w:r>
        <w:rPr>
          <w:rFonts w:hint="eastAsia"/>
          <w:color w:val="auto"/>
          <w:szCs w:val="21"/>
          <w:highlight w:val="none"/>
        </w:rPr>
        <w:t>元），其中：增值税税率为</w:t>
      </w:r>
      <w:r>
        <w:rPr>
          <w:rFonts w:hint="eastAsia"/>
          <w:color w:val="auto"/>
          <w:szCs w:val="21"/>
          <w:highlight w:val="none"/>
          <w:u w:val="single"/>
        </w:rPr>
        <w:t xml:space="preserve"> </w:t>
      </w:r>
      <w:r>
        <w:rPr>
          <w:rFonts w:hint="eastAsia"/>
          <w:color w:val="auto"/>
          <w:szCs w:val="21"/>
          <w:highlight w:val="none"/>
          <w:u w:val="single"/>
          <w:lang w:val="en-US" w:eastAsia="zh-CN"/>
        </w:rPr>
        <w:t>安装部分13%，  土建部分9</w:t>
      </w:r>
      <w:r>
        <w:rPr>
          <w:rFonts w:hint="eastAsia"/>
          <w:color w:val="auto"/>
          <w:szCs w:val="21"/>
          <w:highlight w:val="none"/>
          <w:u w:val="single"/>
        </w:rPr>
        <w:t xml:space="preserve"> </w:t>
      </w:r>
      <w:r>
        <w:rPr>
          <w:rFonts w:hint="eastAsia"/>
          <w:color w:val="auto"/>
          <w:szCs w:val="21"/>
          <w:highlight w:val="none"/>
        </w:rPr>
        <w:t>%，税金金额¥</w:t>
      </w:r>
      <w:r>
        <w:rPr>
          <w:rFonts w:hint="eastAsia"/>
          <w:color w:val="auto"/>
          <w:szCs w:val="21"/>
          <w:highlight w:val="none"/>
          <w:u w:val="single"/>
        </w:rPr>
        <w:t xml:space="preserve">        </w:t>
      </w:r>
      <w:r>
        <w:rPr>
          <w:rFonts w:hint="eastAsia"/>
          <w:color w:val="auto"/>
          <w:szCs w:val="21"/>
          <w:highlight w:val="none"/>
        </w:rPr>
        <w:t>元，不含税合同总价款为¥</w:t>
      </w:r>
      <w:r>
        <w:rPr>
          <w:rFonts w:hint="eastAsia"/>
          <w:color w:val="auto"/>
          <w:szCs w:val="21"/>
          <w:highlight w:val="none"/>
          <w:u w:val="single"/>
        </w:rPr>
        <w:t xml:space="preserve">        </w:t>
      </w:r>
      <w:r>
        <w:rPr>
          <w:rFonts w:hint="eastAsia"/>
          <w:color w:val="auto"/>
          <w:szCs w:val="21"/>
          <w:highlight w:val="none"/>
        </w:rPr>
        <w:t>元。</w:t>
      </w:r>
    </w:p>
    <w:p>
      <w:pPr>
        <w:pStyle w:val="48"/>
        <w:spacing w:line="440" w:lineRule="exact"/>
        <w:ind w:firstLine="420" w:firstLineChars="200"/>
        <w:rPr>
          <w:rFonts w:eastAsiaTheme="minorEastAsia"/>
          <w:color w:val="auto"/>
          <w:sz w:val="21"/>
          <w:szCs w:val="21"/>
          <w:highlight w:val="none"/>
        </w:rPr>
      </w:pPr>
      <w:r>
        <w:rPr>
          <w:rFonts w:hint="eastAsia"/>
          <w:color w:val="auto"/>
          <w:sz w:val="21"/>
          <w:szCs w:val="21"/>
          <w:highlight w:val="none"/>
        </w:rPr>
        <w:t>本合同价中包含了所有产品（含样品）购置费、安装调试费、运费、售后服务费及验收合格之前和保修期间的备品备件发生的所有含税费用；包含安装或施工</w:t>
      </w:r>
      <w:r>
        <w:rPr>
          <w:rFonts w:hint="eastAsia" w:asciiTheme="minorEastAsia" w:hAnsiTheme="minorEastAsia" w:eastAsiaTheme="minorEastAsia" w:cstheme="minorEastAsia"/>
          <w:bCs/>
          <w:color w:val="auto"/>
          <w:kern w:val="2"/>
          <w:sz w:val="21"/>
          <w:szCs w:val="21"/>
          <w:highlight w:val="none"/>
        </w:rPr>
        <w:t>必须的辅助材料费、因安装或施工破坏需按原状恢复的费用及合同实施过程中其他不可预见等全部费用。</w:t>
      </w:r>
    </w:p>
    <w:p>
      <w:pPr>
        <w:pStyle w:val="48"/>
        <w:spacing w:line="440" w:lineRule="exact"/>
        <w:ind w:firstLine="420" w:firstLineChars="200"/>
        <w:rPr>
          <w:rFonts w:hint="eastAsia" w:eastAsia="宋体"/>
          <w:color w:val="auto"/>
          <w:sz w:val="21"/>
          <w:szCs w:val="21"/>
          <w:highlight w:val="none"/>
          <w:lang w:eastAsia="zh-CN"/>
        </w:rPr>
      </w:pPr>
      <w:r>
        <w:rPr>
          <w:rFonts w:hint="eastAsia"/>
          <w:color w:val="auto"/>
          <w:sz w:val="21"/>
          <w:szCs w:val="21"/>
          <w:highlight w:val="none"/>
        </w:rPr>
        <w:t>1.5货物清单及价格明细表</w:t>
      </w:r>
      <w:r>
        <w:rPr>
          <w:rFonts w:hint="eastAsia"/>
          <w:color w:val="auto"/>
          <w:sz w:val="21"/>
          <w:szCs w:val="21"/>
          <w:highlight w:val="none"/>
          <w:lang w:eastAsia="zh-CN"/>
        </w:rPr>
        <w:t>。</w:t>
      </w:r>
    </w:p>
    <w:p>
      <w:pPr>
        <w:pStyle w:val="48"/>
        <w:spacing w:line="440" w:lineRule="exact"/>
        <w:ind w:firstLine="422" w:firstLineChars="200"/>
        <w:rPr>
          <w:b/>
          <w:color w:val="auto"/>
          <w:sz w:val="21"/>
          <w:szCs w:val="21"/>
          <w:highlight w:val="none"/>
        </w:rPr>
      </w:pPr>
      <w:r>
        <w:rPr>
          <w:rFonts w:hint="eastAsia"/>
          <w:b/>
          <w:color w:val="auto"/>
          <w:sz w:val="21"/>
          <w:szCs w:val="21"/>
          <w:highlight w:val="none"/>
        </w:rPr>
        <w:t>二、合同主要条款</w:t>
      </w:r>
    </w:p>
    <w:p>
      <w:pPr>
        <w:pStyle w:val="48"/>
        <w:spacing w:line="440" w:lineRule="exact"/>
        <w:ind w:firstLine="422" w:firstLineChars="200"/>
        <w:rPr>
          <w:b/>
          <w:bCs/>
          <w:color w:val="auto"/>
          <w:sz w:val="21"/>
          <w:szCs w:val="21"/>
          <w:highlight w:val="none"/>
        </w:rPr>
      </w:pPr>
      <w:r>
        <w:rPr>
          <w:rFonts w:hint="eastAsia"/>
          <w:b/>
          <w:bCs/>
          <w:color w:val="auto"/>
          <w:sz w:val="21"/>
          <w:szCs w:val="21"/>
          <w:highlight w:val="none"/>
        </w:rPr>
        <w:t>1.1本合同的付款方式：</w:t>
      </w:r>
    </w:p>
    <w:p>
      <w:p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①乙方</w:t>
      </w:r>
      <w:r>
        <w:rPr>
          <w:rFonts w:hint="eastAsia" w:hAnsi="宋体" w:cs="宋体"/>
          <w:color w:val="auto"/>
          <w:sz w:val="21"/>
          <w:szCs w:val="21"/>
          <w:highlight w:val="none"/>
          <w:lang w:val="en-US" w:eastAsia="zh-CN"/>
        </w:rPr>
        <w:t>应</w:t>
      </w:r>
      <w:r>
        <w:rPr>
          <w:rFonts w:hint="eastAsia" w:hAnsi="宋体" w:cs="宋体"/>
          <w:color w:val="auto"/>
          <w:sz w:val="21"/>
          <w:szCs w:val="21"/>
          <w:highlight w:val="none"/>
        </w:rPr>
        <w:t>在</w:t>
      </w:r>
      <w:r>
        <w:rPr>
          <w:rFonts w:hint="eastAsia" w:hAnsi="宋体" w:cs="宋体"/>
          <w:color w:val="auto"/>
          <w:sz w:val="21"/>
          <w:szCs w:val="21"/>
          <w:highlight w:val="none"/>
          <w:lang w:val="en-US" w:eastAsia="zh-CN"/>
        </w:rPr>
        <w:t>收到中标通知书之后签订</w:t>
      </w:r>
      <w:r>
        <w:rPr>
          <w:rFonts w:hint="eastAsia" w:hAnsi="宋体" w:cs="宋体"/>
          <w:color w:val="auto"/>
          <w:sz w:val="21"/>
          <w:szCs w:val="21"/>
          <w:highlight w:val="none"/>
        </w:rPr>
        <w:t>合同</w:t>
      </w:r>
      <w:r>
        <w:rPr>
          <w:rFonts w:hint="eastAsia" w:hAnsi="宋体" w:cs="宋体"/>
          <w:color w:val="auto"/>
          <w:sz w:val="21"/>
          <w:szCs w:val="21"/>
          <w:highlight w:val="none"/>
          <w:lang w:val="en-US" w:eastAsia="zh-CN"/>
        </w:rPr>
        <w:t>前</w:t>
      </w:r>
      <w:r>
        <w:rPr>
          <w:rFonts w:hint="eastAsia" w:hAnsi="宋体" w:cs="宋体"/>
          <w:color w:val="auto"/>
          <w:sz w:val="21"/>
          <w:szCs w:val="21"/>
          <w:highlight w:val="none"/>
        </w:rPr>
        <w:t>，向甲方提交金额为本合同总价</w:t>
      </w:r>
      <w:r>
        <w:rPr>
          <w:rFonts w:hAnsi="宋体" w:cs="宋体"/>
          <w:color w:val="auto"/>
          <w:sz w:val="21"/>
          <w:szCs w:val="21"/>
          <w:highlight w:val="none"/>
        </w:rPr>
        <w:t>10%的不可撤销银行保函或履约保证金作为履行合同的担保，履约担保期限从合同签订之日起至项目交工验收合格并完成结算后，双方签字之日起7天内保持有效；</w:t>
      </w:r>
    </w:p>
    <w:p>
      <w:p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②合同签订后且乙方提交符合甲方要求的请款报告及相关资料后7天内，支付至合同总额的20%；</w:t>
      </w:r>
    </w:p>
    <w:p>
      <w:p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③所有设备安装调试完成</w:t>
      </w:r>
      <w:r>
        <w:rPr>
          <w:rFonts w:hint="eastAsia" w:hAnsi="宋体" w:cs="宋体"/>
          <w:color w:val="auto"/>
          <w:sz w:val="21"/>
          <w:szCs w:val="21"/>
          <w:highlight w:val="none"/>
          <w:lang w:val="en-US" w:eastAsia="zh-CN"/>
        </w:rPr>
        <w:t>并经甲方书面确认调试合格的</w:t>
      </w:r>
      <w:r>
        <w:rPr>
          <w:rFonts w:hint="eastAsia" w:hAnsi="宋体" w:cs="宋体"/>
          <w:color w:val="auto"/>
          <w:sz w:val="21"/>
          <w:szCs w:val="21"/>
          <w:highlight w:val="none"/>
        </w:rPr>
        <w:t>，乙方提交符合甲方要求的请款报告及相关资料后</w:t>
      </w:r>
      <w:r>
        <w:rPr>
          <w:rFonts w:hAnsi="宋体" w:cs="宋体"/>
          <w:color w:val="auto"/>
          <w:sz w:val="21"/>
          <w:szCs w:val="21"/>
          <w:highlight w:val="none"/>
        </w:rPr>
        <w:t>7天内，支付至合同总额的80%；</w:t>
      </w:r>
    </w:p>
    <w:p>
      <w:p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④</w:t>
      </w:r>
      <w:r>
        <w:rPr>
          <w:rFonts w:hAnsi="宋体" w:cs="宋体"/>
          <w:color w:val="auto"/>
          <w:sz w:val="21"/>
          <w:szCs w:val="21"/>
          <w:highlight w:val="none"/>
        </w:rPr>
        <w:t>项目竣工验收合格并结算完成后，</w:t>
      </w:r>
      <w:r>
        <w:rPr>
          <w:rFonts w:hint="eastAsia" w:hAnsi="宋体" w:cs="宋体"/>
          <w:color w:val="auto"/>
          <w:sz w:val="21"/>
          <w:szCs w:val="21"/>
          <w:highlight w:val="none"/>
        </w:rPr>
        <w:t>乙方</w:t>
      </w:r>
      <w:r>
        <w:rPr>
          <w:rFonts w:hAnsi="宋体" w:cs="宋体"/>
          <w:color w:val="auto"/>
          <w:sz w:val="21"/>
          <w:szCs w:val="21"/>
          <w:highlight w:val="none"/>
        </w:rPr>
        <w:t>提交符合</w:t>
      </w:r>
      <w:r>
        <w:rPr>
          <w:rFonts w:hint="eastAsia" w:hAnsi="宋体" w:cs="宋体"/>
          <w:color w:val="auto"/>
          <w:sz w:val="21"/>
          <w:szCs w:val="21"/>
          <w:highlight w:val="none"/>
        </w:rPr>
        <w:t>甲方</w:t>
      </w:r>
      <w:r>
        <w:rPr>
          <w:rFonts w:hAnsi="宋体" w:cs="宋体"/>
          <w:color w:val="auto"/>
          <w:sz w:val="21"/>
          <w:szCs w:val="21"/>
          <w:highlight w:val="none"/>
        </w:rPr>
        <w:t>要求的请款报告及相关资料后7天内，支付至结算价的97%；</w:t>
      </w:r>
    </w:p>
    <w:p>
      <w:p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⑤剩余结算价的</w:t>
      </w:r>
      <w:r>
        <w:rPr>
          <w:rFonts w:hAnsi="宋体" w:cs="宋体"/>
          <w:color w:val="auto"/>
          <w:sz w:val="21"/>
          <w:szCs w:val="21"/>
          <w:highlight w:val="none"/>
        </w:rPr>
        <w:t>3%为项目质保金，自竣工验收合格之日起计满2年后，</w:t>
      </w:r>
      <w:r>
        <w:rPr>
          <w:rFonts w:hint="eastAsia" w:hAnsi="宋体" w:cs="宋体"/>
          <w:color w:val="auto"/>
          <w:sz w:val="21"/>
          <w:szCs w:val="21"/>
          <w:highlight w:val="none"/>
        </w:rPr>
        <w:t>乙方</w:t>
      </w:r>
      <w:r>
        <w:rPr>
          <w:rFonts w:hAnsi="宋体" w:cs="宋体"/>
          <w:color w:val="auto"/>
          <w:sz w:val="21"/>
          <w:szCs w:val="21"/>
          <w:highlight w:val="none"/>
        </w:rPr>
        <w:t>提交符合</w:t>
      </w:r>
      <w:r>
        <w:rPr>
          <w:rFonts w:hint="eastAsia" w:hAnsi="宋体" w:cs="宋体"/>
          <w:color w:val="auto"/>
          <w:sz w:val="21"/>
          <w:szCs w:val="21"/>
          <w:highlight w:val="none"/>
        </w:rPr>
        <w:t>甲方</w:t>
      </w:r>
      <w:r>
        <w:rPr>
          <w:rFonts w:hAnsi="宋体" w:cs="宋体"/>
          <w:color w:val="auto"/>
          <w:sz w:val="21"/>
          <w:szCs w:val="21"/>
          <w:highlight w:val="none"/>
        </w:rPr>
        <w:t>要求的请款报告及相关资料后7天内甲方一次性</w:t>
      </w:r>
      <w:r>
        <w:rPr>
          <w:rFonts w:hint="eastAsia" w:hAnsi="宋体" w:cs="宋体"/>
          <w:color w:val="auto"/>
          <w:sz w:val="21"/>
          <w:szCs w:val="21"/>
          <w:highlight w:val="none"/>
          <w:lang w:val="en-US" w:eastAsia="zh-CN"/>
        </w:rPr>
        <w:t>无息</w:t>
      </w:r>
      <w:r>
        <w:rPr>
          <w:rFonts w:hAnsi="宋体" w:cs="宋体"/>
          <w:color w:val="auto"/>
          <w:sz w:val="21"/>
          <w:szCs w:val="21"/>
          <w:highlight w:val="none"/>
        </w:rPr>
        <w:t>付清。</w:t>
      </w:r>
    </w:p>
    <w:p>
      <w:pPr>
        <w:pStyle w:val="2"/>
        <w:snapToGrid w:val="0"/>
        <w:spacing w:line="360" w:lineRule="auto"/>
        <w:ind w:right="0"/>
        <w:jc w:val="left"/>
        <w:rPr>
          <w:rFonts w:hAnsi="宋体"/>
          <w:b w:val="0"/>
          <w:bCs w:val="0"/>
          <w:color w:val="auto"/>
          <w:sz w:val="21"/>
          <w:szCs w:val="21"/>
          <w:highlight w:val="none"/>
          <w:lang w:val="en-US"/>
        </w:rPr>
      </w:pPr>
      <w:r>
        <w:rPr>
          <w:rFonts w:hint="eastAsia" w:hAnsi="宋体"/>
          <w:b w:val="0"/>
          <w:bCs w:val="0"/>
          <w:color w:val="auto"/>
          <w:sz w:val="21"/>
          <w:szCs w:val="21"/>
          <w:highlight w:val="none"/>
          <w:lang w:val="en-US"/>
        </w:rPr>
        <w:t>乙方收款账户信息如下：</w:t>
      </w:r>
    </w:p>
    <w:p>
      <w:pPr>
        <w:pStyle w:val="2"/>
        <w:snapToGrid w:val="0"/>
        <w:spacing w:line="360" w:lineRule="auto"/>
        <w:ind w:right="0" w:firstLine="420" w:firstLineChars="200"/>
        <w:jc w:val="left"/>
        <w:rPr>
          <w:rFonts w:hAnsi="宋体"/>
          <w:b w:val="0"/>
          <w:bCs w:val="0"/>
          <w:color w:val="auto"/>
          <w:sz w:val="21"/>
          <w:szCs w:val="21"/>
          <w:highlight w:val="none"/>
          <w:lang w:val="en-US"/>
        </w:rPr>
      </w:pPr>
      <w:r>
        <w:rPr>
          <w:rFonts w:hint="eastAsia" w:hAnsi="宋体"/>
          <w:b w:val="0"/>
          <w:bCs w:val="0"/>
          <w:color w:val="auto"/>
          <w:sz w:val="21"/>
          <w:szCs w:val="21"/>
          <w:highlight w:val="none"/>
          <w:lang w:val="en-US"/>
        </w:rPr>
        <w:t>账户名：</w:t>
      </w:r>
    </w:p>
    <w:p>
      <w:pPr>
        <w:pStyle w:val="2"/>
        <w:snapToGrid w:val="0"/>
        <w:spacing w:line="360" w:lineRule="auto"/>
        <w:ind w:right="0" w:firstLine="420" w:firstLineChars="200"/>
        <w:jc w:val="left"/>
        <w:rPr>
          <w:rFonts w:hAnsi="宋体"/>
          <w:b w:val="0"/>
          <w:bCs w:val="0"/>
          <w:color w:val="auto"/>
          <w:sz w:val="21"/>
          <w:szCs w:val="21"/>
          <w:highlight w:val="none"/>
          <w:lang w:val="en-US"/>
        </w:rPr>
      </w:pPr>
      <w:r>
        <w:rPr>
          <w:rFonts w:hint="eastAsia" w:hAnsi="宋体"/>
          <w:b w:val="0"/>
          <w:bCs w:val="0"/>
          <w:color w:val="auto"/>
          <w:sz w:val="21"/>
          <w:szCs w:val="21"/>
          <w:highlight w:val="none"/>
          <w:lang w:val="en-US"/>
        </w:rPr>
        <w:t>账户号：</w:t>
      </w:r>
    </w:p>
    <w:p>
      <w:pPr>
        <w:pStyle w:val="2"/>
        <w:snapToGrid w:val="0"/>
        <w:spacing w:line="360" w:lineRule="auto"/>
        <w:ind w:right="0" w:firstLine="420" w:firstLineChars="200"/>
        <w:jc w:val="left"/>
        <w:rPr>
          <w:rFonts w:hAnsi="宋体"/>
          <w:b w:val="0"/>
          <w:bCs w:val="0"/>
          <w:color w:val="auto"/>
          <w:sz w:val="21"/>
          <w:szCs w:val="21"/>
          <w:highlight w:val="none"/>
          <w:lang w:val="en-US"/>
        </w:rPr>
      </w:pPr>
      <w:r>
        <w:rPr>
          <w:rFonts w:hint="eastAsia" w:hAnsi="宋体"/>
          <w:b w:val="0"/>
          <w:bCs w:val="0"/>
          <w:color w:val="auto"/>
          <w:sz w:val="21"/>
          <w:szCs w:val="21"/>
          <w:highlight w:val="none"/>
          <w:lang w:val="en-US"/>
        </w:rPr>
        <w:t>开户行：</w:t>
      </w:r>
    </w:p>
    <w:p>
      <w:pPr>
        <w:pStyle w:val="48"/>
        <w:spacing w:line="440" w:lineRule="exact"/>
        <w:ind w:firstLine="420" w:firstLineChars="200"/>
        <w:rPr>
          <w:rFonts w:hint="eastAsia"/>
          <w:color w:val="auto"/>
          <w:sz w:val="21"/>
          <w:szCs w:val="21"/>
          <w:highlight w:val="none"/>
        </w:rPr>
      </w:pPr>
      <w:r>
        <w:rPr>
          <w:rFonts w:hint="eastAsia"/>
          <w:color w:val="auto"/>
          <w:sz w:val="21"/>
          <w:szCs w:val="21"/>
          <w:highlight w:val="none"/>
        </w:rPr>
        <w:t>按照现行税收政策规定，每次付款前，乙方必须提供合法有效、与本合同总价款条款中增值税税率一致的增值税发票给甲方，且发票名称必需与甲方、乙方完全一致，否则甲方有权拒绝付款且不构成违约；在甲方除支付质保金外的最后一期款项前，乙方须连同当期支付款项发票和质保金发票一并提交给甲方；若后续出现质保问题，按照质保责任和条款，部分或全部扣除质保金的，不退还相应金额的发票。若合同执行期间，如遇国家的税率调整，按最新政策税率执行，结算时按不含税价*新税率调整。如果因乙方怠于或者拒绝提供资料或者办理手续等乙方原因导致的付款迟延，责任全部由乙方承担，甲方不以违约论。</w:t>
      </w:r>
    </w:p>
    <w:p>
      <w:pPr>
        <w:pStyle w:val="48"/>
        <w:spacing w:line="440" w:lineRule="exact"/>
        <w:ind w:firstLine="420" w:firstLineChars="200"/>
        <w:rPr>
          <w:color w:val="auto"/>
          <w:sz w:val="21"/>
          <w:szCs w:val="21"/>
          <w:highlight w:val="none"/>
        </w:rPr>
      </w:pPr>
      <w:r>
        <w:rPr>
          <w:rFonts w:hint="eastAsia"/>
          <w:color w:val="auto"/>
          <w:sz w:val="21"/>
          <w:szCs w:val="21"/>
          <w:highlight w:val="none"/>
        </w:rPr>
        <w:t>1.2本合同货物的交货时间为：</w:t>
      </w:r>
      <w:r>
        <w:rPr>
          <w:rFonts w:hint="eastAsia"/>
          <w:color w:val="auto"/>
          <w:sz w:val="21"/>
          <w:szCs w:val="21"/>
          <w:highlight w:val="none"/>
          <w:u w:val="single"/>
        </w:rPr>
        <w:t xml:space="preserve">  签订合同之日起75个日历日内完成供货、施工、安装调试及验收交付</w:t>
      </w:r>
      <w:r>
        <w:rPr>
          <w:rFonts w:hint="eastAsia"/>
          <w:color w:val="auto"/>
          <w:sz w:val="21"/>
          <w:szCs w:val="21"/>
          <w:highlight w:val="none"/>
          <w:u w:val="single"/>
          <w:lang w:eastAsia="zh-CN"/>
        </w:rPr>
        <w:t>甲方</w:t>
      </w:r>
      <w:r>
        <w:rPr>
          <w:rFonts w:hint="eastAsia"/>
          <w:color w:val="auto"/>
          <w:sz w:val="21"/>
          <w:szCs w:val="21"/>
          <w:highlight w:val="none"/>
          <w:u w:val="single"/>
        </w:rPr>
        <w:t>使用</w:t>
      </w:r>
      <w:r>
        <w:rPr>
          <w:rFonts w:hint="eastAsia"/>
          <w:color w:val="auto"/>
          <w:sz w:val="21"/>
          <w:szCs w:val="21"/>
          <w:highlight w:val="none"/>
          <w:u w:val="single"/>
          <w:lang w:val="en-US" w:eastAsia="zh-CN"/>
        </w:rPr>
        <w:t xml:space="preserve"> </w:t>
      </w:r>
      <w:r>
        <w:rPr>
          <w:rFonts w:hint="eastAsia"/>
          <w:color w:val="auto"/>
          <w:sz w:val="21"/>
          <w:szCs w:val="21"/>
          <w:highlight w:val="none"/>
        </w:rPr>
        <w:t>；交货地点为：</w:t>
      </w:r>
      <w:r>
        <w:rPr>
          <w:rFonts w:hint="eastAsia"/>
          <w:color w:val="auto"/>
          <w:sz w:val="21"/>
          <w:szCs w:val="21"/>
          <w:highlight w:val="none"/>
          <w:u w:val="single"/>
        </w:rPr>
        <w:t xml:space="preserve">  东莞市松山湖大学创新城   </w:t>
      </w:r>
      <w:r>
        <w:rPr>
          <w:rFonts w:hint="eastAsia"/>
          <w:color w:val="auto"/>
          <w:sz w:val="21"/>
          <w:szCs w:val="21"/>
          <w:highlight w:val="none"/>
        </w:rPr>
        <w:t>。</w:t>
      </w:r>
    </w:p>
    <w:p>
      <w:pPr>
        <w:pStyle w:val="48"/>
        <w:spacing w:line="440" w:lineRule="exact"/>
        <w:ind w:firstLine="420" w:firstLineChars="200"/>
        <w:rPr>
          <w:color w:val="auto"/>
          <w:sz w:val="21"/>
          <w:szCs w:val="21"/>
          <w:highlight w:val="none"/>
        </w:rPr>
      </w:pPr>
      <w:r>
        <w:rPr>
          <w:rFonts w:hint="eastAsia"/>
          <w:color w:val="auto"/>
          <w:sz w:val="21"/>
          <w:szCs w:val="21"/>
          <w:highlight w:val="none"/>
        </w:rPr>
        <w:t>1.3本合同货物的质保期为：</w:t>
      </w:r>
      <w:r>
        <w:rPr>
          <w:rFonts w:hint="eastAsia"/>
          <w:color w:val="auto"/>
          <w:sz w:val="21"/>
          <w:szCs w:val="21"/>
          <w:highlight w:val="none"/>
          <w:u w:val="single"/>
        </w:rPr>
        <w:t xml:space="preserve">  2年 （如个体设备有更高要求的，遵循更高要求）</w:t>
      </w:r>
      <w:r>
        <w:rPr>
          <w:rFonts w:hint="eastAsia"/>
          <w:color w:val="auto"/>
          <w:sz w:val="21"/>
          <w:szCs w:val="21"/>
          <w:highlight w:val="none"/>
        </w:rPr>
        <w:t>，自货物交付并经甲方验收合格之日起算。质量保修期内发生质量问题，全部由乙方负责</w:t>
      </w:r>
      <w:r>
        <w:rPr>
          <w:rFonts w:hint="eastAsia"/>
          <w:color w:val="auto"/>
          <w:sz w:val="21"/>
          <w:szCs w:val="21"/>
          <w:highlight w:val="none"/>
          <w:lang w:val="en-US" w:eastAsia="zh-CN"/>
        </w:rPr>
        <w:t>包修或者包换，经维修仍无法正常运行的乙方应免费提供质量规格型号不低于原货物的产品进行替换，直至货物质量合格，正常运行</w:t>
      </w:r>
      <w:r>
        <w:rPr>
          <w:rFonts w:hint="eastAsia"/>
          <w:color w:val="auto"/>
          <w:sz w:val="21"/>
          <w:szCs w:val="21"/>
          <w:highlight w:val="none"/>
        </w:rPr>
        <w:t>。乙方怠于或拒绝履行的，甲方可委托第三方代为履行，发生的费用及损失由乙方承担。</w:t>
      </w:r>
    </w:p>
    <w:p>
      <w:pPr>
        <w:pStyle w:val="48"/>
        <w:spacing w:line="440" w:lineRule="exact"/>
        <w:ind w:firstLine="420" w:firstLineChars="200"/>
        <w:rPr>
          <w:color w:val="auto"/>
          <w:sz w:val="21"/>
          <w:szCs w:val="21"/>
          <w:highlight w:val="none"/>
        </w:rPr>
      </w:pPr>
      <w:r>
        <w:rPr>
          <w:rFonts w:hint="eastAsia"/>
          <w:color w:val="auto"/>
          <w:sz w:val="21"/>
          <w:szCs w:val="21"/>
          <w:highlight w:val="none"/>
        </w:rPr>
        <w:t>1.4具体质量保修服务要求及售后承诺：</w:t>
      </w:r>
      <w:r>
        <w:rPr>
          <w:rFonts w:hint="eastAsia"/>
          <w:color w:val="auto"/>
          <w:sz w:val="21"/>
          <w:szCs w:val="21"/>
          <w:highlight w:val="none"/>
          <w:u w:val="single"/>
        </w:rPr>
        <w:t xml:space="preserve">                       </w:t>
      </w:r>
      <w:r>
        <w:rPr>
          <w:rFonts w:hint="eastAsia"/>
          <w:color w:val="auto"/>
          <w:sz w:val="21"/>
          <w:szCs w:val="21"/>
          <w:highlight w:val="none"/>
        </w:rPr>
        <w:t>。</w:t>
      </w:r>
    </w:p>
    <w:p>
      <w:pPr>
        <w:pStyle w:val="2"/>
        <w:snapToGrid w:val="0"/>
        <w:spacing w:line="360" w:lineRule="auto"/>
        <w:ind w:right="0" w:firstLine="422" w:firstLineChars="200"/>
        <w:jc w:val="left"/>
        <w:rPr>
          <w:rFonts w:hAnsi="宋体"/>
          <w:b w:val="0"/>
          <w:bCs w:val="0"/>
          <w:color w:val="auto"/>
          <w:sz w:val="21"/>
          <w:szCs w:val="21"/>
          <w:highlight w:val="none"/>
          <w:lang w:val="en-US"/>
        </w:rPr>
      </w:pPr>
      <w:r>
        <w:rPr>
          <w:rFonts w:hint="eastAsia" w:hAnsi="宋体"/>
          <w:color w:val="auto"/>
          <w:sz w:val="21"/>
          <w:szCs w:val="21"/>
          <w:highlight w:val="none"/>
          <w:lang w:val="en-US"/>
        </w:rPr>
        <w:t>1.5质量保修金及支付方式：</w:t>
      </w:r>
      <w:r>
        <w:rPr>
          <w:rFonts w:hint="eastAsia" w:hAnsi="宋体"/>
          <w:b w:val="0"/>
          <w:bCs w:val="0"/>
          <w:color w:val="auto"/>
          <w:sz w:val="21"/>
          <w:szCs w:val="21"/>
          <w:highlight w:val="none"/>
          <w:lang w:val="en-US"/>
        </w:rPr>
        <w:t>结算价款的（3%）留作质量保修金。在乙方按本合同约定履行质量保修义务的前提下，甲方于全部货物验收合格之日起届满二年且收到乙方提交的下述质量保修保函之后，甲方将剩余的质量保修金无息退还给乙方。如乙方未按本合同约定履行质量保修义务的，甲方有权不予或推迟向乙方退还质量保修金。甲方向乙方退还质量保修金前，乙方须向甲方提交担保金额为结算价款（3%）的无条件、见索即付、不可撤销质量保修保函（如质保期短于两年（含），则无需提供质量保修保函）。该保函的有效期为全部货物安装验收合格届满二年之日起</w:t>
      </w:r>
      <w:r>
        <w:rPr>
          <w:rFonts w:hint="eastAsia" w:hAnsi="宋体"/>
          <w:b w:val="0"/>
          <w:bCs w:val="0"/>
          <w:color w:val="auto"/>
          <w:sz w:val="21"/>
          <w:szCs w:val="21"/>
          <w:highlight w:val="none"/>
          <w:u w:val="single"/>
          <w:lang w:val="en-US"/>
        </w:rPr>
        <w:t xml:space="preserve">   </w:t>
      </w:r>
      <w:r>
        <w:rPr>
          <w:rFonts w:hint="eastAsia" w:hAnsi="宋体"/>
          <w:b w:val="0"/>
          <w:bCs w:val="0"/>
          <w:color w:val="auto"/>
          <w:sz w:val="21"/>
          <w:szCs w:val="21"/>
          <w:highlight w:val="none"/>
          <w:lang w:val="en-US"/>
        </w:rPr>
        <w:t>年。</w:t>
      </w:r>
    </w:p>
    <w:p>
      <w:pPr>
        <w:pStyle w:val="48"/>
        <w:spacing w:line="440" w:lineRule="exact"/>
        <w:ind w:firstLine="420" w:firstLineChars="200"/>
        <w:jc w:val="both"/>
        <w:rPr>
          <w:color w:val="auto"/>
          <w:sz w:val="21"/>
          <w:szCs w:val="21"/>
          <w:highlight w:val="none"/>
        </w:rPr>
      </w:pPr>
      <w:r>
        <w:rPr>
          <w:rFonts w:hint="eastAsia"/>
          <w:color w:val="auto"/>
          <w:sz w:val="21"/>
          <w:szCs w:val="21"/>
          <w:highlight w:val="none"/>
        </w:rPr>
        <w:t>1.6乙方在履行本合同过程中造成其人员或第三人人身、财产损害的，由其自行处理和承担赔偿责任，与甲方无关，乙方不得因此影响本合同的履行。</w:t>
      </w:r>
    </w:p>
    <w:p>
      <w:pPr>
        <w:pStyle w:val="48"/>
        <w:spacing w:line="440" w:lineRule="exact"/>
        <w:ind w:firstLine="420" w:firstLineChars="200"/>
        <w:rPr>
          <w:color w:val="auto"/>
          <w:sz w:val="21"/>
          <w:szCs w:val="21"/>
          <w:highlight w:val="none"/>
        </w:rPr>
      </w:pPr>
      <w:r>
        <w:rPr>
          <w:rFonts w:hint="eastAsia"/>
          <w:color w:val="auto"/>
          <w:sz w:val="21"/>
          <w:szCs w:val="21"/>
          <w:highlight w:val="none"/>
        </w:rPr>
        <w:t>1.7甲方根据项目要求增加其他必要条款：</w:t>
      </w:r>
      <w:r>
        <w:rPr>
          <w:rFonts w:hint="eastAsia"/>
          <w:color w:val="auto"/>
          <w:sz w:val="21"/>
          <w:szCs w:val="21"/>
          <w:highlight w:val="none"/>
          <w:u w:val="single"/>
        </w:rPr>
        <w:t xml:space="preserve">                </w:t>
      </w:r>
      <w:r>
        <w:rPr>
          <w:rFonts w:hint="eastAsia"/>
          <w:color w:val="auto"/>
          <w:sz w:val="21"/>
          <w:szCs w:val="21"/>
          <w:highlight w:val="none"/>
        </w:rPr>
        <w:t>。</w:t>
      </w:r>
    </w:p>
    <w:p>
      <w:pPr>
        <w:pStyle w:val="48"/>
        <w:spacing w:line="440" w:lineRule="exact"/>
        <w:ind w:firstLine="422" w:firstLineChars="200"/>
        <w:rPr>
          <w:b/>
          <w:color w:val="auto"/>
          <w:sz w:val="21"/>
          <w:szCs w:val="21"/>
          <w:highlight w:val="none"/>
        </w:rPr>
      </w:pPr>
      <w:r>
        <w:rPr>
          <w:rFonts w:hint="eastAsia"/>
          <w:b/>
          <w:color w:val="auto"/>
          <w:sz w:val="21"/>
          <w:szCs w:val="21"/>
          <w:highlight w:val="none"/>
        </w:rPr>
        <w:t xml:space="preserve">三、合同一般条款 </w:t>
      </w:r>
    </w:p>
    <w:p>
      <w:pPr>
        <w:pStyle w:val="48"/>
        <w:spacing w:line="440" w:lineRule="exact"/>
        <w:ind w:firstLine="420" w:firstLineChars="200"/>
        <w:rPr>
          <w:color w:val="auto"/>
          <w:sz w:val="21"/>
          <w:szCs w:val="21"/>
          <w:highlight w:val="none"/>
        </w:rPr>
      </w:pPr>
      <w:r>
        <w:rPr>
          <w:rFonts w:hint="eastAsia"/>
          <w:color w:val="auto"/>
          <w:sz w:val="21"/>
          <w:szCs w:val="21"/>
          <w:highlight w:val="none"/>
        </w:rPr>
        <w:t xml:space="preserve">1 定义本合同中的下列术语应解释为： </w:t>
      </w:r>
    </w:p>
    <w:p>
      <w:pPr>
        <w:pStyle w:val="48"/>
        <w:spacing w:line="440" w:lineRule="exact"/>
        <w:ind w:firstLine="420" w:firstLineChars="200"/>
        <w:rPr>
          <w:color w:val="auto"/>
          <w:sz w:val="21"/>
          <w:szCs w:val="21"/>
          <w:highlight w:val="none"/>
        </w:rPr>
      </w:pPr>
      <w:r>
        <w:rPr>
          <w:rFonts w:hint="eastAsia"/>
          <w:color w:val="auto"/>
          <w:sz w:val="21"/>
          <w:szCs w:val="21"/>
          <w:highlight w:val="none"/>
        </w:rPr>
        <w:t xml:space="preserve">1.1“合同”系指甲乙双方签署的、合同格式中载明的甲乙双方所达成的协议， 包括所有的附件、附录、和构成合同的其它文件。 </w:t>
      </w:r>
    </w:p>
    <w:p>
      <w:pPr>
        <w:pStyle w:val="48"/>
        <w:spacing w:line="440" w:lineRule="exact"/>
        <w:ind w:firstLine="420" w:firstLineChars="200"/>
        <w:rPr>
          <w:color w:val="auto"/>
          <w:sz w:val="21"/>
          <w:szCs w:val="21"/>
          <w:highlight w:val="none"/>
        </w:rPr>
      </w:pPr>
      <w:r>
        <w:rPr>
          <w:rFonts w:hint="eastAsia"/>
          <w:color w:val="auto"/>
          <w:sz w:val="21"/>
          <w:szCs w:val="21"/>
          <w:highlight w:val="none"/>
        </w:rPr>
        <w:t xml:space="preserve">1.2“合同价”系指根据合同约定，乙方在完全履行合同义务后甲方应付给乙方的价格。 </w:t>
      </w:r>
    </w:p>
    <w:p>
      <w:pPr>
        <w:pStyle w:val="48"/>
        <w:spacing w:line="440" w:lineRule="exact"/>
        <w:ind w:firstLine="420" w:firstLineChars="200"/>
        <w:rPr>
          <w:color w:val="auto"/>
          <w:sz w:val="21"/>
          <w:szCs w:val="21"/>
          <w:highlight w:val="none"/>
        </w:rPr>
      </w:pPr>
      <w:r>
        <w:rPr>
          <w:rFonts w:hint="eastAsia"/>
          <w:color w:val="auto"/>
          <w:sz w:val="21"/>
          <w:szCs w:val="21"/>
          <w:highlight w:val="none"/>
        </w:rPr>
        <w:t xml:space="preserve">1.3 “货物”系指乙方根据合同约定须向甲方提供的一切设备、机械、仪表、备件，包括工具、手册等其它相关资料。“服务”系指根据合同约定乙方承担与供货有关的辅助服务，如运输、保险及安装、调试、提供技术援助、培训和其他类似的服务。 </w:t>
      </w:r>
    </w:p>
    <w:p>
      <w:pPr>
        <w:pStyle w:val="48"/>
        <w:spacing w:line="440" w:lineRule="exact"/>
        <w:ind w:firstLine="420" w:firstLineChars="200"/>
        <w:rPr>
          <w:color w:val="auto"/>
          <w:sz w:val="21"/>
          <w:szCs w:val="21"/>
          <w:highlight w:val="none"/>
        </w:rPr>
      </w:pPr>
      <w:r>
        <w:rPr>
          <w:rFonts w:hint="eastAsia"/>
          <w:color w:val="auto"/>
          <w:sz w:val="21"/>
          <w:szCs w:val="21"/>
          <w:highlight w:val="none"/>
        </w:rPr>
        <w:t xml:space="preserve">1.4 “验收”系指合同双方依据强制性的国家技术质量规范和合同约定，确认合同项下的货物符合合同规定的活动。 </w:t>
      </w:r>
    </w:p>
    <w:p>
      <w:pPr>
        <w:pStyle w:val="48"/>
        <w:spacing w:line="440" w:lineRule="exact"/>
        <w:ind w:firstLine="420" w:firstLineChars="200"/>
        <w:rPr>
          <w:color w:val="auto"/>
          <w:sz w:val="21"/>
          <w:szCs w:val="21"/>
          <w:highlight w:val="none"/>
        </w:rPr>
      </w:pPr>
      <w:r>
        <w:rPr>
          <w:rFonts w:hint="eastAsia"/>
          <w:color w:val="auto"/>
          <w:sz w:val="21"/>
          <w:szCs w:val="21"/>
          <w:highlight w:val="none"/>
        </w:rPr>
        <w:t xml:space="preserve">2 技术规范 </w:t>
      </w:r>
    </w:p>
    <w:p>
      <w:pPr>
        <w:pStyle w:val="48"/>
        <w:spacing w:line="440" w:lineRule="exact"/>
        <w:ind w:firstLine="420" w:firstLineChars="200"/>
        <w:jc w:val="both"/>
        <w:rPr>
          <w:color w:val="auto"/>
          <w:sz w:val="21"/>
          <w:szCs w:val="21"/>
          <w:highlight w:val="none"/>
        </w:rPr>
      </w:pPr>
      <w:r>
        <w:rPr>
          <w:rFonts w:hint="eastAsia"/>
          <w:color w:val="auto"/>
          <w:sz w:val="21"/>
          <w:szCs w:val="21"/>
          <w:highlight w:val="none"/>
        </w:rPr>
        <w:t xml:space="preserve">2.1 提交货物的技术规范应与采购文件规定的技术规范和其投标文件的技术规范相一致。若技术规范中无相应说明，则以国家有关部门最新颁布的相应标准及规范为准。 </w:t>
      </w:r>
    </w:p>
    <w:p>
      <w:pPr>
        <w:pStyle w:val="48"/>
        <w:spacing w:line="440" w:lineRule="exact"/>
        <w:ind w:firstLine="420" w:firstLineChars="200"/>
        <w:rPr>
          <w:color w:val="auto"/>
          <w:sz w:val="21"/>
          <w:szCs w:val="21"/>
          <w:highlight w:val="none"/>
        </w:rPr>
      </w:pPr>
      <w:r>
        <w:rPr>
          <w:rFonts w:hint="eastAsia"/>
          <w:color w:val="auto"/>
          <w:sz w:val="21"/>
          <w:szCs w:val="21"/>
          <w:highlight w:val="none"/>
        </w:rPr>
        <w:t xml:space="preserve">3 知识产权 </w:t>
      </w:r>
    </w:p>
    <w:p>
      <w:pPr>
        <w:pStyle w:val="48"/>
        <w:spacing w:line="440" w:lineRule="exact"/>
        <w:ind w:firstLine="420" w:firstLineChars="200"/>
        <w:jc w:val="both"/>
        <w:rPr>
          <w:color w:val="auto"/>
          <w:sz w:val="21"/>
          <w:szCs w:val="21"/>
          <w:highlight w:val="none"/>
        </w:rPr>
      </w:pPr>
      <w:r>
        <w:rPr>
          <w:rFonts w:hint="eastAsia"/>
          <w:color w:val="auto"/>
          <w:sz w:val="21"/>
          <w:szCs w:val="21"/>
          <w:highlight w:val="none"/>
        </w:rPr>
        <w:t xml:space="preserve">3.1 乙方应保证甲方在使用该货物或其任何一部分时不受第三方提出的侵犯专利权、著作权、商标权和工业设计权等侵犯知识产权的起诉。如果任何第三方提出侵权指控，乙方须与第三方交涉并承担由此发生的一切责任、费用和经济赔偿，导致甲方不能使用成果的还应退还全部项目费用，并承担违约责任及赔偿因此给甲方造成的全部损失。 </w:t>
      </w:r>
    </w:p>
    <w:p>
      <w:pPr>
        <w:pStyle w:val="48"/>
        <w:spacing w:line="440" w:lineRule="exact"/>
        <w:ind w:firstLine="420" w:firstLineChars="200"/>
        <w:rPr>
          <w:color w:val="auto"/>
          <w:sz w:val="21"/>
          <w:szCs w:val="21"/>
          <w:highlight w:val="none"/>
        </w:rPr>
      </w:pPr>
      <w:r>
        <w:rPr>
          <w:rFonts w:hint="eastAsia"/>
          <w:color w:val="auto"/>
          <w:sz w:val="21"/>
          <w:szCs w:val="21"/>
          <w:highlight w:val="none"/>
        </w:rPr>
        <w:t>4 包装要求、</w:t>
      </w:r>
      <w:r>
        <w:rPr>
          <w:rFonts w:hint="eastAsia"/>
          <w:bCs/>
          <w:color w:val="auto"/>
          <w:sz w:val="21"/>
          <w:szCs w:val="21"/>
          <w:highlight w:val="none"/>
        </w:rPr>
        <w:t xml:space="preserve">安装、调试 </w:t>
      </w:r>
    </w:p>
    <w:p>
      <w:pPr>
        <w:pStyle w:val="48"/>
        <w:spacing w:line="440" w:lineRule="exact"/>
        <w:ind w:firstLine="420" w:firstLineChars="200"/>
        <w:rPr>
          <w:color w:val="auto"/>
          <w:sz w:val="21"/>
          <w:szCs w:val="21"/>
          <w:highlight w:val="none"/>
        </w:rPr>
      </w:pPr>
      <w:r>
        <w:rPr>
          <w:rFonts w:hint="eastAsia"/>
          <w:color w:val="auto"/>
          <w:sz w:val="21"/>
          <w:szCs w:val="21"/>
          <w:highlight w:val="none"/>
        </w:rPr>
        <w:t>4.1 除合同另有约定外，乙方提供的全部货物，均应采用本行业通用的方式进行包装，且该包装应符合国家有关包装的</w:t>
      </w:r>
      <w:r>
        <w:rPr>
          <w:color w:val="auto"/>
          <w:highlight w:val="none"/>
        </w:rPr>
        <w:fldChar w:fldCharType="begin"/>
      </w:r>
      <w:r>
        <w:rPr>
          <w:color w:val="auto"/>
          <w:highlight w:val="none"/>
        </w:rPr>
        <w:instrText xml:space="preserve"> HYPERLINK "http://www.chinalawedu.com/" \t "_blank" \o "法律" </w:instrText>
      </w:r>
      <w:r>
        <w:rPr>
          <w:color w:val="auto"/>
          <w:highlight w:val="none"/>
        </w:rPr>
        <w:fldChar w:fldCharType="separate"/>
      </w:r>
      <w:r>
        <w:rPr>
          <w:rStyle w:val="59"/>
          <w:color w:val="auto"/>
          <w:sz w:val="21"/>
          <w:szCs w:val="21"/>
          <w:highlight w:val="none"/>
        </w:rPr>
        <w:t>法律</w:t>
      </w:r>
      <w:r>
        <w:rPr>
          <w:rStyle w:val="59"/>
          <w:color w:val="auto"/>
          <w:sz w:val="21"/>
          <w:szCs w:val="21"/>
          <w:highlight w:val="none"/>
        </w:rPr>
        <w:fldChar w:fldCharType="end"/>
      </w:r>
      <w:r>
        <w:rPr>
          <w:rFonts w:hint="eastAsia"/>
          <w:color w:val="auto"/>
          <w:sz w:val="21"/>
          <w:szCs w:val="21"/>
          <w:highlight w:val="none"/>
        </w:rPr>
        <w:t>、</w:t>
      </w:r>
      <w:r>
        <w:rPr>
          <w:color w:val="auto"/>
          <w:highlight w:val="none"/>
        </w:rPr>
        <w:fldChar w:fldCharType="begin"/>
      </w:r>
      <w:r>
        <w:rPr>
          <w:color w:val="auto"/>
          <w:highlight w:val="none"/>
        </w:rPr>
        <w:instrText xml:space="preserve"> HYPERLINK "http://www.chinalawedu.com/falvfagui/" \t "_blank" \o "法规" </w:instrText>
      </w:r>
      <w:r>
        <w:rPr>
          <w:color w:val="auto"/>
          <w:highlight w:val="none"/>
        </w:rPr>
        <w:fldChar w:fldCharType="separate"/>
      </w:r>
      <w:r>
        <w:rPr>
          <w:rStyle w:val="59"/>
          <w:color w:val="auto"/>
          <w:sz w:val="21"/>
          <w:szCs w:val="21"/>
          <w:highlight w:val="none"/>
        </w:rPr>
        <w:t>法规</w:t>
      </w:r>
      <w:r>
        <w:rPr>
          <w:rStyle w:val="59"/>
          <w:color w:val="auto"/>
          <w:sz w:val="21"/>
          <w:szCs w:val="21"/>
          <w:highlight w:val="none"/>
        </w:rPr>
        <w:fldChar w:fldCharType="end"/>
      </w:r>
      <w:r>
        <w:rPr>
          <w:rFonts w:hint="eastAsia"/>
          <w:color w:val="auto"/>
          <w:sz w:val="21"/>
          <w:szCs w:val="21"/>
          <w:highlight w:val="none"/>
        </w:rPr>
        <w:t xml:space="preserve">的规定。包装应适应于远距离运输、防潮、防震、防锈和防粗暴装卸，确保货物安全无损，运抵现场。由于包装不善等非甲方原因所引起的货物锈蚀、损坏和损失均由乙方承担。 </w:t>
      </w:r>
    </w:p>
    <w:p>
      <w:pPr>
        <w:pStyle w:val="48"/>
        <w:spacing w:line="440" w:lineRule="exact"/>
        <w:ind w:firstLine="420" w:firstLineChars="200"/>
        <w:rPr>
          <w:color w:val="auto"/>
          <w:sz w:val="21"/>
          <w:szCs w:val="21"/>
          <w:highlight w:val="none"/>
        </w:rPr>
      </w:pPr>
      <w:r>
        <w:rPr>
          <w:rFonts w:hint="eastAsia"/>
          <w:color w:val="auto"/>
          <w:sz w:val="21"/>
          <w:szCs w:val="21"/>
          <w:highlight w:val="none"/>
        </w:rPr>
        <w:t xml:space="preserve">4.2 每件包装箱内应附一份详细装箱单、质量合格证、保修单。 </w:t>
      </w:r>
    </w:p>
    <w:p>
      <w:pPr>
        <w:pStyle w:val="48"/>
        <w:spacing w:line="440" w:lineRule="exact"/>
        <w:ind w:firstLine="422" w:firstLineChars="200"/>
        <w:rPr>
          <w:b/>
          <w:color w:val="auto"/>
          <w:sz w:val="21"/>
          <w:szCs w:val="21"/>
          <w:highlight w:val="none"/>
        </w:rPr>
      </w:pPr>
      <w:r>
        <w:rPr>
          <w:rFonts w:hint="eastAsia"/>
          <w:b/>
          <w:color w:val="auto"/>
          <w:sz w:val="21"/>
          <w:szCs w:val="21"/>
          <w:highlight w:val="none"/>
        </w:rPr>
        <w:t>4.3安装、调试</w:t>
      </w:r>
      <w:r>
        <w:rPr>
          <w:rFonts w:hint="eastAsia"/>
          <w:color w:val="auto"/>
          <w:sz w:val="21"/>
          <w:szCs w:val="21"/>
          <w:highlight w:val="none"/>
        </w:rPr>
        <w:t xml:space="preserve"> </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4.3.1乙方负责货物的包装、运输、安装、调试等工作，并承担由此产生的所有费用，乙方负责到用户指定的地点进行安装、调试。</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4.3.2乙方应提交详细安装进度表。</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4.3.3乙方应设安装负责人，负责安装协调管理工作。</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4.3.4按国家相关施工验收规范进行，分阶段进行调试。</w:t>
      </w:r>
    </w:p>
    <w:p>
      <w:pPr>
        <w:spacing w:line="360" w:lineRule="auto"/>
        <w:ind w:firstLine="420" w:firstLineChars="200"/>
        <w:rPr>
          <w:rFonts w:hint="default" w:hAnsi="宋体" w:eastAsia="宋体"/>
          <w:color w:val="auto"/>
          <w:sz w:val="21"/>
          <w:szCs w:val="21"/>
          <w:highlight w:val="none"/>
          <w:lang w:val="en-US" w:eastAsia="zh-CN"/>
        </w:rPr>
      </w:pPr>
      <w:r>
        <w:rPr>
          <w:rFonts w:hint="eastAsia" w:hAnsi="宋体"/>
          <w:color w:val="auto"/>
          <w:sz w:val="21"/>
          <w:szCs w:val="21"/>
          <w:highlight w:val="none"/>
        </w:rPr>
        <w:t>4.3.5货物的安装、调试等项工作由乙方负责，但必须在甲方指定人员的参与下进行。调试的原始记录须经各方签字后作为验收的文件之一。</w:t>
      </w:r>
      <w:r>
        <w:rPr>
          <w:rFonts w:hint="eastAsia" w:hAnsi="宋体"/>
          <w:color w:val="auto"/>
          <w:sz w:val="21"/>
          <w:szCs w:val="21"/>
          <w:highlight w:val="none"/>
          <w:lang w:val="en-US" w:eastAsia="zh-CN"/>
        </w:rPr>
        <w:t>乙方调试工作结束后，须向甲方提交调试原始记录等资料，经甲方书面确认调试合格之后，才可视为调试完成。</w:t>
      </w:r>
    </w:p>
    <w:p>
      <w:pPr>
        <w:spacing w:line="360" w:lineRule="auto"/>
        <w:ind w:firstLine="420" w:firstLineChars="200"/>
        <w:rPr>
          <w:color w:val="auto"/>
          <w:sz w:val="21"/>
          <w:szCs w:val="21"/>
          <w:highlight w:val="none"/>
        </w:rPr>
      </w:pPr>
      <w:r>
        <w:rPr>
          <w:rFonts w:hint="eastAsia" w:hAnsi="宋体"/>
          <w:color w:val="auto"/>
          <w:sz w:val="21"/>
          <w:szCs w:val="21"/>
          <w:highlight w:val="none"/>
        </w:rPr>
        <w:t>4.3.6货物开始安装后，甲方可以抽样到市级以上专业部门进行环保检测，如果产品及格则进行验收，如果不及格甲方有权退货。（抽样费用由乙方承担。）</w:t>
      </w:r>
    </w:p>
    <w:p>
      <w:pPr>
        <w:pStyle w:val="48"/>
        <w:spacing w:line="440" w:lineRule="exact"/>
        <w:ind w:firstLine="420" w:firstLineChars="200"/>
        <w:rPr>
          <w:color w:val="auto"/>
          <w:sz w:val="21"/>
          <w:szCs w:val="21"/>
          <w:highlight w:val="none"/>
        </w:rPr>
      </w:pPr>
      <w:r>
        <w:rPr>
          <w:rFonts w:hint="eastAsia"/>
          <w:color w:val="auto"/>
          <w:sz w:val="21"/>
          <w:szCs w:val="21"/>
          <w:highlight w:val="none"/>
        </w:rPr>
        <w:t xml:space="preserve">5 交货方式 </w:t>
      </w:r>
    </w:p>
    <w:p>
      <w:pPr>
        <w:pStyle w:val="48"/>
        <w:spacing w:line="440" w:lineRule="exact"/>
        <w:ind w:firstLine="420" w:firstLineChars="200"/>
        <w:rPr>
          <w:color w:val="auto"/>
          <w:sz w:val="21"/>
          <w:szCs w:val="21"/>
          <w:highlight w:val="none"/>
        </w:rPr>
      </w:pPr>
      <w:r>
        <w:rPr>
          <w:rFonts w:hint="eastAsia"/>
          <w:color w:val="auto"/>
          <w:sz w:val="21"/>
          <w:szCs w:val="21"/>
          <w:highlight w:val="none"/>
        </w:rPr>
        <w:t>5.1 乙方应按甲方指定时间和地点交货。</w:t>
      </w:r>
    </w:p>
    <w:p>
      <w:pPr>
        <w:pStyle w:val="48"/>
        <w:spacing w:line="440" w:lineRule="exact"/>
        <w:ind w:firstLine="420" w:firstLineChars="200"/>
        <w:rPr>
          <w:color w:val="auto"/>
          <w:sz w:val="21"/>
          <w:szCs w:val="21"/>
          <w:highlight w:val="none"/>
        </w:rPr>
      </w:pPr>
      <w:r>
        <w:rPr>
          <w:rFonts w:hint="eastAsia"/>
          <w:color w:val="auto"/>
          <w:sz w:val="21"/>
          <w:szCs w:val="21"/>
          <w:highlight w:val="none"/>
        </w:rPr>
        <w:t xml:space="preserve">6技术资料 </w:t>
      </w:r>
    </w:p>
    <w:p>
      <w:pPr>
        <w:pStyle w:val="48"/>
        <w:spacing w:line="440" w:lineRule="exact"/>
        <w:ind w:firstLine="420" w:firstLineChars="200"/>
        <w:rPr>
          <w:color w:val="auto"/>
          <w:sz w:val="21"/>
          <w:szCs w:val="21"/>
          <w:highlight w:val="none"/>
          <w:u w:val="single"/>
        </w:rPr>
      </w:pPr>
      <w:r>
        <w:rPr>
          <w:rFonts w:hint="eastAsia"/>
          <w:color w:val="auto"/>
          <w:sz w:val="21"/>
          <w:szCs w:val="21"/>
          <w:highlight w:val="none"/>
        </w:rPr>
        <w:t>6.1本合同技术资料（除合同主要条款规定外）将以下方式交付：</w:t>
      </w:r>
      <w:r>
        <w:rPr>
          <w:rFonts w:hint="eastAsia"/>
          <w:color w:val="auto"/>
          <w:sz w:val="21"/>
          <w:szCs w:val="21"/>
          <w:highlight w:val="none"/>
          <w:u w:val="single"/>
        </w:rPr>
        <w:t xml:space="preserve">  </w:t>
      </w:r>
    </w:p>
    <w:p>
      <w:pPr>
        <w:pStyle w:val="48"/>
        <w:spacing w:line="440" w:lineRule="exact"/>
        <w:ind w:firstLine="420" w:firstLineChars="200"/>
        <w:rPr>
          <w:color w:val="auto"/>
          <w:sz w:val="21"/>
          <w:szCs w:val="21"/>
          <w:highlight w:val="none"/>
        </w:rPr>
      </w:pPr>
      <w:r>
        <w:rPr>
          <w:rFonts w:hint="eastAsia"/>
          <w:color w:val="auto"/>
          <w:sz w:val="21"/>
          <w:szCs w:val="21"/>
          <w:highlight w:val="none"/>
        </w:rPr>
        <w:t xml:space="preserve">乙方在申请竣工验收之前，须提交竣工验收申请资料，竣工验收合格，提交完整的竣工资料（含光盘）给甲方检查存档，同步办理结算（结算资料含光盘）。 </w:t>
      </w:r>
    </w:p>
    <w:p>
      <w:pPr>
        <w:pStyle w:val="48"/>
        <w:spacing w:line="440" w:lineRule="exact"/>
        <w:ind w:firstLine="420" w:firstLineChars="200"/>
        <w:rPr>
          <w:color w:val="auto"/>
          <w:sz w:val="21"/>
          <w:szCs w:val="21"/>
          <w:highlight w:val="none"/>
        </w:rPr>
      </w:pPr>
      <w:r>
        <w:rPr>
          <w:rFonts w:hint="eastAsia"/>
          <w:color w:val="auto"/>
          <w:sz w:val="21"/>
          <w:szCs w:val="21"/>
          <w:highlight w:val="none"/>
        </w:rPr>
        <w:t>6.2乙方所提供货物必须符合国家有关规范和环保要求及甲方的技术要求，并提供货物的出厂测试报告及合格证，进口产品必须具备原产地证明或商检部门的检验证明及合法进货渠道证明。</w:t>
      </w:r>
    </w:p>
    <w:p>
      <w:pPr>
        <w:pStyle w:val="48"/>
        <w:spacing w:line="440" w:lineRule="exact"/>
        <w:ind w:firstLine="420" w:firstLineChars="200"/>
        <w:rPr>
          <w:color w:val="auto"/>
          <w:sz w:val="21"/>
          <w:szCs w:val="21"/>
          <w:highlight w:val="none"/>
        </w:rPr>
      </w:pPr>
      <w:r>
        <w:rPr>
          <w:rFonts w:hint="eastAsia"/>
          <w:color w:val="auto"/>
          <w:sz w:val="21"/>
          <w:szCs w:val="21"/>
          <w:highlight w:val="none"/>
        </w:rPr>
        <w:t xml:space="preserve">7 质量保证 </w:t>
      </w:r>
    </w:p>
    <w:p>
      <w:pPr>
        <w:pStyle w:val="48"/>
        <w:spacing w:line="440" w:lineRule="exact"/>
        <w:ind w:firstLine="420" w:firstLineChars="200"/>
        <w:rPr>
          <w:color w:val="auto"/>
          <w:sz w:val="21"/>
          <w:szCs w:val="21"/>
          <w:highlight w:val="none"/>
        </w:rPr>
      </w:pPr>
      <w:r>
        <w:rPr>
          <w:rFonts w:hint="eastAsia"/>
          <w:color w:val="auto"/>
          <w:sz w:val="21"/>
          <w:szCs w:val="21"/>
          <w:highlight w:val="none"/>
        </w:rPr>
        <w:t>7.1 乙方所</w:t>
      </w:r>
      <w:r>
        <w:rPr>
          <w:rFonts w:hint="eastAsia"/>
          <w:color w:val="auto"/>
          <w:sz w:val="21"/>
          <w:szCs w:val="21"/>
          <w:highlight w:val="none"/>
          <w:lang w:val="en-US" w:eastAsia="zh-CN"/>
        </w:rPr>
        <w:t>供</w:t>
      </w:r>
      <w:r>
        <w:rPr>
          <w:rFonts w:hint="eastAsia"/>
          <w:color w:val="auto"/>
          <w:sz w:val="21"/>
          <w:szCs w:val="21"/>
          <w:highlight w:val="none"/>
        </w:rPr>
        <w:t>货物必须是原装、全新的产品，并且符合国家以及该产品的出厂标准。</w:t>
      </w:r>
    </w:p>
    <w:p>
      <w:pPr>
        <w:pStyle w:val="48"/>
        <w:spacing w:line="440" w:lineRule="exact"/>
        <w:ind w:firstLine="420" w:firstLineChars="200"/>
        <w:rPr>
          <w:color w:val="auto"/>
          <w:sz w:val="21"/>
          <w:szCs w:val="21"/>
          <w:highlight w:val="none"/>
        </w:rPr>
      </w:pPr>
      <w:r>
        <w:rPr>
          <w:rFonts w:hint="eastAsia"/>
          <w:color w:val="auto"/>
          <w:sz w:val="21"/>
          <w:szCs w:val="21"/>
          <w:highlight w:val="none"/>
        </w:rPr>
        <w:t>7.2 乙方所</w:t>
      </w:r>
      <w:r>
        <w:rPr>
          <w:rFonts w:hint="eastAsia"/>
          <w:color w:val="auto"/>
          <w:sz w:val="21"/>
          <w:szCs w:val="21"/>
          <w:highlight w:val="none"/>
          <w:lang w:val="en-US" w:eastAsia="zh-CN"/>
        </w:rPr>
        <w:t>供</w:t>
      </w:r>
      <w:r>
        <w:rPr>
          <w:rFonts w:hint="eastAsia"/>
          <w:color w:val="auto"/>
          <w:sz w:val="21"/>
          <w:szCs w:val="21"/>
          <w:highlight w:val="none"/>
        </w:rPr>
        <w:t>货物必须使用环保材料并符合国家环保要求及标准。</w:t>
      </w:r>
    </w:p>
    <w:p>
      <w:pPr>
        <w:pStyle w:val="48"/>
        <w:spacing w:line="440" w:lineRule="exact"/>
        <w:ind w:firstLine="420" w:firstLineChars="200"/>
        <w:rPr>
          <w:color w:val="auto"/>
          <w:sz w:val="21"/>
          <w:szCs w:val="21"/>
          <w:highlight w:val="none"/>
        </w:rPr>
      </w:pPr>
      <w:r>
        <w:rPr>
          <w:rFonts w:hint="eastAsia"/>
          <w:color w:val="auto"/>
          <w:sz w:val="21"/>
          <w:szCs w:val="21"/>
          <w:highlight w:val="none"/>
        </w:rPr>
        <w:t>7.3 所有货物在开箱检验时必须完好，无破损，配置与装箱单相符。数量、质量及性能不低于采购文件需求书中提出的要求。</w:t>
      </w:r>
    </w:p>
    <w:p>
      <w:pPr>
        <w:pStyle w:val="48"/>
        <w:spacing w:line="440" w:lineRule="exact"/>
        <w:ind w:firstLine="420" w:firstLineChars="200"/>
        <w:rPr>
          <w:color w:val="auto"/>
          <w:sz w:val="21"/>
          <w:szCs w:val="21"/>
          <w:highlight w:val="none"/>
        </w:rPr>
      </w:pPr>
      <w:r>
        <w:rPr>
          <w:rFonts w:hint="eastAsia"/>
          <w:color w:val="auto"/>
          <w:sz w:val="21"/>
          <w:szCs w:val="21"/>
          <w:highlight w:val="none"/>
        </w:rPr>
        <w:t>7.4 货物外观清洁，标记编号以及盘面显示等字体清晰，明确。</w:t>
      </w:r>
    </w:p>
    <w:p>
      <w:pPr>
        <w:pStyle w:val="48"/>
        <w:spacing w:line="440" w:lineRule="exact"/>
        <w:ind w:firstLine="420" w:firstLineChars="200"/>
        <w:rPr>
          <w:color w:val="auto"/>
          <w:sz w:val="21"/>
          <w:szCs w:val="21"/>
          <w:highlight w:val="none"/>
        </w:rPr>
      </w:pPr>
      <w:r>
        <w:rPr>
          <w:rFonts w:hint="eastAsia"/>
          <w:color w:val="auto"/>
          <w:sz w:val="21"/>
          <w:szCs w:val="21"/>
          <w:highlight w:val="none"/>
        </w:rPr>
        <w:t>7.5 对于影响货物正常工作的必要组成部分，无论在技术规范中指出与否，乙方都应提供并在投标文件中明确列出。</w:t>
      </w:r>
    </w:p>
    <w:p>
      <w:pPr>
        <w:pStyle w:val="48"/>
        <w:spacing w:line="440" w:lineRule="exact"/>
        <w:ind w:firstLine="420" w:firstLineChars="200"/>
        <w:rPr>
          <w:color w:val="auto"/>
          <w:sz w:val="21"/>
          <w:szCs w:val="21"/>
          <w:highlight w:val="none"/>
        </w:rPr>
      </w:pPr>
      <w:r>
        <w:rPr>
          <w:rFonts w:hint="eastAsia"/>
          <w:color w:val="auto"/>
          <w:sz w:val="21"/>
          <w:szCs w:val="21"/>
          <w:highlight w:val="none"/>
        </w:rPr>
        <w:t>7.6 乙方在实际供货时，若被发现提供的货物未能达到采购文件和投标文件中的有关要求，甲方应以书面形式通知乙方责令整改。</w:t>
      </w:r>
      <w:r>
        <w:rPr>
          <w:rFonts w:hint="eastAsia"/>
          <w:color w:val="auto"/>
          <w:sz w:val="21"/>
          <w:szCs w:val="21"/>
          <w:highlight w:val="none"/>
          <w:lang w:val="en-US" w:eastAsia="zh-CN"/>
        </w:rPr>
        <w:t>在</w:t>
      </w:r>
      <w:r>
        <w:rPr>
          <w:rFonts w:hint="eastAsia"/>
          <w:color w:val="auto"/>
          <w:sz w:val="21"/>
          <w:szCs w:val="21"/>
          <w:highlight w:val="none"/>
        </w:rPr>
        <w:t>甲方要求</w:t>
      </w:r>
      <w:r>
        <w:rPr>
          <w:rFonts w:hint="eastAsia"/>
          <w:color w:val="auto"/>
          <w:sz w:val="21"/>
          <w:szCs w:val="21"/>
          <w:highlight w:val="none"/>
          <w:lang w:val="en-US" w:eastAsia="zh-CN"/>
        </w:rPr>
        <w:t>乙方</w:t>
      </w:r>
      <w:r>
        <w:rPr>
          <w:rFonts w:hint="eastAsia"/>
          <w:color w:val="auto"/>
          <w:sz w:val="21"/>
          <w:szCs w:val="21"/>
          <w:highlight w:val="none"/>
        </w:rPr>
        <w:t>整改之日起5日内仍无实质性改进的，</w:t>
      </w:r>
      <w:r>
        <w:rPr>
          <w:rFonts w:hint="eastAsia"/>
          <w:color w:val="auto"/>
          <w:sz w:val="21"/>
          <w:szCs w:val="21"/>
          <w:highlight w:val="none"/>
          <w:lang w:val="en-US" w:eastAsia="zh-CN"/>
        </w:rPr>
        <w:t>甲方将</w:t>
      </w:r>
      <w:r>
        <w:rPr>
          <w:rFonts w:hint="eastAsia"/>
          <w:color w:val="auto"/>
          <w:sz w:val="21"/>
          <w:szCs w:val="21"/>
          <w:highlight w:val="none"/>
        </w:rPr>
        <w:t>按合同违约条款</w:t>
      </w:r>
      <w:r>
        <w:rPr>
          <w:rFonts w:hint="eastAsia"/>
          <w:color w:val="auto"/>
          <w:sz w:val="21"/>
          <w:szCs w:val="21"/>
          <w:highlight w:val="none"/>
          <w:lang w:val="en-US" w:eastAsia="zh-CN"/>
        </w:rPr>
        <w:t>对乙方</w:t>
      </w:r>
      <w:r>
        <w:rPr>
          <w:rFonts w:hint="eastAsia"/>
          <w:color w:val="auto"/>
          <w:sz w:val="21"/>
          <w:szCs w:val="21"/>
          <w:highlight w:val="none"/>
        </w:rPr>
        <w:t>进行处罚。</w:t>
      </w:r>
    </w:p>
    <w:p>
      <w:pPr>
        <w:pStyle w:val="48"/>
        <w:spacing w:line="440" w:lineRule="exact"/>
        <w:ind w:firstLine="420" w:firstLineChars="200"/>
        <w:rPr>
          <w:color w:val="auto"/>
          <w:sz w:val="21"/>
          <w:szCs w:val="21"/>
          <w:highlight w:val="none"/>
        </w:rPr>
      </w:pPr>
      <w:r>
        <w:rPr>
          <w:rFonts w:hint="eastAsia"/>
          <w:color w:val="auto"/>
          <w:sz w:val="21"/>
          <w:szCs w:val="21"/>
          <w:highlight w:val="none"/>
        </w:rPr>
        <w:t>7.7 乙方应保证主要材料零部件产地符合用户需求书的有关规定，所有主要材料零部件必须能提供原产地证明、出厂检验报告、完税证明。任何时候，甲方发现产地不符合要求，乙方应无偿更换或负进一步责任。</w:t>
      </w:r>
    </w:p>
    <w:p>
      <w:pPr>
        <w:pStyle w:val="48"/>
        <w:spacing w:line="440" w:lineRule="exact"/>
        <w:ind w:firstLine="420" w:firstLineChars="200"/>
        <w:rPr>
          <w:color w:val="auto"/>
          <w:sz w:val="21"/>
          <w:szCs w:val="21"/>
          <w:highlight w:val="none"/>
        </w:rPr>
      </w:pPr>
      <w:r>
        <w:rPr>
          <w:rFonts w:hint="eastAsia"/>
          <w:color w:val="auto"/>
          <w:sz w:val="21"/>
          <w:szCs w:val="21"/>
          <w:highlight w:val="none"/>
        </w:rPr>
        <w:t>7.8 货物验收合格后，免费保修期为2年（</w:t>
      </w:r>
      <w:r>
        <w:rPr>
          <w:rFonts w:hint="eastAsia"/>
          <w:color w:val="auto"/>
          <w:sz w:val="21"/>
          <w:szCs w:val="21"/>
          <w:highlight w:val="none"/>
          <w:lang w:val="en-US" w:eastAsia="zh-CN"/>
        </w:rPr>
        <w:t>有更高要求的遵循更高要求</w:t>
      </w:r>
      <w:r>
        <w:rPr>
          <w:rFonts w:hint="eastAsia"/>
          <w:color w:val="auto"/>
          <w:sz w:val="21"/>
          <w:szCs w:val="21"/>
          <w:highlight w:val="none"/>
        </w:rPr>
        <w:t>），时间自货物最终验收合格并交付使用之日起计算，个别货物在采购货物清单内有具体要求保修方式的以该要求为准，人为因素损坏除外。</w:t>
      </w:r>
    </w:p>
    <w:p>
      <w:pPr>
        <w:pStyle w:val="48"/>
        <w:spacing w:line="440" w:lineRule="exact"/>
        <w:ind w:firstLine="420" w:firstLineChars="200"/>
        <w:rPr>
          <w:color w:val="auto"/>
          <w:sz w:val="21"/>
          <w:szCs w:val="21"/>
          <w:highlight w:val="none"/>
        </w:rPr>
      </w:pPr>
      <w:r>
        <w:rPr>
          <w:rFonts w:hint="eastAsia"/>
          <w:color w:val="auto"/>
          <w:sz w:val="21"/>
          <w:szCs w:val="21"/>
          <w:highlight w:val="none"/>
        </w:rPr>
        <w:t>7.9 免费保修期内非人为原因损坏、失效或已达到报废标准的零部件除无偿更换外，对更换上的零部件还应有继续五年的免费保修期。凡因产品质量问题，在保修期内若设备经检修后又在同一部件出现相同质量故障，可无偿更换</w:t>
      </w:r>
      <w:r>
        <w:rPr>
          <w:rFonts w:hint="eastAsia"/>
          <w:color w:val="auto"/>
          <w:sz w:val="21"/>
          <w:szCs w:val="21"/>
          <w:highlight w:val="none"/>
          <w:lang w:val="en-US" w:eastAsia="zh-CN"/>
        </w:rPr>
        <w:t>不低于原设备</w:t>
      </w:r>
      <w:r>
        <w:rPr>
          <w:rFonts w:hint="eastAsia"/>
          <w:color w:val="auto"/>
          <w:sz w:val="21"/>
          <w:szCs w:val="21"/>
          <w:highlight w:val="none"/>
        </w:rPr>
        <w:t>档次</w:t>
      </w:r>
      <w:r>
        <w:rPr>
          <w:rFonts w:hint="eastAsia"/>
          <w:color w:val="auto"/>
          <w:sz w:val="21"/>
          <w:szCs w:val="21"/>
          <w:highlight w:val="none"/>
          <w:lang w:val="en-US" w:eastAsia="zh-CN"/>
        </w:rPr>
        <w:t>的</w:t>
      </w:r>
      <w:r>
        <w:rPr>
          <w:rFonts w:hint="eastAsia"/>
          <w:color w:val="auto"/>
          <w:sz w:val="21"/>
          <w:szCs w:val="21"/>
          <w:highlight w:val="none"/>
        </w:rPr>
        <w:t>新设备部件。</w:t>
      </w:r>
    </w:p>
    <w:p>
      <w:pPr>
        <w:pStyle w:val="48"/>
        <w:spacing w:line="440" w:lineRule="exact"/>
        <w:ind w:firstLine="420" w:firstLineChars="200"/>
        <w:rPr>
          <w:color w:val="auto"/>
          <w:sz w:val="21"/>
          <w:szCs w:val="21"/>
          <w:highlight w:val="none"/>
        </w:rPr>
      </w:pPr>
      <w:r>
        <w:rPr>
          <w:rFonts w:hint="eastAsia"/>
          <w:color w:val="auto"/>
          <w:sz w:val="21"/>
          <w:szCs w:val="21"/>
          <w:highlight w:val="none"/>
        </w:rPr>
        <w:t>7.10质保期内非甲方/用户的人为原因而出现产品质量及安装问题，由乙方负责包修、包换或包退，并承担因此而产生的一切费用。</w:t>
      </w:r>
    </w:p>
    <w:p>
      <w:pPr>
        <w:pStyle w:val="48"/>
        <w:spacing w:line="440" w:lineRule="exact"/>
        <w:ind w:firstLine="420" w:firstLineChars="200"/>
        <w:rPr>
          <w:color w:val="auto"/>
          <w:sz w:val="21"/>
          <w:szCs w:val="21"/>
          <w:highlight w:val="none"/>
        </w:rPr>
      </w:pPr>
      <w:r>
        <w:rPr>
          <w:rFonts w:hint="eastAsia"/>
          <w:color w:val="auto"/>
          <w:sz w:val="21"/>
          <w:szCs w:val="21"/>
          <w:highlight w:val="none"/>
        </w:rPr>
        <w:t>7.11 除“合同主要条款”规定外，合同项下货物的质量保证期为自货物通过最终验收之日起两年（如相关规定超过该期限，则按照该规定执行）。</w:t>
      </w:r>
    </w:p>
    <w:p>
      <w:pPr>
        <w:pStyle w:val="48"/>
        <w:spacing w:line="440" w:lineRule="exact"/>
        <w:ind w:firstLine="420" w:firstLineChars="200"/>
        <w:rPr>
          <w:color w:val="auto"/>
          <w:sz w:val="21"/>
          <w:szCs w:val="21"/>
          <w:highlight w:val="none"/>
        </w:rPr>
      </w:pPr>
      <w:r>
        <w:rPr>
          <w:rFonts w:hint="eastAsia"/>
          <w:color w:val="auto"/>
          <w:sz w:val="21"/>
          <w:szCs w:val="21"/>
          <w:highlight w:val="none"/>
        </w:rPr>
        <w:t xml:space="preserve">8 检验和验收、售后服务要求 </w:t>
      </w:r>
    </w:p>
    <w:p>
      <w:pPr>
        <w:pStyle w:val="48"/>
        <w:spacing w:line="440" w:lineRule="exact"/>
        <w:ind w:firstLine="420"/>
        <w:rPr>
          <w:color w:val="auto"/>
          <w:sz w:val="21"/>
          <w:szCs w:val="21"/>
          <w:highlight w:val="none"/>
        </w:rPr>
      </w:pPr>
      <w:r>
        <w:rPr>
          <w:rFonts w:hint="eastAsia"/>
          <w:color w:val="auto"/>
          <w:sz w:val="21"/>
          <w:szCs w:val="21"/>
          <w:highlight w:val="none"/>
        </w:rPr>
        <w:t>8.1 验收工作由甲方（或甲方指定的单位）和乙方共同进行。</w:t>
      </w:r>
    </w:p>
    <w:p>
      <w:pPr>
        <w:pStyle w:val="48"/>
        <w:spacing w:line="440" w:lineRule="exact"/>
        <w:ind w:firstLine="420"/>
        <w:rPr>
          <w:color w:val="auto"/>
          <w:sz w:val="21"/>
          <w:szCs w:val="21"/>
          <w:highlight w:val="none"/>
        </w:rPr>
      </w:pPr>
      <w:r>
        <w:rPr>
          <w:rFonts w:hint="eastAsia"/>
          <w:color w:val="auto"/>
          <w:sz w:val="21"/>
          <w:szCs w:val="21"/>
          <w:highlight w:val="none"/>
        </w:rPr>
        <w:t>8.2 验收的项目指标、方法和检测仪器等原则上由乙方在验收开始前5个工作日提交甲方。甲方可以根据技术规范书和国家有关标准进行修改和补充，经双方确认后作为验收的依据。</w:t>
      </w:r>
    </w:p>
    <w:p>
      <w:pPr>
        <w:pStyle w:val="48"/>
        <w:spacing w:line="440" w:lineRule="exact"/>
        <w:ind w:firstLine="420"/>
        <w:rPr>
          <w:color w:val="auto"/>
          <w:sz w:val="21"/>
          <w:szCs w:val="21"/>
          <w:highlight w:val="none"/>
        </w:rPr>
      </w:pPr>
      <w:r>
        <w:rPr>
          <w:rFonts w:hint="eastAsia"/>
          <w:color w:val="auto"/>
          <w:sz w:val="21"/>
          <w:szCs w:val="21"/>
          <w:highlight w:val="none"/>
        </w:rPr>
        <w:t>8.3 验收以甲方技术人员为主，</w:t>
      </w:r>
      <w:r>
        <w:rPr>
          <w:rFonts w:hint="eastAsia"/>
          <w:color w:val="auto"/>
          <w:sz w:val="21"/>
          <w:szCs w:val="21"/>
          <w:highlight w:val="none"/>
          <w:lang w:val="en-US" w:eastAsia="zh-CN"/>
        </w:rPr>
        <w:t>乙方</w:t>
      </w:r>
      <w:r>
        <w:rPr>
          <w:rFonts w:hint="eastAsia"/>
          <w:color w:val="auto"/>
          <w:sz w:val="21"/>
          <w:szCs w:val="21"/>
          <w:highlight w:val="none"/>
        </w:rPr>
        <w:t>提供技术支援，对在测试中发现的技术问题双方记录，完成测试后，双方签署终验测试报告。</w:t>
      </w:r>
    </w:p>
    <w:p>
      <w:pPr>
        <w:pStyle w:val="48"/>
        <w:spacing w:line="440" w:lineRule="exact"/>
        <w:ind w:firstLine="420"/>
        <w:rPr>
          <w:color w:val="auto"/>
          <w:sz w:val="21"/>
          <w:szCs w:val="21"/>
          <w:highlight w:val="none"/>
        </w:rPr>
      </w:pPr>
      <w:r>
        <w:rPr>
          <w:rFonts w:hint="eastAsia"/>
          <w:color w:val="auto"/>
          <w:sz w:val="21"/>
          <w:szCs w:val="21"/>
          <w:highlight w:val="none"/>
        </w:rPr>
        <w:t>8.4 在验收</w:t>
      </w:r>
      <w:r>
        <w:rPr>
          <w:rFonts w:hint="eastAsia"/>
          <w:color w:val="auto"/>
          <w:sz w:val="21"/>
          <w:szCs w:val="21"/>
          <w:highlight w:val="none"/>
          <w:lang w:val="en-US" w:eastAsia="zh-CN"/>
        </w:rPr>
        <w:t>前</w:t>
      </w:r>
      <w:r>
        <w:rPr>
          <w:rFonts w:hint="eastAsia"/>
          <w:color w:val="auto"/>
          <w:sz w:val="21"/>
          <w:szCs w:val="21"/>
          <w:highlight w:val="none"/>
        </w:rPr>
        <w:t>，乙方应向甲方提供货物的出厂合格证书、出厂检测报告、厂家装箱清单、使用说明、操作手册、随机附件及其他相关资料。</w:t>
      </w:r>
    </w:p>
    <w:p>
      <w:pPr>
        <w:pStyle w:val="48"/>
        <w:spacing w:line="440" w:lineRule="exact"/>
        <w:ind w:firstLine="420"/>
        <w:rPr>
          <w:color w:val="auto"/>
          <w:sz w:val="21"/>
          <w:szCs w:val="21"/>
          <w:highlight w:val="none"/>
        </w:rPr>
      </w:pPr>
      <w:r>
        <w:rPr>
          <w:rFonts w:hint="eastAsia"/>
          <w:color w:val="auto"/>
          <w:sz w:val="21"/>
          <w:szCs w:val="21"/>
          <w:highlight w:val="none"/>
        </w:rPr>
        <w:t>8.5 由甲方对货物的质量、规格、数量和运行状况及其他进行检验。如发现质量、规格、数量和运行状况等任何一项与采购要求规定不符，甲方有权拒绝验收。</w:t>
      </w:r>
    </w:p>
    <w:p>
      <w:pPr>
        <w:pStyle w:val="48"/>
        <w:spacing w:line="440" w:lineRule="exact"/>
        <w:ind w:firstLine="420"/>
        <w:rPr>
          <w:color w:val="auto"/>
          <w:sz w:val="21"/>
          <w:szCs w:val="21"/>
          <w:highlight w:val="none"/>
        </w:rPr>
      </w:pPr>
      <w:r>
        <w:rPr>
          <w:rFonts w:hint="eastAsia"/>
          <w:color w:val="auto"/>
          <w:sz w:val="21"/>
          <w:szCs w:val="21"/>
          <w:highlight w:val="none"/>
        </w:rPr>
        <w:t>8.6 如因乙方的货物质量原因而影响安装工期，则工期每影响24小时罚款2万元。</w:t>
      </w:r>
    </w:p>
    <w:p>
      <w:pPr>
        <w:pStyle w:val="48"/>
        <w:spacing w:line="440" w:lineRule="exact"/>
        <w:ind w:firstLine="420"/>
        <w:rPr>
          <w:color w:val="auto"/>
          <w:sz w:val="21"/>
          <w:szCs w:val="21"/>
          <w:highlight w:val="none"/>
        </w:rPr>
      </w:pPr>
      <w:r>
        <w:rPr>
          <w:rFonts w:hint="eastAsia"/>
          <w:color w:val="auto"/>
          <w:sz w:val="21"/>
          <w:szCs w:val="21"/>
          <w:highlight w:val="none"/>
        </w:rPr>
        <w:t>8.7如因乙方的技术原因，导致某情况下某设备不能正常使用而影响调试进度，罚款不少于1万元/每（套）。</w:t>
      </w:r>
    </w:p>
    <w:p>
      <w:pPr>
        <w:pStyle w:val="48"/>
        <w:spacing w:line="440" w:lineRule="exact"/>
        <w:ind w:firstLine="420"/>
        <w:rPr>
          <w:rFonts w:hint="default"/>
          <w:color w:val="auto"/>
          <w:sz w:val="21"/>
          <w:szCs w:val="21"/>
          <w:highlight w:val="none"/>
          <w:lang w:val="en-US" w:eastAsia="zh-CN"/>
        </w:rPr>
      </w:pPr>
      <w:r>
        <w:rPr>
          <w:rFonts w:hint="eastAsia"/>
          <w:color w:val="auto"/>
          <w:sz w:val="21"/>
          <w:szCs w:val="21"/>
          <w:highlight w:val="none"/>
        </w:rPr>
        <w:t>8.8以上出现的问题，除了罚款外，均由乙方</w:t>
      </w:r>
      <w:r>
        <w:rPr>
          <w:rFonts w:hint="eastAsia"/>
          <w:color w:val="auto"/>
          <w:sz w:val="21"/>
          <w:szCs w:val="21"/>
          <w:highlight w:val="none"/>
          <w:lang w:val="en-US" w:eastAsia="zh-CN"/>
        </w:rPr>
        <w:t>按照甲方限定的合理时间内</w:t>
      </w:r>
      <w:r>
        <w:rPr>
          <w:rFonts w:hint="eastAsia"/>
          <w:color w:val="auto"/>
          <w:sz w:val="21"/>
          <w:szCs w:val="21"/>
          <w:highlight w:val="none"/>
        </w:rPr>
        <w:t>免费负责处理（包括缺陷处理、更换新部件备件或货物）。</w:t>
      </w:r>
    </w:p>
    <w:p>
      <w:pPr>
        <w:pStyle w:val="48"/>
        <w:spacing w:line="440" w:lineRule="exact"/>
        <w:ind w:firstLine="420"/>
        <w:rPr>
          <w:color w:val="auto"/>
          <w:sz w:val="21"/>
          <w:szCs w:val="21"/>
          <w:highlight w:val="none"/>
        </w:rPr>
      </w:pPr>
      <w:r>
        <w:rPr>
          <w:rFonts w:hint="eastAsia"/>
          <w:color w:val="auto"/>
          <w:sz w:val="21"/>
          <w:szCs w:val="21"/>
          <w:highlight w:val="none"/>
        </w:rPr>
        <w:t>8.9售后服务</w:t>
      </w:r>
    </w:p>
    <w:p>
      <w:pPr>
        <w:pStyle w:val="48"/>
        <w:spacing w:line="440" w:lineRule="exact"/>
        <w:ind w:firstLine="420"/>
        <w:rPr>
          <w:color w:val="auto"/>
          <w:sz w:val="21"/>
          <w:szCs w:val="21"/>
          <w:highlight w:val="none"/>
        </w:rPr>
      </w:pPr>
      <w:r>
        <w:rPr>
          <w:rFonts w:hint="eastAsia"/>
          <w:color w:val="auto"/>
          <w:sz w:val="21"/>
          <w:szCs w:val="21"/>
          <w:highlight w:val="none"/>
        </w:rPr>
        <w:t>8.9.1免费保修期内：</w:t>
      </w:r>
    </w:p>
    <w:p>
      <w:pPr>
        <w:pStyle w:val="203"/>
        <w:snapToGrid w:val="0"/>
        <w:spacing w:before="312" w:after="312" w:line="440" w:lineRule="exact"/>
        <w:ind w:firstLine="420"/>
        <w:rPr>
          <w:rStyle w:val="204"/>
          <w:color w:val="auto"/>
          <w:sz w:val="21"/>
          <w:szCs w:val="21"/>
          <w:highlight w:val="none"/>
        </w:rPr>
      </w:pPr>
      <w:r>
        <w:rPr>
          <w:rStyle w:val="204"/>
          <w:color w:val="auto"/>
          <w:sz w:val="21"/>
          <w:szCs w:val="21"/>
          <w:highlight w:val="none"/>
        </w:rPr>
        <w:t>（1）故障响应时间：免费保修期内，货物出现质量问题，乙方接到质量问题通知后1个小时内到场处理，小故障2小时内修复，大故障24个小时内修复，如无法修复须提供相应规格的货物供甲方替代使用；其他服务承诺在投标文件中说明。如乙方怠于响应或不能及时维修的，甲方有权委托第三方履行，产生的费用及损失一并由乙方承担。</w:t>
      </w:r>
    </w:p>
    <w:p>
      <w:pPr>
        <w:pStyle w:val="48"/>
        <w:spacing w:line="440" w:lineRule="exact"/>
        <w:ind w:firstLine="420"/>
        <w:rPr>
          <w:color w:val="auto"/>
          <w:sz w:val="21"/>
          <w:szCs w:val="21"/>
          <w:highlight w:val="none"/>
        </w:rPr>
      </w:pPr>
      <w:r>
        <w:rPr>
          <w:rFonts w:hint="eastAsia"/>
          <w:color w:val="auto"/>
          <w:sz w:val="21"/>
          <w:szCs w:val="21"/>
          <w:highlight w:val="none"/>
        </w:rPr>
        <w:t>（2）如果货物不能稳定地达到</w:t>
      </w:r>
      <w:r>
        <w:rPr>
          <w:rFonts w:hint="eastAsia"/>
          <w:color w:val="auto"/>
          <w:sz w:val="21"/>
          <w:szCs w:val="21"/>
          <w:highlight w:val="none"/>
          <w:lang w:val="en-US" w:eastAsia="zh-CN"/>
        </w:rPr>
        <w:t>乙方</w:t>
      </w:r>
      <w:r>
        <w:rPr>
          <w:rFonts w:hint="eastAsia"/>
          <w:color w:val="auto"/>
          <w:sz w:val="21"/>
          <w:szCs w:val="21"/>
          <w:highlight w:val="none"/>
        </w:rPr>
        <w:t>承诺的全部功能，</w:t>
      </w:r>
      <w:r>
        <w:rPr>
          <w:rFonts w:hint="eastAsia"/>
          <w:color w:val="auto"/>
          <w:sz w:val="21"/>
          <w:szCs w:val="21"/>
          <w:highlight w:val="none"/>
          <w:lang w:val="en-US" w:eastAsia="zh-CN"/>
        </w:rPr>
        <w:t>乙方</w:t>
      </w:r>
      <w:r>
        <w:rPr>
          <w:rFonts w:hint="eastAsia"/>
          <w:color w:val="auto"/>
          <w:sz w:val="21"/>
          <w:szCs w:val="21"/>
          <w:highlight w:val="none"/>
        </w:rPr>
        <w:t>应对此承担责任并承担全部相关费用以及买方的直接损失，经买方同意对货物采用如下一种或几种方式处理：①免费维修和更换损坏零部件；②换货；③降价，但不免除其它正常部分的质量保证责任。如</w:t>
      </w:r>
      <w:r>
        <w:rPr>
          <w:rFonts w:hint="eastAsia"/>
          <w:color w:val="auto"/>
          <w:sz w:val="21"/>
          <w:szCs w:val="21"/>
          <w:highlight w:val="none"/>
          <w:lang w:val="en-US" w:eastAsia="zh-CN"/>
        </w:rPr>
        <w:t>乙方</w:t>
      </w:r>
      <w:r>
        <w:rPr>
          <w:rFonts w:hint="eastAsia"/>
          <w:color w:val="auto"/>
          <w:sz w:val="21"/>
          <w:szCs w:val="21"/>
          <w:highlight w:val="none"/>
        </w:rPr>
        <w:t>未能在合理的时间内将产品维修、更换或修正以符合规格，买方有权在合理时间内将产品退回卖方后要求返还已付的价款。</w:t>
      </w:r>
    </w:p>
    <w:p>
      <w:pPr>
        <w:pStyle w:val="48"/>
        <w:spacing w:line="440" w:lineRule="exact"/>
        <w:ind w:firstLine="420"/>
        <w:rPr>
          <w:color w:val="auto"/>
          <w:sz w:val="21"/>
          <w:szCs w:val="21"/>
          <w:highlight w:val="none"/>
        </w:rPr>
      </w:pPr>
      <w:r>
        <w:rPr>
          <w:rFonts w:hint="eastAsia"/>
          <w:color w:val="auto"/>
          <w:sz w:val="21"/>
          <w:szCs w:val="21"/>
          <w:highlight w:val="none"/>
        </w:rPr>
        <w:t>8.9.2免费保修期后：提供技术支持和详细的售后服务计划，</w:t>
      </w:r>
      <w:r>
        <w:rPr>
          <w:rFonts w:hint="eastAsia"/>
          <w:color w:val="auto"/>
          <w:sz w:val="21"/>
          <w:szCs w:val="21"/>
          <w:highlight w:val="none"/>
          <w:lang w:val="en-US" w:eastAsia="zh-CN"/>
        </w:rPr>
        <w:t>乙方</w:t>
      </w:r>
      <w:r>
        <w:rPr>
          <w:rFonts w:hint="eastAsia"/>
          <w:color w:val="auto"/>
          <w:sz w:val="21"/>
          <w:szCs w:val="21"/>
          <w:highlight w:val="none"/>
        </w:rPr>
        <w:t>应按其在东莞地区同类产品的最优惠价格提供保修服务，终身保证配品配件的供应，更换配件的费用以成本计。</w:t>
      </w:r>
    </w:p>
    <w:p>
      <w:pPr>
        <w:pStyle w:val="48"/>
        <w:spacing w:line="440" w:lineRule="exact"/>
        <w:ind w:firstLine="420"/>
        <w:rPr>
          <w:color w:val="auto"/>
          <w:sz w:val="21"/>
          <w:szCs w:val="21"/>
          <w:highlight w:val="none"/>
        </w:rPr>
      </w:pPr>
      <w:r>
        <w:rPr>
          <w:rFonts w:hint="eastAsia"/>
          <w:color w:val="auto"/>
          <w:sz w:val="21"/>
          <w:szCs w:val="21"/>
          <w:highlight w:val="none"/>
        </w:rPr>
        <w:t>8.9.3售后服务机构：设有稳定的维修点或售后服务机构，具有提供日常维护和技术支持的能力，能提供正常的技术、备品备件、服务等；须提供服务机构名称、人员情况、办公地址、联系电话。</w:t>
      </w:r>
    </w:p>
    <w:p>
      <w:pPr>
        <w:pStyle w:val="48"/>
        <w:spacing w:line="440" w:lineRule="exact"/>
        <w:ind w:firstLine="420"/>
        <w:rPr>
          <w:color w:val="auto"/>
          <w:sz w:val="21"/>
          <w:szCs w:val="21"/>
          <w:highlight w:val="none"/>
        </w:rPr>
      </w:pPr>
      <w:r>
        <w:rPr>
          <w:rFonts w:hint="eastAsia"/>
          <w:color w:val="auto"/>
          <w:sz w:val="21"/>
          <w:szCs w:val="21"/>
          <w:highlight w:val="none"/>
        </w:rPr>
        <w:t>8.9.4培训：负责免费对用户人员进行培训，提供详细的培训计划，使其掌握操作使用等基本技能。</w:t>
      </w:r>
    </w:p>
    <w:p>
      <w:pPr>
        <w:pStyle w:val="48"/>
        <w:spacing w:line="440" w:lineRule="exact"/>
        <w:ind w:firstLine="420" w:firstLineChars="200"/>
        <w:rPr>
          <w:color w:val="auto"/>
          <w:sz w:val="21"/>
          <w:szCs w:val="21"/>
          <w:highlight w:val="none"/>
        </w:rPr>
      </w:pPr>
      <w:r>
        <w:rPr>
          <w:rFonts w:hint="eastAsia"/>
          <w:color w:val="auto"/>
          <w:sz w:val="21"/>
          <w:szCs w:val="21"/>
          <w:highlight w:val="none"/>
        </w:rPr>
        <w:t xml:space="preserve">9 索赔 </w:t>
      </w:r>
    </w:p>
    <w:p>
      <w:pPr>
        <w:pStyle w:val="48"/>
        <w:spacing w:line="440" w:lineRule="exact"/>
        <w:ind w:firstLine="420" w:firstLineChars="200"/>
        <w:rPr>
          <w:color w:val="auto"/>
          <w:sz w:val="21"/>
          <w:szCs w:val="21"/>
          <w:highlight w:val="none"/>
        </w:rPr>
      </w:pPr>
      <w:r>
        <w:rPr>
          <w:rFonts w:hint="eastAsia"/>
          <w:color w:val="auto"/>
          <w:sz w:val="21"/>
          <w:szCs w:val="21"/>
          <w:highlight w:val="none"/>
        </w:rPr>
        <w:t xml:space="preserve">9.1 如果货物的质量、规格、数量、重量等与合同不符，或在合同约定的质量保证期内证实货物存有缺陷，包括潜在的缺陷或使用不符合要求的材料等，甲方有权向乙方提出索赔（索赔金额不低于合同总价5%）。乙方应在甲方提出索赔要求后三日内，进行无偿修理、更换、赔款。如乙方未在规定时间内处理的，甲方有权自行安排修理、更换，由此产生的一切费用和风险由乙方承担且乙方仍需承担质量保修责任。 </w:t>
      </w:r>
    </w:p>
    <w:p>
      <w:pPr>
        <w:pStyle w:val="48"/>
        <w:spacing w:line="440" w:lineRule="exact"/>
        <w:ind w:firstLine="420" w:firstLineChars="200"/>
        <w:rPr>
          <w:color w:val="auto"/>
          <w:sz w:val="21"/>
          <w:szCs w:val="21"/>
          <w:highlight w:val="none"/>
        </w:rPr>
      </w:pPr>
      <w:r>
        <w:rPr>
          <w:rFonts w:hint="eastAsia"/>
          <w:color w:val="auto"/>
          <w:sz w:val="21"/>
          <w:szCs w:val="21"/>
          <w:highlight w:val="none"/>
        </w:rPr>
        <w:t>9.2 在根据合同规定的检验期和质量保证期内，如果乙方对甲方提出的索赔负有责任，乙方应按照甲方同意的方式解决索赔事宜，或由双方协商处理。</w:t>
      </w:r>
    </w:p>
    <w:p>
      <w:pPr>
        <w:pStyle w:val="48"/>
        <w:spacing w:line="440" w:lineRule="exact"/>
        <w:ind w:firstLine="420" w:firstLineChars="200"/>
        <w:rPr>
          <w:color w:val="auto"/>
          <w:sz w:val="21"/>
          <w:szCs w:val="21"/>
          <w:highlight w:val="none"/>
        </w:rPr>
      </w:pPr>
      <w:r>
        <w:rPr>
          <w:rFonts w:hint="eastAsia"/>
          <w:color w:val="auto"/>
          <w:sz w:val="21"/>
          <w:szCs w:val="21"/>
          <w:highlight w:val="none"/>
        </w:rPr>
        <w:t>9.3 如果在甲方发出索赔通知后</w:t>
      </w:r>
      <w:r>
        <w:rPr>
          <w:rFonts w:hint="eastAsia"/>
          <w:color w:val="auto"/>
          <w:sz w:val="21"/>
          <w:szCs w:val="21"/>
          <w:highlight w:val="none"/>
          <w:u w:val="single"/>
        </w:rPr>
        <w:t xml:space="preserve">    </w:t>
      </w:r>
      <w:r>
        <w:rPr>
          <w:rFonts w:hint="eastAsia"/>
          <w:color w:val="auto"/>
          <w:sz w:val="21"/>
          <w:szCs w:val="21"/>
          <w:highlight w:val="none"/>
        </w:rPr>
        <w:t>天内，乙方未作答复，上述索赔要求应视为已被乙方接受。如乙方未能在甲方提出索赔通知后</w:t>
      </w:r>
      <w:r>
        <w:rPr>
          <w:rFonts w:hint="eastAsia"/>
          <w:color w:val="auto"/>
          <w:sz w:val="21"/>
          <w:szCs w:val="21"/>
          <w:highlight w:val="none"/>
          <w:u w:val="single"/>
        </w:rPr>
        <w:t xml:space="preserve">    </w:t>
      </w:r>
      <w:r>
        <w:rPr>
          <w:rFonts w:hint="eastAsia"/>
          <w:color w:val="auto"/>
          <w:sz w:val="21"/>
          <w:szCs w:val="21"/>
          <w:highlight w:val="none"/>
        </w:rPr>
        <w:t>天内或甲方同意的更长时间内，按照本合同规定的方法解决索赔事宜，甲方将从合同款或从乙方开具的履约保证金保函中扣回索赔金额。如果这些金额不足以补偿索赔金额，甲方有权向乙方提出不足部分的补偿。</w:t>
      </w:r>
    </w:p>
    <w:p>
      <w:pPr>
        <w:pStyle w:val="48"/>
        <w:spacing w:line="440" w:lineRule="exact"/>
        <w:ind w:firstLine="420" w:firstLineChars="200"/>
        <w:rPr>
          <w:color w:val="auto"/>
          <w:sz w:val="21"/>
          <w:szCs w:val="21"/>
          <w:highlight w:val="none"/>
        </w:rPr>
      </w:pPr>
      <w:r>
        <w:rPr>
          <w:rFonts w:hint="eastAsia"/>
          <w:color w:val="auto"/>
          <w:sz w:val="21"/>
          <w:szCs w:val="21"/>
          <w:highlight w:val="none"/>
        </w:rPr>
        <w:t xml:space="preserve">9.4 本合同所述之损失、经济赔偿是指甲方因乙方原因而造成的经济损失、因此而向第三方支付的赔偿金、违约金、因此而支付的诉讼费、律师费、公证费、鉴定费、保全费等全部费用。 </w:t>
      </w:r>
    </w:p>
    <w:p>
      <w:pPr>
        <w:pStyle w:val="48"/>
        <w:spacing w:line="440" w:lineRule="exact"/>
        <w:ind w:firstLine="420" w:firstLineChars="200"/>
        <w:rPr>
          <w:color w:val="auto"/>
          <w:sz w:val="21"/>
          <w:szCs w:val="21"/>
          <w:highlight w:val="none"/>
        </w:rPr>
      </w:pPr>
      <w:r>
        <w:rPr>
          <w:rFonts w:hint="eastAsia"/>
          <w:color w:val="auto"/>
          <w:sz w:val="21"/>
          <w:szCs w:val="21"/>
          <w:highlight w:val="none"/>
        </w:rPr>
        <w:t xml:space="preserve">10 迟延交货 </w:t>
      </w:r>
    </w:p>
    <w:p>
      <w:pPr>
        <w:pStyle w:val="48"/>
        <w:spacing w:line="440" w:lineRule="exact"/>
        <w:ind w:firstLine="420" w:firstLineChars="200"/>
        <w:rPr>
          <w:color w:val="auto"/>
          <w:sz w:val="21"/>
          <w:szCs w:val="21"/>
          <w:highlight w:val="none"/>
        </w:rPr>
      </w:pPr>
      <w:r>
        <w:rPr>
          <w:rFonts w:hint="eastAsia"/>
          <w:color w:val="auto"/>
          <w:sz w:val="21"/>
          <w:szCs w:val="21"/>
          <w:highlight w:val="none"/>
        </w:rPr>
        <w:t xml:space="preserve">10.1 乙方应按照甲方规定的时间交货和提供服务。 </w:t>
      </w:r>
    </w:p>
    <w:p>
      <w:pPr>
        <w:pStyle w:val="48"/>
        <w:spacing w:line="440" w:lineRule="exact"/>
        <w:ind w:firstLine="420" w:firstLineChars="200"/>
        <w:rPr>
          <w:color w:val="auto"/>
          <w:sz w:val="21"/>
          <w:szCs w:val="21"/>
          <w:highlight w:val="none"/>
        </w:rPr>
      </w:pPr>
      <w:r>
        <w:rPr>
          <w:rFonts w:hint="eastAsia"/>
          <w:color w:val="auto"/>
          <w:sz w:val="21"/>
          <w:szCs w:val="21"/>
          <w:highlight w:val="none"/>
        </w:rPr>
        <w:t xml:space="preserve">10.2 如果乙方无正当理由迟延交货，甲方有权提出违约损失赔偿或解除合同。 </w:t>
      </w:r>
    </w:p>
    <w:p>
      <w:pPr>
        <w:pStyle w:val="48"/>
        <w:spacing w:line="440" w:lineRule="exact"/>
        <w:ind w:firstLine="420" w:firstLineChars="200"/>
        <w:rPr>
          <w:color w:val="auto"/>
          <w:sz w:val="21"/>
          <w:szCs w:val="21"/>
          <w:highlight w:val="none"/>
        </w:rPr>
      </w:pPr>
      <w:r>
        <w:rPr>
          <w:rFonts w:hint="eastAsia"/>
          <w:color w:val="auto"/>
          <w:sz w:val="21"/>
          <w:szCs w:val="21"/>
          <w:highlight w:val="none"/>
        </w:rPr>
        <w:t xml:space="preserve">10.3 在履行合同过程中，如果乙方遇到不能按时交货和提供服务的情况，应及时以书面形式将不能按时交货的理由、预期延误时间通知甲方。甲方收到乙方通知后，认为其理由正当的，可酌情延长交货时间，认为理由不成立的，交货期限不予延长。 </w:t>
      </w:r>
    </w:p>
    <w:p>
      <w:pPr>
        <w:pStyle w:val="48"/>
        <w:spacing w:line="440" w:lineRule="exact"/>
        <w:ind w:firstLine="420" w:firstLineChars="200"/>
        <w:rPr>
          <w:color w:val="auto"/>
          <w:sz w:val="21"/>
          <w:szCs w:val="21"/>
          <w:highlight w:val="none"/>
        </w:rPr>
      </w:pPr>
      <w:r>
        <w:rPr>
          <w:rFonts w:hint="eastAsia"/>
          <w:color w:val="auto"/>
          <w:sz w:val="21"/>
          <w:szCs w:val="21"/>
          <w:highlight w:val="none"/>
        </w:rPr>
        <w:t xml:space="preserve">11 违约赔偿 </w:t>
      </w:r>
    </w:p>
    <w:p>
      <w:pPr>
        <w:pStyle w:val="48"/>
        <w:spacing w:line="440" w:lineRule="exact"/>
        <w:ind w:firstLine="420" w:firstLineChars="200"/>
        <w:jc w:val="both"/>
        <w:rPr>
          <w:color w:val="auto"/>
          <w:sz w:val="21"/>
          <w:szCs w:val="21"/>
          <w:highlight w:val="none"/>
        </w:rPr>
      </w:pPr>
      <w:r>
        <w:rPr>
          <w:rFonts w:hint="eastAsia"/>
          <w:color w:val="auto"/>
          <w:sz w:val="21"/>
          <w:szCs w:val="21"/>
          <w:highlight w:val="none"/>
        </w:rPr>
        <w:t>11.1甲方无正当理由拒收货物，拒付货款的，甲方向乙方偿付货物总金额5%的违约金。</w:t>
      </w:r>
    </w:p>
    <w:p>
      <w:pPr>
        <w:pStyle w:val="48"/>
        <w:spacing w:line="440" w:lineRule="exact"/>
        <w:ind w:firstLine="420" w:firstLineChars="200"/>
        <w:jc w:val="both"/>
        <w:rPr>
          <w:color w:val="auto"/>
          <w:sz w:val="21"/>
          <w:szCs w:val="21"/>
          <w:highlight w:val="none"/>
        </w:rPr>
      </w:pPr>
      <w:r>
        <w:rPr>
          <w:rFonts w:hint="eastAsia"/>
          <w:color w:val="auto"/>
          <w:sz w:val="21"/>
          <w:szCs w:val="21"/>
          <w:highlight w:val="none"/>
        </w:rPr>
        <w:t>11.2如果由于甲方未按乙方所提供的技术资料、图纸、说明书和乙方现场技术服务人员的指导而造成货物损坏的，由甲方负责。但乙方有义务尽快提供所需要更换的货物。对于甲方要求的紧急部件，乙方应安排最快的方式运输，所有费用均由甲方负担。</w:t>
      </w:r>
    </w:p>
    <w:p>
      <w:pPr>
        <w:pStyle w:val="48"/>
        <w:spacing w:line="440" w:lineRule="exact"/>
        <w:ind w:firstLine="420" w:firstLineChars="200"/>
        <w:jc w:val="both"/>
        <w:rPr>
          <w:color w:val="auto"/>
          <w:sz w:val="21"/>
          <w:szCs w:val="21"/>
          <w:highlight w:val="none"/>
        </w:rPr>
      </w:pPr>
      <w:r>
        <w:rPr>
          <w:rFonts w:hint="eastAsia"/>
          <w:color w:val="auto"/>
          <w:sz w:val="21"/>
          <w:szCs w:val="21"/>
          <w:highlight w:val="none"/>
        </w:rPr>
        <w:t>11.3乙方的投标文件为响应本合同的重要依据之一，履行合同时，如与其在投标时承诺响应的实质性内容有偏离或无法履行的，乙方应向甲方支付合同价格20%的违约金并赔偿甲方因此遭受的所有损失，并责令乙方限期整改。甲方要求其整改之日起5日内仍无实质性改进的，甲方有权单方面解除合同，合同因此解除的，乙方应退还甲方已支付的合同价格（如有）。</w:t>
      </w:r>
    </w:p>
    <w:p>
      <w:pPr>
        <w:pStyle w:val="48"/>
        <w:spacing w:line="440" w:lineRule="exact"/>
        <w:ind w:firstLine="420" w:firstLineChars="200"/>
        <w:jc w:val="both"/>
        <w:rPr>
          <w:color w:val="auto"/>
          <w:sz w:val="21"/>
          <w:szCs w:val="21"/>
          <w:highlight w:val="none"/>
        </w:rPr>
      </w:pPr>
      <w:r>
        <w:rPr>
          <w:rFonts w:hint="eastAsia"/>
          <w:color w:val="auto"/>
          <w:sz w:val="21"/>
          <w:szCs w:val="21"/>
          <w:highlight w:val="none"/>
        </w:rPr>
        <w:t>11.4 除合同规定外，如果乙方没有按照合同规定的时间提供质量合格的货物和服务，甲方可要求乙方支付违约金。从逾期之日起每日按本合同总价</w:t>
      </w:r>
      <w:r>
        <w:rPr>
          <w:rFonts w:hint="eastAsia"/>
          <w:color w:val="auto"/>
          <w:sz w:val="21"/>
          <w:szCs w:val="21"/>
          <w:highlight w:val="none"/>
          <w:u w:val="single"/>
        </w:rPr>
        <w:t xml:space="preserve">的 2 </w:t>
      </w:r>
      <w:r>
        <w:rPr>
          <w:rFonts w:hint="eastAsia"/>
          <w:color w:val="auto"/>
          <w:sz w:val="21"/>
          <w:szCs w:val="21"/>
          <w:highlight w:val="none"/>
        </w:rPr>
        <w:t>‰数额向甲方支付违约金；逾期30天以上（含30天）的，甲方有权解除合同，并且乙方应向甲方双倍返还定金，并且给甲方造成的经济损失由乙方承担赔偿责任。</w:t>
      </w:r>
    </w:p>
    <w:p>
      <w:pPr>
        <w:pStyle w:val="48"/>
        <w:spacing w:line="440" w:lineRule="exact"/>
        <w:ind w:firstLine="420" w:firstLineChars="200"/>
        <w:jc w:val="both"/>
        <w:rPr>
          <w:color w:val="auto"/>
          <w:sz w:val="21"/>
          <w:szCs w:val="21"/>
          <w:highlight w:val="none"/>
        </w:rPr>
      </w:pPr>
      <w:r>
        <w:rPr>
          <w:rFonts w:hint="eastAsia"/>
          <w:color w:val="auto"/>
          <w:sz w:val="21"/>
          <w:szCs w:val="21"/>
          <w:highlight w:val="none"/>
        </w:rPr>
        <w:t>11.5因乙方原因导致本合同解除或是无法履行的，乙方应向甲方双倍返还定金，且甲方有权决定是否接收属于乙方在现场的一切产品使用于本项目，并有进一步要求向乙方索赔的权利。双倍定金不足以弥补甲方损失的，乙方应另行补足。</w:t>
      </w:r>
    </w:p>
    <w:p>
      <w:pPr>
        <w:pStyle w:val="48"/>
        <w:spacing w:line="440" w:lineRule="exact"/>
        <w:ind w:firstLine="420" w:firstLineChars="200"/>
        <w:jc w:val="both"/>
        <w:rPr>
          <w:color w:val="auto"/>
          <w:sz w:val="21"/>
          <w:szCs w:val="21"/>
          <w:highlight w:val="none"/>
        </w:rPr>
      </w:pPr>
      <w:r>
        <w:rPr>
          <w:rFonts w:hint="eastAsia"/>
          <w:color w:val="auto"/>
          <w:sz w:val="21"/>
          <w:szCs w:val="21"/>
          <w:highlight w:val="none"/>
        </w:rPr>
        <w:t>11.6如乙方对合同敷衍执行，或忽视履行合同规定的实质性义务，且从甲方要求其整改之日起5日内仍无实质性改进，甲方有权解除合同，乙方应退还甲方已支付的合同价格（如有），向甲方支付合同价格20%的违约金并赔偿甲方因此遭受的所有损失。</w:t>
      </w:r>
    </w:p>
    <w:p>
      <w:pPr>
        <w:pStyle w:val="48"/>
        <w:spacing w:line="440" w:lineRule="exact"/>
        <w:ind w:firstLine="420" w:firstLineChars="200"/>
        <w:jc w:val="both"/>
        <w:rPr>
          <w:color w:val="auto"/>
          <w:sz w:val="21"/>
          <w:szCs w:val="21"/>
          <w:highlight w:val="none"/>
        </w:rPr>
      </w:pPr>
      <w:r>
        <w:rPr>
          <w:rFonts w:hint="eastAsia"/>
          <w:color w:val="auto"/>
          <w:sz w:val="21"/>
          <w:szCs w:val="21"/>
          <w:highlight w:val="none"/>
        </w:rPr>
        <w:t>11.7因乙方原因造成合同终止或解除，乙方应退还甲方已支付的合同价格（如有），乙方应在接到甲方离场通知的5日内无条件撤离现场，否则每逾期一日应向甲方支付人民币10000元的违约金，并赔偿甲方的损失。</w:t>
      </w:r>
    </w:p>
    <w:p>
      <w:pPr>
        <w:pStyle w:val="48"/>
        <w:spacing w:line="440" w:lineRule="exact"/>
        <w:ind w:firstLine="420" w:firstLineChars="200"/>
        <w:jc w:val="both"/>
        <w:rPr>
          <w:color w:val="auto"/>
          <w:sz w:val="21"/>
          <w:szCs w:val="21"/>
          <w:highlight w:val="none"/>
        </w:rPr>
      </w:pPr>
      <w:r>
        <w:rPr>
          <w:rFonts w:hint="eastAsia"/>
          <w:color w:val="auto"/>
          <w:sz w:val="21"/>
          <w:szCs w:val="21"/>
          <w:highlight w:val="none"/>
        </w:rPr>
        <w:t>11.8乙方违约或乙方任何其他原因造成甲方损失及/或甲方被追索的及/或承担责任的，甲方均有权拒付全部或部分价款，有权直接从合同价款扣除乙方应支付甲方的违约金、赔偿金。</w:t>
      </w:r>
    </w:p>
    <w:p>
      <w:pPr>
        <w:pStyle w:val="48"/>
        <w:spacing w:line="440" w:lineRule="exact"/>
        <w:ind w:firstLine="420" w:firstLineChars="200"/>
        <w:jc w:val="both"/>
        <w:rPr>
          <w:color w:val="auto"/>
          <w:sz w:val="21"/>
          <w:szCs w:val="21"/>
          <w:highlight w:val="none"/>
        </w:rPr>
      </w:pPr>
      <w:r>
        <w:rPr>
          <w:rFonts w:hint="eastAsia"/>
          <w:color w:val="auto"/>
          <w:sz w:val="21"/>
          <w:szCs w:val="21"/>
          <w:highlight w:val="none"/>
        </w:rPr>
        <w:t>11.9在本合同约定的相应履行期限届满之前，乙方明确表示或者以自己的行为表明不履行合同义务的，甲方有权解除本合同。合同因此解除的，乙方应退还甲方已支付的合同价格（如有），向甲方支付合同价格20%的违约金并赔偿甲方因此遭受的所有损失。</w:t>
      </w:r>
    </w:p>
    <w:p>
      <w:pPr>
        <w:pStyle w:val="48"/>
        <w:spacing w:line="440" w:lineRule="exact"/>
        <w:ind w:firstLine="420" w:firstLineChars="200"/>
        <w:jc w:val="both"/>
        <w:rPr>
          <w:color w:val="auto"/>
          <w:sz w:val="21"/>
          <w:szCs w:val="21"/>
          <w:highlight w:val="none"/>
        </w:rPr>
      </w:pPr>
      <w:r>
        <w:rPr>
          <w:rFonts w:hint="eastAsia"/>
          <w:color w:val="auto"/>
          <w:sz w:val="21"/>
          <w:szCs w:val="21"/>
          <w:highlight w:val="none"/>
        </w:rPr>
        <w:t xml:space="preserve">11.10甲方有权从未支付的款项或是履约保证金中直接扣除乙方的违约金，不足的部分由乙方另行补足。 </w:t>
      </w:r>
    </w:p>
    <w:p>
      <w:pPr>
        <w:pStyle w:val="48"/>
        <w:spacing w:line="440" w:lineRule="exact"/>
        <w:ind w:firstLine="420" w:firstLineChars="200"/>
        <w:jc w:val="both"/>
        <w:rPr>
          <w:color w:val="auto"/>
          <w:sz w:val="21"/>
          <w:szCs w:val="21"/>
          <w:highlight w:val="none"/>
        </w:rPr>
      </w:pPr>
      <w:r>
        <w:rPr>
          <w:rFonts w:hint="eastAsia"/>
          <w:color w:val="auto"/>
          <w:sz w:val="21"/>
          <w:szCs w:val="21"/>
          <w:highlight w:val="none"/>
        </w:rPr>
        <w:t>11.11除非</w:t>
      </w:r>
      <w:r>
        <w:rPr>
          <w:rFonts w:hint="eastAsia"/>
          <w:color w:val="auto"/>
          <w:sz w:val="21"/>
          <w:szCs w:val="21"/>
          <w:highlight w:val="none"/>
          <w:lang w:val="en-US" w:eastAsia="zh-CN"/>
        </w:rPr>
        <w:t>因乙方违约致甲方按照本合同的约定单方解除合同或</w:t>
      </w:r>
      <w:r>
        <w:rPr>
          <w:rFonts w:hint="eastAsia"/>
          <w:color w:val="auto"/>
          <w:sz w:val="21"/>
          <w:szCs w:val="21"/>
          <w:highlight w:val="none"/>
        </w:rPr>
        <w:t>双方协议将合同解除，违约方承担前述违约责任后仍必须履行合同。</w:t>
      </w:r>
    </w:p>
    <w:p>
      <w:pPr>
        <w:pStyle w:val="48"/>
        <w:spacing w:line="440" w:lineRule="exact"/>
        <w:ind w:firstLine="420" w:firstLineChars="200"/>
        <w:jc w:val="both"/>
        <w:rPr>
          <w:color w:val="auto"/>
          <w:sz w:val="21"/>
          <w:szCs w:val="21"/>
          <w:highlight w:val="none"/>
        </w:rPr>
      </w:pPr>
      <w:r>
        <w:rPr>
          <w:rFonts w:hint="eastAsia"/>
          <w:color w:val="auto"/>
          <w:sz w:val="21"/>
          <w:szCs w:val="21"/>
          <w:highlight w:val="none"/>
        </w:rPr>
        <w:t>11.12本合同下，双方对违约责任未明确约定的，相关违约责任按合同法及其他法律法规的有关规定执行。本合同项下约定的甲方遭受的损失包括但不限于因乙方违约而使甲方遭受的因减少或迟延运营所遭受的收入损失</w:t>
      </w:r>
      <w:r>
        <w:rPr>
          <w:rFonts w:hint="eastAsia"/>
          <w:color w:val="auto"/>
          <w:sz w:val="21"/>
          <w:szCs w:val="21"/>
          <w:highlight w:val="none"/>
          <w:lang w:eastAsia="zh-CN"/>
        </w:rPr>
        <w:t>，</w:t>
      </w:r>
      <w:r>
        <w:rPr>
          <w:rFonts w:hint="eastAsia"/>
          <w:color w:val="auto"/>
          <w:sz w:val="21"/>
          <w:szCs w:val="21"/>
          <w:highlight w:val="none"/>
          <w:lang w:val="en-US" w:eastAsia="zh-CN"/>
        </w:rPr>
        <w:t>向第三方支付的费用、赔偿金，</w:t>
      </w:r>
      <w:r>
        <w:rPr>
          <w:rFonts w:hint="eastAsia"/>
          <w:color w:val="auto"/>
          <w:sz w:val="21"/>
          <w:szCs w:val="21"/>
          <w:highlight w:val="none"/>
        </w:rPr>
        <w:t>因此而支付的诉讼费、律师费、公证费、鉴定费、保全费等全部费用。</w:t>
      </w:r>
    </w:p>
    <w:p>
      <w:pPr>
        <w:pStyle w:val="48"/>
        <w:spacing w:line="440" w:lineRule="exact"/>
        <w:ind w:firstLine="420" w:firstLineChars="200"/>
        <w:rPr>
          <w:color w:val="auto"/>
          <w:sz w:val="21"/>
          <w:szCs w:val="21"/>
          <w:highlight w:val="none"/>
        </w:rPr>
      </w:pPr>
      <w:r>
        <w:rPr>
          <w:rFonts w:hint="eastAsia"/>
          <w:color w:val="auto"/>
          <w:sz w:val="21"/>
          <w:szCs w:val="21"/>
          <w:highlight w:val="none"/>
        </w:rPr>
        <w:t xml:space="preserve">12 不可抗力 </w:t>
      </w:r>
    </w:p>
    <w:p>
      <w:pPr>
        <w:pStyle w:val="48"/>
        <w:spacing w:line="440" w:lineRule="exact"/>
        <w:ind w:firstLine="420" w:firstLineChars="200"/>
        <w:rPr>
          <w:color w:val="auto"/>
          <w:sz w:val="21"/>
          <w:szCs w:val="21"/>
          <w:highlight w:val="none"/>
        </w:rPr>
      </w:pPr>
      <w:r>
        <w:rPr>
          <w:rFonts w:hint="eastAsia"/>
          <w:color w:val="auto"/>
          <w:sz w:val="21"/>
          <w:szCs w:val="21"/>
          <w:highlight w:val="none"/>
        </w:rPr>
        <w:t xml:space="preserve">12.1 如果双方中任何一方遭遇法律规定的不可抗力，致使合同履行受阻时，履行合同的期限应予延长，延长的期限应相当于不可抗力所影响的时间。 </w:t>
      </w:r>
    </w:p>
    <w:p>
      <w:pPr>
        <w:pStyle w:val="48"/>
        <w:spacing w:line="440" w:lineRule="exact"/>
        <w:ind w:firstLine="420" w:firstLineChars="200"/>
        <w:rPr>
          <w:color w:val="auto"/>
          <w:sz w:val="21"/>
          <w:szCs w:val="21"/>
          <w:highlight w:val="none"/>
        </w:rPr>
      </w:pPr>
      <w:r>
        <w:rPr>
          <w:rFonts w:hint="eastAsia"/>
          <w:color w:val="auto"/>
          <w:sz w:val="21"/>
          <w:szCs w:val="21"/>
          <w:highlight w:val="none"/>
        </w:rPr>
        <w:t>12.2 受事故影响的一方应在不可抗力的事故发生后尽快书面形式通知另一方，并在事故发生后</w:t>
      </w:r>
      <w:r>
        <w:rPr>
          <w:rFonts w:hint="eastAsia"/>
          <w:color w:val="auto"/>
          <w:sz w:val="21"/>
          <w:szCs w:val="21"/>
          <w:highlight w:val="none"/>
          <w:u w:val="single"/>
        </w:rPr>
        <w:t xml:space="preserve">   </w:t>
      </w:r>
      <w:r>
        <w:rPr>
          <w:rFonts w:hint="eastAsia"/>
          <w:color w:val="auto"/>
          <w:sz w:val="21"/>
          <w:szCs w:val="21"/>
          <w:highlight w:val="none"/>
        </w:rPr>
        <w:t xml:space="preserve">天内，将有关部门出具的证明文件送达另一方。 </w:t>
      </w:r>
    </w:p>
    <w:p>
      <w:pPr>
        <w:pStyle w:val="48"/>
        <w:spacing w:line="440" w:lineRule="exact"/>
        <w:ind w:firstLine="420" w:firstLineChars="200"/>
        <w:rPr>
          <w:color w:val="auto"/>
          <w:sz w:val="21"/>
          <w:szCs w:val="21"/>
          <w:highlight w:val="none"/>
        </w:rPr>
      </w:pPr>
      <w:r>
        <w:rPr>
          <w:rFonts w:hint="eastAsia"/>
          <w:color w:val="auto"/>
          <w:sz w:val="21"/>
          <w:szCs w:val="21"/>
          <w:highlight w:val="none"/>
        </w:rPr>
        <w:t>12.3 不可抗力使合同的某些内容有变更必要的，合同签订双方应通过协商在</w:t>
      </w:r>
      <w:r>
        <w:rPr>
          <w:rFonts w:hint="eastAsia"/>
          <w:color w:val="auto"/>
          <w:sz w:val="21"/>
          <w:szCs w:val="21"/>
          <w:highlight w:val="none"/>
          <w:u w:val="single"/>
        </w:rPr>
        <w:t xml:space="preserve">   </w:t>
      </w:r>
      <w:r>
        <w:rPr>
          <w:rFonts w:hint="eastAsia"/>
          <w:color w:val="auto"/>
          <w:sz w:val="21"/>
          <w:szCs w:val="21"/>
          <w:highlight w:val="none"/>
        </w:rPr>
        <w:t xml:space="preserve">日内达成进一步履行合同的协议，因不可抗力致使合同不能履行的，合同终止。 </w:t>
      </w:r>
    </w:p>
    <w:p>
      <w:pPr>
        <w:pStyle w:val="48"/>
        <w:spacing w:line="440" w:lineRule="exact"/>
        <w:ind w:firstLine="420" w:firstLineChars="200"/>
        <w:rPr>
          <w:color w:val="auto"/>
          <w:sz w:val="21"/>
          <w:szCs w:val="21"/>
          <w:highlight w:val="none"/>
        </w:rPr>
      </w:pPr>
      <w:r>
        <w:rPr>
          <w:rFonts w:hint="eastAsia"/>
          <w:color w:val="auto"/>
          <w:sz w:val="21"/>
          <w:szCs w:val="21"/>
          <w:highlight w:val="none"/>
        </w:rPr>
        <w:t xml:space="preserve">13税费 </w:t>
      </w:r>
    </w:p>
    <w:p>
      <w:pPr>
        <w:pStyle w:val="48"/>
        <w:spacing w:line="440" w:lineRule="exact"/>
        <w:ind w:firstLine="420" w:firstLineChars="200"/>
        <w:rPr>
          <w:color w:val="auto"/>
          <w:sz w:val="21"/>
          <w:szCs w:val="21"/>
          <w:highlight w:val="none"/>
        </w:rPr>
      </w:pPr>
      <w:r>
        <w:rPr>
          <w:rFonts w:hint="eastAsia"/>
          <w:color w:val="auto"/>
          <w:sz w:val="21"/>
          <w:szCs w:val="21"/>
          <w:highlight w:val="none"/>
        </w:rPr>
        <w:t xml:space="preserve">13.1 与本合同有关的一切税费均适用中华人民共和国法律的相关规定。 </w:t>
      </w:r>
    </w:p>
    <w:p>
      <w:pPr>
        <w:pStyle w:val="48"/>
        <w:spacing w:line="440" w:lineRule="exact"/>
        <w:ind w:firstLine="420" w:firstLineChars="200"/>
        <w:rPr>
          <w:color w:val="auto"/>
          <w:sz w:val="21"/>
          <w:szCs w:val="21"/>
          <w:highlight w:val="none"/>
        </w:rPr>
      </w:pPr>
      <w:r>
        <w:rPr>
          <w:rFonts w:hint="eastAsia"/>
          <w:color w:val="auto"/>
          <w:sz w:val="21"/>
          <w:szCs w:val="21"/>
          <w:highlight w:val="none"/>
        </w:rPr>
        <w:t xml:space="preserve">14 合同争议的解决 </w:t>
      </w:r>
    </w:p>
    <w:p>
      <w:pPr>
        <w:pStyle w:val="48"/>
        <w:spacing w:line="440" w:lineRule="exact"/>
        <w:ind w:firstLine="420" w:firstLineChars="200"/>
        <w:rPr>
          <w:color w:val="auto"/>
          <w:sz w:val="21"/>
          <w:szCs w:val="21"/>
          <w:highlight w:val="none"/>
        </w:rPr>
      </w:pPr>
      <w:r>
        <w:rPr>
          <w:rFonts w:hint="eastAsia"/>
          <w:color w:val="auto"/>
          <w:sz w:val="21"/>
          <w:szCs w:val="21"/>
          <w:highlight w:val="none"/>
        </w:rPr>
        <w:t>14.1 因合同履行中发生的争议，可通过合同当事人双方友好协商解决。如自协商开始之起15日内得不到解决，可向甲方所在地有管辖权的人</w:t>
      </w:r>
      <w:r>
        <w:rPr>
          <w:color w:val="auto"/>
          <w:highlight w:val="none"/>
        </w:rPr>
        <w:fldChar w:fldCharType="begin"/>
      </w:r>
      <w:r>
        <w:rPr>
          <w:color w:val="auto"/>
          <w:highlight w:val="none"/>
        </w:rPr>
        <w:instrText xml:space="preserve"> HYPERLINK "http://www.chinalawedu.com/web/23243/" \t "_blank" \o "民法" </w:instrText>
      </w:r>
      <w:r>
        <w:rPr>
          <w:color w:val="auto"/>
          <w:highlight w:val="none"/>
        </w:rPr>
        <w:fldChar w:fldCharType="separate"/>
      </w:r>
      <w:r>
        <w:rPr>
          <w:rStyle w:val="59"/>
          <w:color w:val="auto"/>
          <w:sz w:val="21"/>
          <w:szCs w:val="21"/>
          <w:highlight w:val="none"/>
        </w:rPr>
        <w:t>民法</w:t>
      </w:r>
      <w:r>
        <w:rPr>
          <w:rStyle w:val="59"/>
          <w:color w:val="auto"/>
          <w:sz w:val="21"/>
          <w:szCs w:val="21"/>
          <w:highlight w:val="none"/>
        </w:rPr>
        <w:fldChar w:fldCharType="end"/>
      </w:r>
      <w:r>
        <w:rPr>
          <w:rFonts w:hint="eastAsia"/>
          <w:color w:val="auto"/>
          <w:sz w:val="21"/>
          <w:szCs w:val="21"/>
          <w:highlight w:val="none"/>
        </w:rPr>
        <w:t xml:space="preserve">院提起诉讼。 </w:t>
      </w:r>
    </w:p>
    <w:p>
      <w:pPr>
        <w:pStyle w:val="48"/>
        <w:spacing w:line="440" w:lineRule="exact"/>
        <w:ind w:firstLine="420" w:firstLineChars="200"/>
        <w:rPr>
          <w:color w:val="auto"/>
          <w:sz w:val="21"/>
          <w:szCs w:val="21"/>
          <w:highlight w:val="none"/>
        </w:rPr>
      </w:pPr>
      <w:r>
        <w:rPr>
          <w:rFonts w:hint="eastAsia"/>
          <w:color w:val="auto"/>
          <w:sz w:val="21"/>
          <w:szCs w:val="21"/>
          <w:highlight w:val="none"/>
        </w:rPr>
        <w:t xml:space="preserve">15 违约解除合同 </w:t>
      </w:r>
    </w:p>
    <w:p>
      <w:pPr>
        <w:pStyle w:val="48"/>
        <w:spacing w:line="440" w:lineRule="exact"/>
        <w:ind w:firstLine="420" w:firstLineChars="200"/>
        <w:rPr>
          <w:color w:val="auto"/>
          <w:sz w:val="21"/>
          <w:szCs w:val="21"/>
          <w:highlight w:val="none"/>
        </w:rPr>
      </w:pPr>
      <w:r>
        <w:rPr>
          <w:rFonts w:hint="eastAsia"/>
          <w:color w:val="auto"/>
          <w:sz w:val="21"/>
          <w:szCs w:val="21"/>
          <w:highlight w:val="none"/>
        </w:rPr>
        <w:t xml:space="preserve">15.1 在乙方违约的情况下，甲方可向乙方发出书面通知，部分或全部终止合同。同时保留向乙方追诉的权利。 </w:t>
      </w:r>
    </w:p>
    <w:p>
      <w:pPr>
        <w:pStyle w:val="48"/>
        <w:spacing w:line="440" w:lineRule="exact"/>
        <w:ind w:firstLine="420" w:firstLineChars="200"/>
        <w:rPr>
          <w:color w:val="auto"/>
          <w:sz w:val="21"/>
          <w:szCs w:val="21"/>
          <w:highlight w:val="none"/>
        </w:rPr>
      </w:pPr>
      <w:r>
        <w:rPr>
          <w:rFonts w:hint="eastAsia"/>
          <w:color w:val="auto"/>
          <w:sz w:val="21"/>
          <w:szCs w:val="21"/>
          <w:highlight w:val="none"/>
        </w:rPr>
        <w:t xml:space="preserve">15.2全部或部分解除合同之后，应当遵循诚实信用原则，购买未予交付的货物类似的货物或服务。乙方应承担甲方购买类似货物或服务而产生的额外支出。部分解除合同的，乙方应继续履行合同中未解除的部分。 </w:t>
      </w:r>
    </w:p>
    <w:p>
      <w:pPr>
        <w:pStyle w:val="48"/>
        <w:spacing w:line="440" w:lineRule="exact"/>
        <w:ind w:firstLine="420" w:firstLineChars="200"/>
        <w:rPr>
          <w:color w:val="auto"/>
          <w:sz w:val="21"/>
          <w:szCs w:val="21"/>
          <w:highlight w:val="none"/>
        </w:rPr>
      </w:pPr>
      <w:r>
        <w:rPr>
          <w:rFonts w:hint="eastAsia"/>
          <w:color w:val="auto"/>
          <w:sz w:val="21"/>
          <w:szCs w:val="21"/>
          <w:highlight w:val="none"/>
        </w:rPr>
        <w:t xml:space="preserve">16破产终止合同 </w:t>
      </w:r>
    </w:p>
    <w:p>
      <w:pPr>
        <w:pStyle w:val="48"/>
        <w:spacing w:line="440" w:lineRule="exact"/>
        <w:ind w:firstLine="420" w:firstLineChars="200"/>
        <w:jc w:val="both"/>
        <w:rPr>
          <w:color w:val="auto"/>
          <w:sz w:val="21"/>
          <w:szCs w:val="21"/>
          <w:highlight w:val="none"/>
        </w:rPr>
      </w:pPr>
      <w:r>
        <w:rPr>
          <w:rFonts w:hint="eastAsia"/>
          <w:color w:val="auto"/>
          <w:sz w:val="21"/>
          <w:szCs w:val="21"/>
          <w:highlight w:val="none"/>
        </w:rPr>
        <w:t xml:space="preserve">16.1 如果乙方破产或无清偿能力时，甲方可在任何时候以书面通知乙方，提出终止合同而不给乙方补偿。该合同的终止将不损害或不影响甲方已经采取或将要采取任何行动或补救措施的权利。 </w:t>
      </w:r>
    </w:p>
    <w:p>
      <w:pPr>
        <w:pStyle w:val="48"/>
        <w:spacing w:line="440" w:lineRule="exact"/>
        <w:ind w:firstLine="420" w:firstLineChars="200"/>
        <w:rPr>
          <w:color w:val="auto"/>
          <w:sz w:val="21"/>
          <w:szCs w:val="21"/>
          <w:highlight w:val="none"/>
        </w:rPr>
      </w:pPr>
      <w:r>
        <w:rPr>
          <w:rFonts w:hint="eastAsia"/>
          <w:color w:val="auto"/>
          <w:sz w:val="21"/>
          <w:szCs w:val="21"/>
          <w:highlight w:val="none"/>
        </w:rPr>
        <w:t xml:space="preserve">17 转让和分包 </w:t>
      </w:r>
    </w:p>
    <w:p>
      <w:pPr>
        <w:pStyle w:val="48"/>
        <w:spacing w:line="440" w:lineRule="exact"/>
        <w:ind w:firstLine="420" w:firstLineChars="200"/>
        <w:rPr>
          <w:color w:val="auto"/>
          <w:sz w:val="21"/>
          <w:szCs w:val="21"/>
          <w:highlight w:val="none"/>
        </w:rPr>
      </w:pPr>
      <w:r>
        <w:rPr>
          <w:rFonts w:hint="eastAsia"/>
          <w:color w:val="auto"/>
          <w:sz w:val="21"/>
          <w:szCs w:val="21"/>
          <w:highlight w:val="none"/>
        </w:rPr>
        <w:t xml:space="preserve">17.1 合同不能转让。 </w:t>
      </w:r>
    </w:p>
    <w:p>
      <w:pPr>
        <w:pStyle w:val="48"/>
        <w:spacing w:line="440" w:lineRule="exact"/>
        <w:ind w:firstLine="420" w:firstLineChars="200"/>
        <w:rPr>
          <w:color w:val="auto"/>
          <w:sz w:val="21"/>
          <w:szCs w:val="21"/>
          <w:highlight w:val="none"/>
        </w:rPr>
      </w:pPr>
      <w:r>
        <w:rPr>
          <w:rFonts w:hint="eastAsia"/>
          <w:color w:val="auto"/>
          <w:sz w:val="21"/>
          <w:szCs w:val="21"/>
          <w:highlight w:val="none"/>
        </w:rPr>
        <w:t xml:space="preserve">17.2经甲方事先书面同意乙方可以将合同项下非主体、非关键性工作分包给他人完成。接受分包的人应当具备相应的资格条件，并不得再次分包。分包后不能解除乙方履行本合同的责任和义务，接受分包的人与乙方共同对甲方连带承担合同的责任和义务。 </w:t>
      </w:r>
    </w:p>
    <w:p>
      <w:pPr>
        <w:pStyle w:val="48"/>
        <w:spacing w:line="440" w:lineRule="exact"/>
        <w:ind w:firstLine="420" w:firstLineChars="200"/>
        <w:rPr>
          <w:color w:val="auto"/>
          <w:sz w:val="21"/>
          <w:szCs w:val="21"/>
          <w:highlight w:val="none"/>
        </w:rPr>
      </w:pPr>
      <w:r>
        <w:rPr>
          <w:rFonts w:hint="eastAsia"/>
          <w:color w:val="auto"/>
          <w:sz w:val="21"/>
          <w:szCs w:val="21"/>
          <w:highlight w:val="none"/>
        </w:rPr>
        <w:t>17.3甲方和乙方都不得擅自变更本合同，但合同继续履行将损害国家和社会公共利益的除外。如必须对合同条款进行改动时，当事人双方须共同签署书面文件，作为合同的补充。</w:t>
      </w:r>
    </w:p>
    <w:p>
      <w:pPr>
        <w:pStyle w:val="48"/>
        <w:spacing w:line="440" w:lineRule="exact"/>
        <w:ind w:firstLine="420" w:firstLineChars="200"/>
        <w:rPr>
          <w:color w:val="auto"/>
          <w:sz w:val="21"/>
          <w:szCs w:val="21"/>
          <w:highlight w:val="none"/>
        </w:rPr>
      </w:pPr>
      <w:r>
        <w:rPr>
          <w:rFonts w:hint="eastAsia"/>
          <w:color w:val="auto"/>
          <w:sz w:val="21"/>
          <w:szCs w:val="21"/>
          <w:highlight w:val="none"/>
        </w:rPr>
        <w:t xml:space="preserve">17.4乙方擅自转让本合同或是未经甲方书面同意将合同项下非主体、非关键性工作分包给他人的，甲方有权立即解除本合同，同时要求乙方支付合同总价20%的违约金，违约金不足以弥补甲方损失，甲方有权继续向乙方追索。 </w:t>
      </w:r>
    </w:p>
    <w:p>
      <w:pPr>
        <w:pStyle w:val="48"/>
        <w:spacing w:line="440" w:lineRule="exact"/>
        <w:ind w:firstLine="420" w:firstLineChars="200"/>
        <w:rPr>
          <w:color w:val="auto"/>
          <w:sz w:val="21"/>
          <w:szCs w:val="21"/>
          <w:highlight w:val="none"/>
        </w:rPr>
      </w:pPr>
      <w:r>
        <w:rPr>
          <w:rFonts w:hint="eastAsia"/>
          <w:color w:val="auto"/>
          <w:sz w:val="21"/>
          <w:szCs w:val="21"/>
          <w:highlight w:val="none"/>
        </w:rPr>
        <w:t xml:space="preserve">18 计量单位 </w:t>
      </w:r>
    </w:p>
    <w:p>
      <w:pPr>
        <w:pStyle w:val="48"/>
        <w:spacing w:line="440" w:lineRule="exact"/>
        <w:ind w:firstLine="420" w:firstLineChars="200"/>
        <w:rPr>
          <w:color w:val="auto"/>
          <w:sz w:val="21"/>
          <w:szCs w:val="21"/>
          <w:highlight w:val="none"/>
        </w:rPr>
      </w:pPr>
      <w:r>
        <w:rPr>
          <w:rFonts w:hint="eastAsia"/>
          <w:color w:val="auto"/>
          <w:sz w:val="21"/>
          <w:szCs w:val="21"/>
          <w:highlight w:val="none"/>
        </w:rPr>
        <w:t xml:space="preserve">18.1 各项计量单位与货物清单对应项计量单位一致。 </w:t>
      </w:r>
    </w:p>
    <w:p>
      <w:pPr>
        <w:pStyle w:val="48"/>
        <w:spacing w:line="440" w:lineRule="exact"/>
        <w:ind w:firstLine="420" w:firstLineChars="200"/>
        <w:rPr>
          <w:color w:val="auto"/>
          <w:sz w:val="21"/>
          <w:szCs w:val="21"/>
          <w:highlight w:val="none"/>
        </w:rPr>
      </w:pPr>
      <w:r>
        <w:rPr>
          <w:rFonts w:hint="eastAsia"/>
          <w:color w:val="auto"/>
          <w:sz w:val="21"/>
          <w:szCs w:val="21"/>
          <w:highlight w:val="none"/>
        </w:rPr>
        <w:t xml:space="preserve">19 合同生效和其它 </w:t>
      </w:r>
    </w:p>
    <w:p>
      <w:pPr>
        <w:pStyle w:val="48"/>
        <w:spacing w:line="440" w:lineRule="exact"/>
        <w:ind w:firstLine="420" w:firstLineChars="200"/>
        <w:jc w:val="both"/>
        <w:rPr>
          <w:color w:val="auto"/>
          <w:sz w:val="21"/>
          <w:szCs w:val="21"/>
          <w:highlight w:val="none"/>
        </w:rPr>
      </w:pPr>
      <w:r>
        <w:rPr>
          <w:rFonts w:hint="eastAsia"/>
          <w:color w:val="auto"/>
          <w:sz w:val="21"/>
          <w:szCs w:val="21"/>
          <w:highlight w:val="none"/>
        </w:rPr>
        <w:t xml:space="preserve">19.1 采购项目的采购合同内容的确定应以采购文件和投标文件为基础，不得违背其实质性内容。采购项目的采购合同自签订之日起七个工作日内，甲方应当将合同副本报有关部门备案。合同将在双方签字盖章后开始生效。 </w:t>
      </w:r>
    </w:p>
    <w:p>
      <w:pPr>
        <w:snapToGrid w:val="0"/>
        <w:spacing w:line="440" w:lineRule="exact"/>
        <w:ind w:firstLine="420" w:firstLineChars="200"/>
        <w:rPr>
          <w:rFonts w:hAnsi="宋体"/>
          <w:color w:val="auto"/>
          <w:sz w:val="21"/>
          <w:szCs w:val="21"/>
          <w:highlight w:val="none"/>
        </w:rPr>
      </w:pPr>
      <w:r>
        <w:rPr>
          <w:rFonts w:hint="eastAsia" w:hAnsi="宋体"/>
          <w:color w:val="auto"/>
          <w:sz w:val="21"/>
          <w:szCs w:val="21"/>
          <w:highlight w:val="none"/>
        </w:rPr>
        <w:t>19.</w:t>
      </w:r>
      <w:r>
        <w:rPr>
          <w:rFonts w:hAnsi="宋体"/>
          <w:color w:val="auto"/>
          <w:sz w:val="21"/>
          <w:szCs w:val="21"/>
          <w:highlight w:val="none"/>
        </w:rPr>
        <w:t>2</w:t>
      </w:r>
      <w:r>
        <w:rPr>
          <w:rFonts w:hint="eastAsia" w:hAnsi="宋体"/>
          <w:color w:val="auto"/>
          <w:sz w:val="21"/>
          <w:szCs w:val="21"/>
          <w:highlight w:val="none"/>
        </w:rPr>
        <w:t>本合同一式</w:t>
      </w:r>
      <w:r>
        <w:rPr>
          <w:rFonts w:hint="eastAsia" w:hAnsi="宋体"/>
          <w:color w:val="auto"/>
          <w:sz w:val="21"/>
          <w:szCs w:val="21"/>
          <w:highlight w:val="none"/>
          <w:u w:val="single"/>
        </w:rPr>
        <w:t xml:space="preserve">    </w:t>
      </w:r>
      <w:r>
        <w:rPr>
          <w:rFonts w:hint="eastAsia" w:hAnsi="宋体"/>
          <w:color w:val="auto"/>
          <w:sz w:val="21"/>
          <w:szCs w:val="21"/>
          <w:highlight w:val="none"/>
        </w:rPr>
        <w:t>份，甲方执</w:t>
      </w:r>
      <w:r>
        <w:rPr>
          <w:rFonts w:hint="eastAsia" w:hAnsi="宋体"/>
          <w:color w:val="auto"/>
          <w:sz w:val="21"/>
          <w:szCs w:val="21"/>
          <w:highlight w:val="none"/>
          <w:u w:val="single"/>
        </w:rPr>
        <w:t xml:space="preserve">    </w:t>
      </w:r>
      <w:r>
        <w:rPr>
          <w:rFonts w:hint="eastAsia" w:hAnsi="宋体"/>
          <w:color w:val="auto"/>
          <w:sz w:val="21"/>
          <w:szCs w:val="21"/>
          <w:highlight w:val="none"/>
        </w:rPr>
        <w:t>份，乙方执</w:t>
      </w:r>
      <w:r>
        <w:rPr>
          <w:rFonts w:hint="eastAsia" w:hAnsi="宋体"/>
          <w:color w:val="auto"/>
          <w:sz w:val="21"/>
          <w:szCs w:val="21"/>
          <w:highlight w:val="none"/>
          <w:u w:val="single"/>
        </w:rPr>
        <w:t xml:space="preserve">    </w:t>
      </w:r>
      <w:r>
        <w:rPr>
          <w:rFonts w:hint="eastAsia" w:hAnsi="宋体"/>
          <w:color w:val="auto"/>
          <w:sz w:val="21"/>
          <w:szCs w:val="21"/>
          <w:highlight w:val="none"/>
        </w:rPr>
        <w:t>份，采购代理机构执</w:t>
      </w:r>
      <w:r>
        <w:rPr>
          <w:rFonts w:hint="eastAsia" w:hAnsi="宋体"/>
          <w:color w:val="auto"/>
          <w:sz w:val="21"/>
          <w:szCs w:val="21"/>
          <w:highlight w:val="none"/>
          <w:u w:val="single"/>
        </w:rPr>
        <w:t xml:space="preserve">     </w:t>
      </w:r>
      <w:r>
        <w:rPr>
          <w:rFonts w:hint="eastAsia" w:hAnsi="宋体"/>
          <w:color w:val="auto"/>
          <w:sz w:val="21"/>
          <w:szCs w:val="21"/>
          <w:highlight w:val="none"/>
        </w:rPr>
        <w:t>份，具同等法律效力。本合同合计</w:t>
      </w:r>
      <w:r>
        <w:rPr>
          <w:rFonts w:hint="eastAsia" w:hAnsi="宋体"/>
          <w:color w:val="auto"/>
          <w:sz w:val="21"/>
          <w:szCs w:val="21"/>
          <w:highlight w:val="none"/>
          <w:u w:val="single"/>
        </w:rPr>
        <w:t xml:space="preserve">   </w:t>
      </w:r>
      <w:r>
        <w:rPr>
          <w:rFonts w:hint="eastAsia" w:hAnsi="宋体"/>
          <w:color w:val="auto"/>
          <w:sz w:val="21"/>
          <w:szCs w:val="21"/>
          <w:highlight w:val="none"/>
        </w:rPr>
        <w:t>页，缺页之合同为无效合同。</w:t>
      </w:r>
    </w:p>
    <w:p>
      <w:pPr>
        <w:snapToGrid w:val="0"/>
        <w:spacing w:line="440" w:lineRule="exact"/>
        <w:ind w:firstLine="420" w:firstLineChars="200"/>
        <w:rPr>
          <w:rFonts w:hAnsi="宋体"/>
          <w:color w:val="auto"/>
          <w:sz w:val="21"/>
          <w:szCs w:val="21"/>
          <w:highlight w:val="none"/>
        </w:rPr>
      </w:pPr>
      <w:r>
        <w:rPr>
          <w:rFonts w:hint="eastAsia" w:hAnsi="宋体"/>
          <w:color w:val="auto"/>
          <w:sz w:val="21"/>
          <w:szCs w:val="21"/>
          <w:highlight w:val="none"/>
        </w:rPr>
        <w:t>19.</w:t>
      </w:r>
      <w:r>
        <w:rPr>
          <w:rFonts w:hAnsi="宋体"/>
          <w:color w:val="auto"/>
          <w:sz w:val="21"/>
          <w:szCs w:val="21"/>
          <w:highlight w:val="none"/>
        </w:rPr>
        <w:t>3</w:t>
      </w:r>
      <w:r>
        <w:rPr>
          <w:rFonts w:hint="eastAsia" w:hAnsi="宋体"/>
          <w:color w:val="auto"/>
          <w:sz w:val="21"/>
          <w:szCs w:val="21"/>
          <w:highlight w:val="none"/>
        </w:rPr>
        <w:t>其它未尽事宜，由甲乙双方友好协商解决，并参照《中华人民共和国民法典》有关条款执行。</w:t>
      </w:r>
    </w:p>
    <w:p>
      <w:pPr>
        <w:pStyle w:val="48"/>
        <w:spacing w:line="440" w:lineRule="exact"/>
        <w:ind w:firstLine="420" w:firstLineChars="200"/>
        <w:rPr>
          <w:color w:val="auto"/>
          <w:sz w:val="21"/>
          <w:szCs w:val="21"/>
          <w:highlight w:val="none"/>
        </w:rPr>
      </w:pPr>
      <w:r>
        <w:rPr>
          <w:rFonts w:hint="eastAsia"/>
          <w:color w:val="auto"/>
          <w:sz w:val="21"/>
          <w:szCs w:val="21"/>
          <w:highlight w:val="none"/>
        </w:rPr>
        <w:t>19.</w:t>
      </w:r>
      <w:r>
        <w:rPr>
          <w:color w:val="auto"/>
          <w:sz w:val="21"/>
          <w:szCs w:val="21"/>
          <w:highlight w:val="none"/>
        </w:rPr>
        <w:t>4</w:t>
      </w:r>
      <w:r>
        <w:rPr>
          <w:rFonts w:hint="eastAsia"/>
          <w:color w:val="auto"/>
          <w:sz w:val="21"/>
          <w:szCs w:val="21"/>
          <w:highlight w:val="none"/>
        </w:rPr>
        <w:t>本合同应按照中华人民共和国的法律进行解释。</w:t>
      </w:r>
    </w:p>
    <w:p>
      <w:pPr>
        <w:spacing w:line="440" w:lineRule="exact"/>
        <w:ind w:firstLine="420" w:firstLineChars="200"/>
        <w:rPr>
          <w:rFonts w:hAnsi="宋体"/>
          <w:color w:val="auto"/>
          <w:sz w:val="21"/>
          <w:szCs w:val="21"/>
          <w:highlight w:val="none"/>
        </w:rPr>
      </w:pPr>
      <w:r>
        <w:rPr>
          <w:rFonts w:hint="eastAsia" w:hAnsi="宋体"/>
          <w:color w:val="auto"/>
          <w:sz w:val="21"/>
          <w:szCs w:val="21"/>
          <w:highlight w:val="none"/>
        </w:rPr>
        <w:t>（以下无正文）</w:t>
      </w:r>
    </w:p>
    <w:p>
      <w:pPr>
        <w:spacing w:line="440" w:lineRule="exact"/>
        <w:ind w:firstLine="420" w:firstLineChars="200"/>
        <w:rPr>
          <w:rFonts w:hAnsi="宋体"/>
          <w:color w:val="auto"/>
          <w:sz w:val="21"/>
          <w:szCs w:val="21"/>
          <w:highlight w:val="none"/>
        </w:rPr>
      </w:pPr>
    </w:p>
    <w:p>
      <w:pPr>
        <w:spacing w:line="440" w:lineRule="exact"/>
        <w:ind w:firstLine="420" w:firstLineChars="200"/>
        <w:rPr>
          <w:rFonts w:hAnsi="宋体"/>
          <w:color w:val="auto"/>
          <w:sz w:val="21"/>
          <w:szCs w:val="21"/>
          <w:highlight w:val="none"/>
        </w:rPr>
      </w:pPr>
      <w:r>
        <w:rPr>
          <w:rFonts w:hint="eastAsia" w:hAnsi="宋体"/>
          <w:color w:val="auto"/>
          <w:sz w:val="21"/>
          <w:szCs w:val="21"/>
          <w:highlight w:val="none"/>
        </w:rPr>
        <w:t>甲方（盖章）：                      乙方（盖章）：</w:t>
      </w:r>
    </w:p>
    <w:p>
      <w:pPr>
        <w:spacing w:line="440" w:lineRule="exact"/>
        <w:ind w:firstLine="420" w:firstLineChars="200"/>
        <w:rPr>
          <w:rFonts w:hAnsi="宋体"/>
          <w:color w:val="auto"/>
          <w:sz w:val="21"/>
          <w:szCs w:val="21"/>
          <w:highlight w:val="none"/>
        </w:rPr>
      </w:pPr>
      <w:r>
        <w:rPr>
          <w:rFonts w:hint="eastAsia" w:hAnsi="宋体"/>
          <w:color w:val="auto"/>
          <w:sz w:val="21"/>
          <w:szCs w:val="21"/>
          <w:highlight w:val="none"/>
        </w:rPr>
        <w:t>甲方法定代表(签字)：                乙方法定代表(签字)：</w:t>
      </w:r>
    </w:p>
    <w:p>
      <w:pPr>
        <w:spacing w:line="440" w:lineRule="exact"/>
        <w:ind w:firstLine="420" w:firstLineChars="200"/>
        <w:rPr>
          <w:rFonts w:hAnsi="宋体"/>
          <w:color w:val="auto"/>
          <w:sz w:val="21"/>
          <w:szCs w:val="21"/>
          <w:highlight w:val="none"/>
        </w:rPr>
      </w:pPr>
      <w:r>
        <w:rPr>
          <w:rFonts w:hint="eastAsia" w:hAnsi="宋体"/>
          <w:color w:val="auto"/>
          <w:sz w:val="21"/>
          <w:szCs w:val="21"/>
          <w:highlight w:val="none"/>
        </w:rPr>
        <w:t xml:space="preserve">地址：                              地址： </w:t>
      </w:r>
    </w:p>
    <w:p>
      <w:pPr>
        <w:spacing w:line="440" w:lineRule="exact"/>
        <w:ind w:firstLine="420" w:firstLineChars="200"/>
        <w:rPr>
          <w:rFonts w:hAnsi="宋体"/>
          <w:color w:val="auto"/>
          <w:sz w:val="21"/>
          <w:szCs w:val="21"/>
          <w:highlight w:val="none"/>
        </w:rPr>
      </w:pPr>
      <w:r>
        <w:rPr>
          <w:rFonts w:hint="eastAsia" w:hAnsi="宋体"/>
          <w:color w:val="auto"/>
          <w:sz w:val="21"/>
          <w:szCs w:val="21"/>
          <w:highlight w:val="none"/>
        </w:rPr>
        <w:t>电话：                              电话：</w:t>
      </w:r>
    </w:p>
    <w:p>
      <w:pPr>
        <w:spacing w:line="440" w:lineRule="exact"/>
        <w:ind w:firstLine="420" w:firstLineChars="200"/>
        <w:rPr>
          <w:rFonts w:hAnsi="宋体"/>
          <w:color w:val="auto"/>
          <w:sz w:val="21"/>
          <w:szCs w:val="21"/>
          <w:highlight w:val="none"/>
        </w:rPr>
      </w:pPr>
      <w:r>
        <w:rPr>
          <w:rFonts w:hint="eastAsia" w:hAnsi="宋体"/>
          <w:color w:val="auto"/>
          <w:sz w:val="21"/>
          <w:szCs w:val="21"/>
          <w:highlight w:val="none"/>
        </w:rPr>
        <w:t>传真：</w:t>
      </w:r>
      <w:r>
        <w:rPr>
          <w:rFonts w:hint="eastAsia" w:hAnsi="宋体"/>
          <w:color w:val="auto"/>
          <w:sz w:val="21"/>
          <w:szCs w:val="21"/>
          <w:highlight w:val="none"/>
        </w:rPr>
        <w:tab/>
      </w:r>
      <w:r>
        <w:rPr>
          <w:rFonts w:hint="eastAsia" w:hAnsi="宋体"/>
          <w:color w:val="auto"/>
          <w:sz w:val="21"/>
          <w:szCs w:val="21"/>
          <w:highlight w:val="none"/>
        </w:rPr>
        <w:tab/>
      </w:r>
      <w:r>
        <w:rPr>
          <w:rFonts w:hint="eastAsia" w:hAnsi="宋体"/>
          <w:color w:val="auto"/>
          <w:sz w:val="21"/>
          <w:szCs w:val="21"/>
          <w:highlight w:val="none"/>
        </w:rPr>
        <w:tab/>
      </w:r>
      <w:r>
        <w:rPr>
          <w:rFonts w:hint="eastAsia" w:hAnsi="宋体"/>
          <w:color w:val="auto"/>
          <w:sz w:val="21"/>
          <w:szCs w:val="21"/>
          <w:highlight w:val="none"/>
        </w:rPr>
        <w:tab/>
      </w:r>
      <w:r>
        <w:rPr>
          <w:rFonts w:hint="eastAsia" w:hAnsi="宋体"/>
          <w:color w:val="auto"/>
          <w:sz w:val="21"/>
          <w:szCs w:val="21"/>
          <w:highlight w:val="none"/>
        </w:rPr>
        <w:t xml:space="preserve">     传真：</w:t>
      </w:r>
    </w:p>
    <w:p>
      <w:pPr>
        <w:spacing w:line="440" w:lineRule="exact"/>
        <w:ind w:firstLine="420" w:firstLineChars="200"/>
        <w:rPr>
          <w:rFonts w:hAnsi="宋体"/>
          <w:color w:val="auto"/>
          <w:sz w:val="21"/>
          <w:szCs w:val="21"/>
          <w:highlight w:val="none"/>
        </w:rPr>
      </w:pPr>
      <w:r>
        <w:rPr>
          <w:rFonts w:hint="eastAsia" w:hAnsi="宋体"/>
          <w:color w:val="auto"/>
          <w:sz w:val="21"/>
          <w:szCs w:val="21"/>
          <w:highlight w:val="none"/>
        </w:rPr>
        <w:t>开户银行：</w:t>
      </w:r>
      <w:r>
        <w:rPr>
          <w:rFonts w:hint="eastAsia" w:hAnsi="宋体"/>
          <w:color w:val="auto"/>
          <w:sz w:val="21"/>
          <w:szCs w:val="21"/>
          <w:highlight w:val="none"/>
        </w:rPr>
        <w:tab/>
      </w:r>
      <w:r>
        <w:rPr>
          <w:rFonts w:hint="eastAsia" w:hAnsi="宋体"/>
          <w:color w:val="auto"/>
          <w:sz w:val="21"/>
          <w:szCs w:val="21"/>
          <w:highlight w:val="none"/>
        </w:rPr>
        <w:t xml:space="preserve">                   开户银行：</w:t>
      </w:r>
    </w:p>
    <w:p>
      <w:pPr>
        <w:spacing w:line="440" w:lineRule="exact"/>
        <w:ind w:firstLine="420" w:firstLineChars="200"/>
        <w:rPr>
          <w:rFonts w:hAnsi="宋体"/>
          <w:color w:val="auto"/>
          <w:sz w:val="21"/>
          <w:szCs w:val="21"/>
          <w:highlight w:val="none"/>
        </w:rPr>
      </w:pPr>
      <w:r>
        <w:rPr>
          <w:rFonts w:hint="eastAsia" w:hAnsi="宋体"/>
          <w:color w:val="auto"/>
          <w:sz w:val="21"/>
          <w:szCs w:val="21"/>
          <w:highlight w:val="none"/>
        </w:rPr>
        <w:t>账号：                              账号：</w:t>
      </w:r>
    </w:p>
    <w:p>
      <w:pPr>
        <w:spacing w:line="440" w:lineRule="exact"/>
        <w:ind w:firstLine="420" w:firstLineChars="200"/>
        <w:rPr>
          <w:rFonts w:hAnsi="宋体"/>
          <w:color w:val="auto"/>
          <w:sz w:val="21"/>
          <w:szCs w:val="21"/>
          <w:highlight w:val="none"/>
        </w:rPr>
      </w:pPr>
    </w:p>
    <w:p>
      <w:pPr>
        <w:spacing w:line="440" w:lineRule="exact"/>
        <w:ind w:firstLine="420" w:firstLineChars="200"/>
        <w:rPr>
          <w:rFonts w:hAnsi="宋体"/>
          <w:color w:val="auto"/>
          <w:sz w:val="21"/>
          <w:szCs w:val="21"/>
          <w:highlight w:val="none"/>
        </w:rPr>
      </w:pPr>
      <w:r>
        <w:rPr>
          <w:rFonts w:hint="eastAsia" w:hAnsi="宋体"/>
          <w:color w:val="auto"/>
          <w:sz w:val="21"/>
          <w:szCs w:val="21"/>
          <w:highlight w:val="none"/>
        </w:rPr>
        <w:t>签约时间：</w:t>
      </w:r>
    </w:p>
    <w:p>
      <w:pPr>
        <w:pStyle w:val="163"/>
        <w:spacing w:line="440" w:lineRule="exact"/>
        <w:rPr>
          <w:rFonts w:ascii="宋体" w:hAnsi="宋体"/>
          <w:color w:val="auto"/>
          <w:szCs w:val="21"/>
          <w:highlight w:val="none"/>
        </w:rPr>
      </w:pPr>
      <w:r>
        <w:rPr>
          <w:rFonts w:hint="eastAsia" w:ascii="宋体" w:hAnsi="宋体"/>
          <w:color w:val="auto"/>
          <w:szCs w:val="21"/>
          <w:highlight w:val="none"/>
        </w:rPr>
        <w:t>签约地点：</w:t>
      </w:r>
    </w:p>
    <w:p>
      <w:pPr>
        <w:rPr>
          <w:color w:val="auto"/>
          <w:highlight w:val="none"/>
        </w:rPr>
      </w:pPr>
      <w:r>
        <w:rPr>
          <w:color w:val="auto"/>
          <w:highlight w:val="none"/>
        </w:rPr>
        <w:br w:type="page"/>
      </w:r>
    </w:p>
    <w:p>
      <w:pPr>
        <w:jc w:val="center"/>
        <w:rPr>
          <w:rFonts w:ascii="方正小标宋简体" w:hAnsi="黑体" w:eastAsia="方正小标宋简体"/>
          <w:b/>
          <w:sz w:val="44"/>
          <w:szCs w:val="44"/>
          <w:highlight w:val="none"/>
        </w:rPr>
      </w:pPr>
      <w:r>
        <w:rPr>
          <w:rFonts w:hint="eastAsia" w:ascii="方正小标宋简体" w:hAnsi="黑体" w:eastAsia="方正小标宋简体"/>
          <w:b/>
          <w:sz w:val="44"/>
          <w:szCs w:val="44"/>
          <w:highlight w:val="none"/>
        </w:rPr>
        <w:t>阳光合作协议</w:t>
      </w:r>
    </w:p>
    <w:p>
      <w:pPr>
        <w:keepNext w:val="0"/>
        <w:keepLines w:val="0"/>
        <w:pageBreakBefore w:val="0"/>
        <w:kinsoku/>
        <w:wordWrap/>
        <w:overflowPunct/>
        <w:topLinePunct w:val="0"/>
        <w:autoSpaceDE/>
        <w:autoSpaceDN/>
        <w:bidi w:val="0"/>
        <w:adjustRightInd/>
        <w:snapToGrid/>
        <w:spacing w:line="360" w:lineRule="auto"/>
        <w:ind w:firstLine="562" w:firstLineChars="200"/>
        <w:jc w:val="center"/>
        <w:textAlignment w:val="auto"/>
        <w:rPr>
          <w:rFonts w:ascii="宋体"/>
          <w:b/>
          <w:sz w:val="28"/>
          <w:szCs w:val="28"/>
          <w:highlight w:val="none"/>
        </w:rPr>
      </w:pP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hint="eastAsia" w:ascii="宋体" w:hAnsi="宋体"/>
          <w:szCs w:val="21"/>
          <w:highlight w:val="none"/>
          <w:u w:val="single"/>
          <w:lang w:val="en-US" w:eastAsia="zh-CN"/>
        </w:rPr>
      </w:pPr>
      <w:r>
        <w:rPr>
          <w:rFonts w:hint="eastAsia" w:ascii="宋体" w:hAnsi="宋体"/>
          <w:szCs w:val="21"/>
          <w:highlight w:val="none"/>
        </w:rPr>
        <w:t>甲方：</w:t>
      </w:r>
      <w:r>
        <w:rPr>
          <w:rFonts w:hint="eastAsia" w:ascii="宋体" w:hAnsi="宋体"/>
          <w:szCs w:val="21"/>
          <w:highlight w:val="none"/>
          <w:u w:val="single"/>
          <w:lang w:val="en-US" w:eastAsia="zh-CN"/>
        </w:rPr>
        <w:t xml:space="preserve">                                </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hint="default" w:ascii="宋体" w:hAnsi="宋体" w:eastAsia="宋体"/>
          <w:szCs w:val="21"/>
          <w:highlight w:val="none"/>
          <w:u w:val="single"/>
          <w:lang w:val="en-US" w:eastAsia="zh-CN"/>
        </w:rPr>
      </w:pPr>
      <w:r>
        <w:rPr>
          <w:rFonts w:hint="eastAsia" w:ascii="宋体" w:hAnsi="宋体"/>
          <w:szCs w:val="21"/>
          <w:highlight w:val="none"/>
          <w:u w:val="single"/>
          <w:lang w:val="en-US" w:eastAsia="zh-CN"/>
        </w:rPr>
        <w:t xml:space="preserve">    </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ascii="宋体" w:hAnsi="宋体"/>
          <w:szCs w:val="21"/>
          <w:highlight w:val="none"/>
        </w:rPr>
      </w:pPr>
      <w:r>
        <w:rPr>
          <w:rFonts w:hint="eastAsia" w:ascii="宋体" w:hAnsi="宋体"/>
          <w:szCs w:val="21"/>
          <w:highlight w:val="none"/>
        </w:rPr>
        <w:t>乙方：</w:t>
      </w:r>
      <w:r>
        <w:rPr>
          <w:rFonts w:hint="eastAsia" w:ascii="宋体" w:hAnsi="宋体"/>
          <w:szCs w:val="21"/>
          <w:highlight w:val="none"/>
          <w:u w:val="single"/>
          <w:lang w:val="en-US" w:eastAsia="zh-CN"/>
        </w:rPr>
        <w:t xml:space="preserve">                                      </w:t>
      </w:r>
      <w:r>
        <w:rPr>
          <w:rFonts w:ascii="宋体" w:hAnsi="宋体"/>
          <w:szCs w:val="21"/>
          <w:highlight w:val="none"/>
        </w:rPr>
        <w:t xml:space="preserve"> </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hint="eastAsia" w:eastAsia="宋体"/>
          <w:highlight w:val="none"/>
          <w:lang w:val="en-US" w:eastAsia="zh-CN"/>
        </w:rPr>
      </w:pP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ascii="宋体"/>
          <w:highlight w:val="none"/>
        </w:rPr>
      </w:pPr>
      <w:r>
        <w:rPr>
          <w:rFonts w:hint="eastAsia" w:ascii="宋体" w:hAnsi="宋体"/>
          <w:highlight w:val="none"/>
        </w:rPr>
        <w:t>甲乙双方于</w:t>
      </w:r>
      <w:r>
        <w:rPr>
          <w:rFonts w:hint="eastAsia" w:ascii="宋体" w:hAnsi="宋体"/>
          <w:highlight w:val="none"/>
          <w:u w:val="single"/>
          <w:lang w:val="en-US" w:eastAsia="zh-CN"/>
        </w:rPr>
        <w:t xml:space="preserve">      </w:t>
      </w:r>
      <w:r>
        <w:rPr>
          <w:rFonts w:hint="eastAsia" w:ascii="宋体" w:hAnsi="宋体"/>
          <w:highlight w:val="none"/>
        </w:rPr>
        <w:t>年</w:t>
      </w:r>
      <w:r>
        <w:rPr>
          <w:rFonts w:hint="eastAsia" w:ascii="宋体" w:hAnsi="宋体"/>
          <w:highlight w:val="none"/>
          <w:u w:val="single"/>
          <w:lang w:val="en-US" w:eastAsia="zh-CN"/>
        </w:rPr>
        <w:t xml:space="preserve">      </w:t>
      </w:r>
      <w:r>
        <w:rPr>
          <w:rFonts w:hint="eastAsia" w:ascii="宋体" w:hAnsi="宋体"/>
          <w:highlight w:val="none"/>
        </w:rPr>
        <w:t>月</w:t>
      </w:r>
      <w:r>
        <w:rPr>
          <w:rFonts w:hint="eastAsia" w:ascii="宋体" w:hAnsi="宋体"/>
          <w:highlight w:val="none"/>
          <w:u w:val="single"/>
          <w:lang w:val="en-US" w:eastAsia="zh-CN"/>
        </w:rPr>
        <w:t xml:space="preserve">      </w:t>
      </w:r>
      <w:r>
        <w:rPr>
          <w:rFonts w:hint="eastAsia" w:ascii="宋体" w:hAnsi="宋体"/>
          <w:highlight w:val="none"/>
        </w:rPr>
        <w:t>日签署了《……</w:t>
      </w:r>
      <w:r>
        <w:rPr>
          <w:rFonts w:hint="eastAsia" w:ascii="宋体" w:hAnsi="宋体"/>
          <w:highlight w:val="none"/>
          <w:lang w:val="en-US" w:eastAsia="zh-CN"/>
        </w:rPr>
        <w:t>合同</w:t>
      </w:r>
      <w:r>
        <w:rPr>
          <w:rFonts w:hint="eastAsia" w:ascii="宋体" w:hAnsi="宋体"/>
          <w:highlight w:val="none"/>
        </w:rPr>
        <w:t>》（以下简称原合同），为加强双方阳光合作，保证职员职业安全，甲乙双方经协商签订本协议并作为双方共同遵守的阳光合作行为准则。</w:t>
      </w:r>
    </w:p>
    <w:p>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highlight w:val="none"/>
        </w:rPr>
      </w:pPr>
      <w:r>
        <w:rPr>
          <w:rFonts w:hint="eastAsia" w:ascii="宋体" w:hAnsi="宋体"/>
          <w:b/>
          <w:highlight w:val="none"/>
          <w:lang w:val="en-US" w:eastAsia="zh-CN"/>
        </w:rPr>
        <w:t>一、</w:t>
      </w:r>
      <w:r>
        <w:rPr>
          <w:rFonts w:hint="eastAsia" w:ascii="宋体" w:hAnsi="宋体"/>
          <w:b/>
          <w:highlight w:val="none"/>
        </w:rPr>
        <w:t>甲方责任</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highlight w:val="none"/>
        </w:rPr>
      </w:pPr>
      <w:r>
        <w:rPr>
          <w:rFonts w:hint="eastAsia" w:ascii="宋体" w:hAnsi="宋体"/>
          <w:highlight w:val="none"/>
        </w:rPr>
        <w:t>1.甲方有责任向乙方介绍本单位有关采购管理通用原则和本协议的规定。</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highlight w:val="none"/>
        </w:rPr>
      </w:pPr>
      <w:r>
        <w:rPr>
          <w:rFonts w:hint="eastAsia" w:ascii="宋体" w:hAnsi="宋体"/>
          <w:highlight w:val="none"/>
        </w:rPr>
        <w:t>2.甲方有责任对本单位相关人员进行阳光合作教育。</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highlight w:val="none"/>
        </w:rPr>
      </w:pPr>
      <w:r>
        <w:rPr>
          <w:rFonts w:hint="eastAsia" w:ascii="宋体" w:hAnsi="宋体"/>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highlight w:val="none"/>
        </w:rPr>
      </w:pPr>
      <w:r>
        <w:rPr>
          <w:rFonts w:hint="eastAsia" w:ascii="宋体" w:hAnsi="宋体"/>
          <w:highlight w:val="none"/>
        </w:rPr>
        <w:t>4.甲方人员如违反阳光合作管理制度及本协议规定，甲方视情节轻重、影响大小给予行政及经济处罚。</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highlight w:val="none"/>
        </w:rPr>
      </w:pPr>
      <w:r>
        <w:rPr>
          <w:rFonts w:hint="eastAsia" w:ascii="宋体" w:hAnsi="宋体"/>
          <w:highlight w:val="none"/>
        </w:rPr>
        <w:t>5．对于乙方举报甲方人员违反阳光合作规定的情况，甲方应及时进行调查，根据调查情况进行处理，并将调查结果向乙方反馈。</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highlight w:val="none"/>
        </w:rPr>
      </w:pPr>
      <w:r>
        <w:rPr>
          <w:rFonts w:hint="eastAsia" w:ascii="宋体" w:hAnsi="宋体"/>
          <w:highlight w:val="none"/>
        </w:rPr>
        <w:t>6.接受举报的一方应为举报方保密，不得对举报方进行报复，对举报属实和严格遵守《阳光合作协议》的合作方，在同等条件下给予后续合作的优先权。</w:t>
      </w:r>
    </w:p>
    <w:p>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highlight w:val="none"/>
        </w:rPr>
      </w:pPr>
      <w:r>
        <w:rPr>
          <w:rFonts w:hint="eastAsia" w:ascii="宋体" w:hAnsi="宋体"/>
          <w:b/>
          <w:highlight w:val="none"/>
          <w:lang w:val="en-US" w:eastAsia="zh-CN"/>
        </w:rPr>
        <w:t>二、</w:t>
      </w:r>
      <w:r>
        <w:rPr>
          <w:rFonts w:hint="eastAsia" w:ascii="宋体" w:hAnsi="宋体"/>
          <w:b/>
          <w:highlight w:val="none"/>
        </w:rPr>
        <w:t>乙方责任</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highlight w:val="none"/>
        </w:rPr>
      </w:pPr>
      <w:r>
        <w:rPr>
          <w:rFonts w:hint="eastAsia" w:ascii="宋体" w:hAnsi="宋体"/>
          <w:highlight w:val="none"/>
        </w:rPr>
        <w:t>1.乙方应保证乙方人员了解甲方有关采购管理通用原则和及本协议的规定，并遵照执行。</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highlight w:val="none"/>
        </w:rPr>
      </w:pPr>
      <w:r>
        <w:rPr>
          <w:rFonts w:hint="eastAsia" w:ascii="宋体" w:hAnsi="宋体"/>
          <w:highlight w:val="none"/>
        </w:rPr>
        <w:t>2.乙方不得以任何形式给予甲方人员回扣、赠送实物、现金、有价证券、礼券等有价物品或提供旅游等其他可能影响职务行为公正履行的活动（以下统称“财物”）。</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highlight w:val="none"/>
        </w:rPr>
      </w:pPr>
      <w:r>
        <w:rPr>
          <w:rFonts w:hint="eastAsia" w:ascii="宋体" w:hAnsi="宋体"/>
          <w:highlight w:val="none"/>
        </w:rPr>
        <w:t>3.乙方有责任接受甲方对乙方在合作期间阳光合作管理执行情况的监督，并对甲方相关调查工作主动配合。</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highlight w:val="none"/>
        </w:rPr>
      </w:pPr>
      <w:r>
        <w:rPr>
          <w:rFonts w:hint="eastAsia" w:ascii="宋体" w:hAnsi="宋体"/>
          <w:highlight w:val="none"/>
        </w:rPr>
        <w:t>4.乙方有义务就甲方人员任何形式的索取或收受财物行为及时向甲方（直接联系人为东莞实业投资控股集团有限公司</w:t>
      </w:r>
      <w:r>
        <w:rPr>
          <w:rFonts w:hint="eastAsia" w:ascii="宋体" w:hAnsi="宋体"/>
          <w:color w:val="FF0000"/>
          <w:highlight w:val="none"/>
          <w:lang w:val="en-US" w:eastAsia="zh-CN"/>
        </w:rPr>
        <w:t>法律合规</w:t>
      </w:r>
      <w:r>
        <w:rPr>
          <w:rFonts w:hint="eastAsia" w:ascii="宋体" w:hAnsi="宋体"/>
          <w:highlight w:val="none"/>
        </w:rPr>
        <w:t>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highlight w:val="none"/>
        </w:rPr>
      </w:pPr>
      <w:r>
        <w:rPr>
          <w:rFonts w:hint="eastAsia" w:ascii="宋体" w:hAnsi="宋体"/>
          <w:highlight w:val="none"/>
        </w:rPr>
        <w:t>5．甲方接受乙方实名或匿名举报，保证为举报者的信息保密，常设举报部门及电</w:t>
      </w:r>
      <w:r>
        <w:rPr>
          <w:rFonts w:hint="eastAsia" w:ascii="宋体" w:hAnsi="宋体" w:eastAsia="宋体"/>
          <w:highlight w:val="none"/>
          <w:lang w:val="en-US" w:eastAsia="zh-CN"/>
        </w:rPr>
        <w:t>话</w:t>
      </w:r>
      <w:r>
        <w:rPr>
          <w:rFonts w:hint="eastAsia" w:ascii="宋体" w:hAnsi="宋体"/>
          <w:highlight w:val="none"/>
        </w:rPr>
        <w:t xml:space="preserve">： </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highlight w:val="none"/>
        </w:rPr>
      </w:pPr>
      <w:r>
        <w:rPr>
          <w:rFonts w:hint="eastAsia" w:ascii="宋体" w:hAnsi="宋体"/>
          <w:highlight w:val="none"/>
        </w:rPr>
        <w:t>举报受理部门：东莞实业投资控股集团有限公司</w:t>
      </w:r>
      <w:r>
        <w:rPr>
          <w:rFonts w:hint="eastAsia" w:ascii="宋体" w:hAnsi="宋体"/>
          <w:color w:val="FF0000"/>
          <w:highlight w:val="none"/>
          <w:lang w:val="en-US" w:eastAsia="zh-CN"/>
        </w:rPr>
        <w:t>法律合规</w:t>
      </w:r>
      <w:r>
        <w:rPr>
          <w:rFonts w:hint="eastAsia" w:ascii="宋体" w:hAnsi="宋体"/>
          <w:highlight w:val="none"/>
        </w:rPr>
        <w:t>部</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highlight w:val="none"/>
        </w:rPr>
      </w:pPr>
      <w:r>
        <w:rPr>
          <w:rFonts w:hint="eastAsia" w:ascii="宋体" w:hAnsi="宋体"/>
          <w:highlight w:val="none"/>
        </w:rPr>
        <w:t>东实集团举报邮箱：</w:t>
      </w:r>
      <w:r>
        <w:rPr>
          <w:rFonts w:hint="eastAsia" w:ascii="宋体" w:hAnsi="宋体"/>
          <w:color w:val="FF0000"/>
          <w:highlight w:val="none"/>
        </w:rPr>
        <w:t>dgsyxf@163.com</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highlight w:val="none"/>
        </w:rPr>
      </w:pPr>
      <w:r>
        <w:rPr>
          <w:rFonts w:hint="eastAsia" w:ascii="宋体" w:hAnsi="宋体"/>
          <w:highlight w:val="none"/>
        </w:rPr>
        <w:t>东实集团举报电话：0769-</w:t>
      </w:r>
      <w:r>
        <w:rPr>
          <w:rFonts w:hint="eastAsia" w:ascii="宋体" w:hAnsi="宋体"/>
          <w:color w:val="FF0000"/>
          <w:highlight w:val="none"/>
        </w:rPr>
        <w:t>28820703</w:t>
      </w:r>
      <w:r>
        <w:rPr>
          <w:rFonts w:hint="eastAsia" w:ascii="宋体" w:hAnsi="宋体"/>
          <w:highlight w:val="none"/>
        </w:rPr>
        <w:t>（周一至周五9:00-12:00和14:00-18:00）</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highlight w:val="none"/>
        </w:rPr>
      </w:pPr>
      <w:r>
        <w:rPr>
          <w:rFonts w:hint="eastAsia" w:ascii="宋体" w:hAnsi="宋体"/>
          <w:highlight w:val="none"/>
        </w:rPr>
        <w:t>邮寄地址：东莞市东城区八一路1号机关二号大院9号楼，东莞实业投资控股集团有限公司</w:t>
      </w:r>
      <w:r>
        <w:rPr>
          <w:rFonts w:hint="eastAsia" w:ascii="宋体" w:hAnsi="宋体"/>
          <w:color w:val="FF0000"/>
          <w:highlight w:val="none"/>
          <w:lang w:val="en-US" w:eastAsia="zh-CN"/>
        </w:rPr>
        <w:t>法律合规</w:t>
      </w:r>
      <w:r>
        <w:rPr>
          <w:rFonts w:hint="eastAsia" w:ascii="宋体" w:hAnsi="宋体"/>
          <w:highlight w:val="none"/>
        </w:rPr>
        <w:t>部收，邮编523000。</w:t>
      </w:r>
    </w:p>
    <w:p>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highlight w:val="none"/>
        </w:rPr>
      </w:pPr>
      <w:r>
        <w:rPr>
          <w:rFonts w:hint="eastAsia" w:ascii="宋体" w:hAnsi="宋体"/>
          <w:b/>
          <w:highlight w:val="none"/>
          <w:lang w:val="en-US" w:eastAsia="zh-CN"/>
        </w:rPr>
        <w:t>三、</w:t>
      </w:r>
      <w:r>
        <w:rPr>
          <w:rFonts w:hint="eastAsia" w:ascii="宋体" w:hAnsi="宋体"/>
          <w:b/>
          <w:highlight w:val="none"/>
        </w:rPr>
        <w:t>其他</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highlight w:val="none"/>
        </w:rPr>
      </w:pPr>
      <w:r>
        <w:rPr>
          <w:rFonts w:hint="eastAsia" w:ascii="宋体" w:hAnsi="宋体"/>
          <w:highlight w:val="none"/>
        </w:rPr>
        <w:t>1.本协议是原合同的补充协议，与原合同有同等法律效力。</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highlight w:val="none"/>
        </w:rPr>
      </w:pPr>
      <w:r>
        <w:rPr>
          <w:rFonts w:hint="eastAsia" w:ascii="宋体" w:hAnsi="宋体"/>
          <w:highlight w:val="none"/>
        </w:rPr>
        <w:t>2.</w:t>
      </w:r>
      <w:r>
        <w:rPr>
          <w:rFonts w:ascii="宋体" w:hAnsi="宋体"/>
          <w:highlight w:val="none"/>
        </w:rPr>
        <w:t>本</w:t>
      </w:r>
      <w:r>
        <w:rPr>
          <w:rFonts w:hint="eastAsia" w:ascii="宋体" w:hAnsi="宋体"/>
          <w:highlight w:val="none"/>
        </w:rPr>
        <w:t>协议</w:t>
      </w:r>
      <w:r>
        <w:rPr>
          <w:rFonts w:ascii="宋体" w:hAnsi="宋体"/>
          <w:highlight w:val="none"/>
        </w:rPr>
        <w:t>一式</w:t>
      </w:r>
      <w:r>
        <w:rPr>
          <w:rFonts w:hint="eastAsia" w:ascii="宋体" w:hAnsi="宋体"/>
          <w:highlight w:val="none"/>
        </w:rPr>
        <w:t>四</w:t>
      </w:r>
      <w:r>
        <w:rPr>
          <w:rFonts w:ascii="宋体" w:hAnsi="宋体"/>
          <w:highlight w:val="none"/>
        </w:rPr>
        <w:t>份，甲方执</w:t>
      </w:r>
      <w:r>
        <w:rPr>
          <w:rFonts w:hint="eastAsia" w:ascii="宋体" w:hAnsi="宋体"/>
          <w:highlight w:val="none"/>
        </w:rPr>
        <w:t>贰</w:t>
      </w:r>
      <w:r>
        <w:rPr>
          <w:rFonts w:ascii="宋体" w:hAnsi="宋体"/>
          <w:highlight w:val="none"/>
        </w:rPr>
        <w:t>份，乙方执</w:t>
      </w:r>
      <w:r>
        <w:rPr>
          <w:rFonts w:hint="eastAsia" w:ascii="宋体" w:hAnsi="宋体"/>
          <w:highlight w:val="none"/>
        </w:rPr>
        <w:t>贰</w:t>
      </w:r>
      <w:r>
        <w:rPr>
          <w:rFonts w:ascii="宋体" w:hAnsi="宋体"/>
          <w:highlight w:val="none"/>
        </w:rPr>
        <w:t>份</w:t>
      </w:r>
      <w:r>
        <w:rPr>
          <w:rFonts w:hint="eastAsia" w:ascii="宋体" w:hAnsi="宋体"/>
          <w:highlight w:val="none"/>
        </w:rPr>
        <w:t>,具有同等法律效力。</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highlight w:val="none"/>
        </w:rPr>
      </w:pPr>
      <w:r>
        <w:rPr>
          <w:rFonts w:hint="eastAsia" w:ascii="宋体" w:hAnsi="宋体"/>
          <w:highlight w:val="none"/>
        </w:rPr>
        <w:t>3.本协议经双方签署后生效。</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ascii="宋体" w:hAnsi="宋体"/>
          <w:highlight w:val="none"/>
        </w:rPr>
      </w:pP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ascii="宋体"/>
          <w:highlight w:val="none"/>
        </w:rPr>
      </w:pPr>
      <w:r>
        <w:rPr>
          <w:rFonts w:hint="eastAsia" w:ascii="宋体" w:hAnsi="宋体"/>
          <w:highlight w:val="none"/>
        </w:rPr>
        <w:t>甲方（盖章）：                      乙方（盖章）：</w:t>
      </w:r>
      <w:r>
        <w:rPr>
          <w:rFonts w:ascii="宋体"/>
          <w:highlight w:val="none"/>
        </w:rPr>
        <w:t xml:space="preserve"> </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ascii="宋体" w:hAnsi="宋体"/>
          <w:highlight w:val="none"/>
        </w:rPr>
      </w:pP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ascii="宋体"/>
          <w:highlight w:val="none"/>
        </w:rPr>
      </w:pPr>
      <w:r>
        <w:rPr>
          <w:rFonts w:hint="eastAsia" w:ascii="宋体" w:hAnsi="宋体"/>
          <w:highlight w:val="none"/>
        </w:rPr>
        <w:t>法定代表人（授权代表）：</w:t>
      </w:r>
      <w:r>
        <w:rPr>
          <w:rFonts w:hint="eastAsia" w:ascii="宋体"/>
          <w:highlight w:val="none"/>
        </w:rPr>
        <w:tab/>
      </w:r>
      <w:r>
        <w:rPr>
          <w:rFonts w:hint="eastAsia" w:ascii="宋体"/>
          <w:highlight w:val="none"/>
        </w:rPr>
        <w:tab/>
      </w:r>
      <w:r>
        <w:rPr>
          <w:rFonts w:hint="eastAsia" w:ascii="宋体"/>
          <w:highlight w:val="none"/>
        </w:rPr>
        <w:t xml:space="preserve">  </w:t>
      </w:r>
      <w:r>
        <w:rPr>
          <w:rFonts w:hint="eastAsia" w:ascii="宋体"/>
          <w:highlight w:val="none"/>
        </w:rPr>
        <w:tab/>
      </w:r>
      <w:r>
        <w:rPr>
          <w:rFonts w:hint="eastAsia" w:ascii="宋体"/>
          <w:highlight w:val="none"/>
        </w:rPr>
        <w:t xml:space="preserve">   </w:t>
      </w:r>
      <w:r>
        <w:rPr>
          <w:rFonts w:hint="eastAsia" w:ascii="宋体" w:hAnsi="宋体"/>
          <w:highlight w:val="none"/>
        </w:rPr>
        <w:t>法定代表人（授权代表）：</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ascii="宋体" w:hAnsi="宋体"/>
          <w:highlight w:val="none"/>
        </w:rPr>
      </w:pP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highlight w:val="none"/>
        </w:rPr>
      </w:pPr>
      <w:r>
        <w:rPr>
          <w:rFonts w:hint="eastAsia" w:ascii="宋体" w:hAnsi="宋体"/>
          <w:highlight w:val="none"/>
        </w:rPr>
        <w:t>签约日期：   年   月   日</w:t>
      </w:r>
      <w:bookmarkStart w:id="52" w:name="现场签证通知单"/>
      <w:bookmarkEnd w:id="52"/>
      <w:bookmarkStart w:id="53" w:name="设计变更通知单"/>
      <w:bookmarkEnd w:id="53"/>
      <w:r>
        <w:rPr>
          <w:highlight w:val="none"/>
        </w:rPr>
        <w:tab/>
      </w:r>
      <w:r>
        <w:rPr>
          <w:highlight w:val="none"/>
        </w:rPr>
        <w:t xml:space="preserve">    </w:t>
      </w:r>
      <w:r>
        <w:rPr>
          <w:rFonts w:hint="eastAsia"/>
          <w:highlight w:val="none"/>
        </w:rPr>
        <w:t xml:space="preserve">   </w:t>
      </w:r>
      <w:r>
        <w:rPr>
          <w:rFonts w:hint="eastAsia" w:ascii="宋体" w:hAnsi="宋体"/>
          <w:highlight w:val="none"/>
        </w:rPr>
        <w:t>签约日期：   年   月   日</w:t>
      </w:r>
    </w:p>
    <w:p>
      <w:pPr>
        <w:spacing w:before="68" w:line="201" w:lineRule="auto"/>
        <w:ind w:left="199"/>
        <w:rPr>
          <w:rFonts w:ascii="黑体" w:hAnsi="黑体" w:eastAsia="黑体" w:cs="黑体"/>
          <w:sz w:val="21"/>
          <w:szCs w:val="21"/>
          <w:highlight w:val="none"/>
        </w:rPr>
      </w:pPr>
    </w:p>
    <w:p>
      <w:pPr>
        <w:spacing w:before="163" w:beforeLines="50" w:after="163" w:afterLines="50" w:line="360" w:lineRule="auto"/>
        <w:ind w:firstLine="420" w:firstLineChars="200"/>
        <w:contextualSpacing/>
        <w:rPr>
          <w:sz w:val="21"/>
          <w:szCs w:val="21"/>
          <w:highlight w:val="none"/>
        </w:rPr>
      </w:pPr>
    </w:p>
    <w:p>
      <w:pPr>
        <w:pStyle w:val="5"/>
        <w:keepNext/>
        <w:keepLines/>
        <w:pageBreakBefore/>
        <w:numPr>
          <w:ilvl w:val="0"/>
          <w:numId w:val="22"/>
        </w:numPr>
        <w:spacing w:line="360" w:lineRule="auto"/>
        <w:jc w:val="center"/>
        <w:rPr>
          <w:rFonts w:hAnsi="宋体" w:cs="宋体"/>
          <w:b/>
          <w:bCs/>
          <w:color w:val="auto"/>
          <w:kern w:val="44"/>
          <w:sz w:val="28"/>
          <w:szCs w:val="28"/>
          <w:highlight w:val="none"/>
          <w:lang w:val="zh-CN"/>
        </w:rPr>
      </w:pPr>
      <w:r>
        <w:rPr>
          <w:rFonts w:hint="eastAsia" w:hAnsi="宋体" w:cs="宋体"/>
          <w:b/>
          <w:bCs/>
          <w:color w:val="auto"/>
          <w:kern w:val="44"/>
          <w:sz w:val="28"/>
          <w:szCs w:val="28"/>
          <w:highlight w:val="none"/>
        </w:rPr>
        <w:t xml:space="preserve"> </w:t>
      </w:r>
      <w:bookmarkStart w:id="54" w:name="_Toc9935"/>
      <w:r>
        <w:rPr>
          <w:rFonts w:hint="eastAsia" w:hAnsi="宋体" w:cs="宋体"/>
          <w:b/>
          <w:bCs/>
          <w:color w:val="auto"/>
          <w:kern w:val="44"/>
          <w:sz w:val="28"/>
          <w:szCs w:val="28"/>
          <w:highlight w:val="none"/>
          <w:lang w:val="zh-CN"/>
        </w:rPr>
        <w:t>投标文件格式</w:t>
      </w:r>
      <w:bookmarkEnd w:id="54"/>
    </w:p>
    <w:p>
      <w:pPr>
        <w:rPr>
          <w:rFonts w:hAnsi="宋体" w:cs="宋体"/>
          <w:b/>
          <w:bCs/>
          <w:color w:val="auto"/>
          <w:highlight w:val="none"/>
        </w:rPr>
      </w:pPr>
      <w:bookmarkStart w:id="55" w:name="_Toc19671"/>
      <w:bookmarkStart w:id="56" w:name="_Toc28095"/>
      <w:bookmarkStart w:id="57" w:name="_Toc12383"/>
      <w:bookmarkStart w:id="58" w:name="_Toc15960"/>
      <w:bookmarkStart w:id="59" w:name="_Toc396137244"/>
      <w:bookmarkStart w:id="60" w:name="_Toc2544"/>
      <w:bookmarkStart w:id="61" w:name="_Toc32736"/>
      <w:bookmarkStart w:id="62" w:name="_Toc32273"/>
      <w:bookmarkStart w:id="63" w:name="_Toc18848"/>
      <w:bookmarkStart w:id="64" w:name="_Toc32405"/>
      <w:bookmarkStart w:id="65" w:name="_Toc30637"/>
      <w:bookmarkStart w:id="66" w:name="_Toc29841"/>
      <w:bookmarkStart w:id="67" w:name="_Toc9348"/>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2" w:type="dxa"/>
          </w:tcPr>
          <w:p>
            <w:pPr>
              <w:spacing w:line="360" w:lineRule="auto"/>
              <w:ind w:right="105"/>
              <w:jc w:val="right"/>
              <w:rPr>
                <w:rFonts w:hAnsi="宋体" w:cs="宋体"/>
                <w:b/>
                <w:color w:val="auto"/>
                <w:sz w:val="36"/>
                <w:szCs w:val="36"/>
                <w:highlight w:val="none"/>
              </w:rPr>
            </w:pPr>
            <w:r>
              <w:rPr>
                <w:rFonts w:hint="eastAsia" w:hAnsi="宋体" w:cs="宋体"/>
                <w:b/>
                <w:color w:val="auto"/>
                <w:sz w:val="36"/>
                <w:szCs w:val="36"/>
                <w:highlight w:val="none"/>
              </w:rPr>
              <w:t>□正本/□副本</w:t>
            </w:r>
          </w:p>
          <w:p>
            <w:pPr>
              <w:spacing w:line="360" w:lineRule="auto"/>
              <w:ind w:right="105"/>
              <w:jc w:val="right"/>
              <w:rPr>
                <w:rFonts w:hAnsi="宋体" w:cs="宋体"/>
                <w:b/>
                <w:color w:val="auto"/>
                <w:sz w:val="50"/>
                <w:szCs w:val="50"/>
                <w:highlight w:val="none"/>
              </w:rPr>
            </w:pPr>
          </w:p>
          <w:p>
            <w:pPr>
              <w:spacing w:line="360" w:lineRule="auto"/>
              <w:jc w:val="center"/>
              <w:rPr>
                <w:rFonts w:hAnsi="宋体" w:cs="宋体"/>
                <w:b/>
                <w:color w:val="auto"/>
                <w:szCs w:val="21"/>
                <w:highlight w:val="none"/>
              </w:rPr>
            </w:pPr>
            <w:r>
              <w:rPr>
                <w:rFonts w:hint="eastAsia" w:hAnsi="宋体" w:cs="宋体"/>
                <w:bCs/>
                <w:color w:val="auto"/>
                <w:sz w:val="50"/>
                <w:szCs w:val="50"/>
                <w:highlight w:val="none"/>
                <w:u w:val="single"/>
              </w:rPr>
              <w:t>（ 项  目  名  称 ）</w:t>
            </w:r>
          </w:p>
          <w:p>
            <w:pPr>
              <w:spacing w:line="360" w:lineRule="auto"/>
              <w:jc w:val="center"/>
              <w:rPr>
                <w:rFonts w:hAnsi="宋体" w:cs="宋体"/>
                <w:b/>
                <w:color w:val="auto"/>
                <w:szCs w:val="21"/>
                <w:highlight w:val="none"/>
              </w:rPr>
            </w:pPr>
            <w:r>
              <w:rPr>
                <w:rFonts w:hint="eastAsia" w:hAnsi="宋体" w:cs="宋体"/>
                <w:b/>
                <w:color w:val="auto"/>
                <w:szCs w:val="21"/>
                <w:highlight w:val="none"/>
              </w:rPr>
              <w:t>（项目编号：</w:t>
            </w:r>
            <w:r>
              <w:rPr>
                <w:rFonts w:hint="eastAsia" w:hAnsi="宋体" w:cs="宋体"/>
                <w:b/>
                <w:color w:val="auto"/>
                <w:szCs w:val="21"/>
                <w:highlight w:val="none"/>
                <w:u w:val="single"/>
              </w:rPr>
              <w:t xml:space="preserve">             </w:t>
            </w:r>
            <w:r>
              <w:rPr>
                <w:rFonts w:hint="eastAsia" w:hAnsi="宋体" w:cs="宋体"/>
                <w:b/>
                <w:color w:val="auto"/>
                <w:szCs w:val="21"/>
                <w:highlight w:val="none"/>
              </w:rPr>
              <w:t>）</w:t>
            </w:r>
          </w:p>
          <w:p>
            <w:pPr>
              <w:spacing w:line="360" w:lineRule="auto"/>
              <w:jc w:val="center"/>
              <w:rPr>
                <w:rFonts w:hAnsi="宋体" w:cs="宋体"/>
                <w:b/>
                <w:color w:val="auto"/>
                <w:szCs w:val="21"/>
                <w:highlight w:val="none"/>
              </w:rPr>
            </w:pPr>
            <w:r>
              <w:rPr>
                <w:rFonts w:hint="eastAsia" w:hAnsi="宋体" w:cs="宋体"/>
                <w:b/>
                <w:color w:val="auto"/>
                <w:szCs w:val="21"/>
                <w:highlight w:val="none"/>
              </w:rPr>
              <w:t>（包组号：</w:t>
            </w:r>
            <w:r>
              <w:rPr>
                <w:rFonts w:hint="eastAsia" w:hAnsi="宋体" w:cs="宋体"/>
                <w:b/>
                <w:color w:val="auto"/>
                <w:szCs w:val="21"/>
                <w:highlight w:val="none"/>
                <w:u w:val="single"/>
              </w:rPr>
              <w:t xml:space="preserve">   </w:t>
            </w:r>
            <w:r>
              <w:rPr>
                <w:rFonts w:hint="eastAsia" w:hAnsi="宋体" w:cs="宋体"/>
                <w:bCs/>
                <w:i/>
                <w:iCs/>
                <w:color w:val="auto"/>
                <w:szCs w:val="21"/>
                <w:highlight w:val="none"/>
                <w:u w:val="single"/>
              </w:rPr>
              <w:t>如有</w:t>
            </w:r>
            <w:r>
              <w:rPr>
                <w:rFonts w:hint="eastAsia" w:hAnsi="宋体" w:cs="宋体"/>
                <w:b/>
                <w:color w:val="auto"/>
                <w:szCs w:val="21"/>
                <w:highlight w:val="none"/>
                <w:u w:val="single"/>
              </w:rPr>
              <w:t xml:space="preserve">    </w:t>
            </w:r>
            <w:r>
              <w:rPr>
                <w:rFonts w:hint="eastAsia" w:hAnsi="宋体" w:cs="宋体"/>
                <w:b/>
                <w:color w:val="auto"/>
                <w:szCs w:val="21"/>
                <w:highlight w:val="none"/>
              </w:rPr>
              <w:t>）</w:t>
            </w:r>
          </w:p>
          <w:p>
            <w:pPr>
              <w:spacing w:before="1080" w:beforeLines="450" w:line="360" w:lineRule="auto"/>
              <w:jc w:val="center"/>
              <w:rPr>
                <w:rFonts w:hAnsi="宋体" w:cs="宋体"/>
                <w:b/>
                <w:color w:val="auto"/>
                <w:spacing w:val="60"/>
                <w:sz w:val="72"/>
                <w:szCs w:val="72"/>
                <w:highlight w:val="none"/>
              </w:rPr>
            </w:pPr>
            <w:r>
              <w:rPr>
                <w:rFonts w:hint="eastAsia" w:hAnsi="宋体" w:cs="宋体"/>
                <w:b/>
                <w:color w:val="auto"/>
                <w:spacing w:val="60"/>
                <w:sz w:val="72"/>
                <w:szCs w:val="72"/>
                <w:highlight w:val="none"/>
              </w:rPr>
              <w:t>投标文件</w:t>
            </w:r>
          </w:p>
          <w:p>
            <w:pPr>
              <w:spacing w:line="360" w:lineRule="auto"/>
              <w:jc w:val="center"/>
              <w:rPr>
                <w:rFonts w:hAnsi="宋体" w:cs="宋体"/>
                <w:b/>
                <w:color w:val="auto"/>
                <w:szCs w:val="21"/>
                <w:highlight w:val="none"/>
              </w:rPr>
            </w:pPr>
            <w:r>
              <w:rPr>
                <w:rFonts w:hint="eastAsia" w:hAnsi="宋体" w:cs="宋体"/>
                <w:b/>
                <w:color w:val="auto"/>
                <w:szCs w:val="21"/>
                <w:highlight w:val="none"/>
              </w:rPr>
              <w:t>（投标文件类型：</w:t>
            </w:r>
            <w:r>
              <w:rPr>
                <w:rFonts w:hint="eastAsia" w:hAnsi="宋体" w:cs="宋体"/>
                <w:b/>
                <w:color w:val="auto"/>
                <w:szCs w:val="21"/>
                <w:highlight w:val="none"/>
                <w:u w:val="single"/>
              </w:rPr>
              <w:t xml:space="preserve">   </w:t>
            </w:r>
            <w:r>
              <w:rPr>
                <w:rFonts w:hint="eastAsia" w:hAnsi="宋体" w:cs="宋体"/>
                <w:bCs/>
                <w:i/>
                <w:iCs/>
                <w:color w:val="auto"/>
                <w:szCs w:val="21"/>
                <w:highlight w:val="none"/>
                <w:u w:val="single"/>
              </w:rPr>
              <w:t xml:space="preserve"> </w:t>
            </w:r>
            <w:r>
              <w:rPr>
                <w:rFonts w:hint="eastAsia" w:hAnsi="宋体" w:cs="宋体"/>
                <w:b/>
                <w:color w:val="auto"/>
                <w:szCs w:val="21"/>
                <w:highlight w:val="none"/>
                <w:u w:val="single"/>
              </w:rPr>
              <w:t xml:space="preserve">    </w:t>
            </w:r>
            <w:r>
              <w:rPr>
                <w:rFonts w:hint="eastAsia" w:hAnsi="宋体" w:cs="宋体"/>
                <w:b/>
                <w:color w:val="auto"/>
                <w:szCs w:val="21"/>
                <w:highlight w:val="none"/>
              </w:rPr>
              <w:t>）</w:t>
            </w:r>
          </w:p>
          <w:p>
            <w:pPr>
              <w:spacing w:after="1200" w:afterLines="500" w:line="360" w:lineRule="auto"/>
              <w:jc w:val="center"/>
              <w:rPr>
                <w:rFonts w:hAnsi="宋体" w:cs="宋体"/>
                <w:b/>
                <w:color w:val="auto"/>
                <w:szCs w:val="21"/>
                <w:highlight w:val="none"/>
              </w:rPr>
            </w:pPr>
            <w:r>
              <w:rPr>
                <w:rFonts w:hint="eastAsia" w:hAnsi="宋体" w:cs="宋体"/>
                <w:b/>
                <w:color w:val="auto"/>
                <w:szCs w:val="21"/>
                <w:highlight w:val="none"/>
              </w:rPr>
              <w:t>（封面格式仅供参考）</w:t>
            </w:r>
          </w:p>
          <w:tbl>
            <w:tblPr>
              <w:tblStyle w:val="52"/>
              <w:tblW w:w="4184" w:type="pct"/>
              <w:jc w:val="center"/>
              <w:tblLayout w:type="autofit"/>
              <w:tblCellMar>
                <w:top w:w="0" w:type="dxa"/>
                <w:left w:w="108" w:type="dxa"/>
                <w:bottom w:w="0" w:type="dxa"/>
                <w:right w:w="108" w:type="dxa"/>
              </w:tblCellMar>
            </w:tblPr>
            <w:tblGrid>
              <w:gridCol w:w="2160"/>
              <w:gridCol w:w="5445"/>
            </w:tblGrid>
            <w:tr>
              <w:tblPrEx>
                <w:tblCellMar>
                  <w:top w:w="0" w:type="dxa"/>
                  <w:left w:w="108" w:type="dxa"/>
                  <w:bottom w:w="0" w:type="dxa"/>
                  <w:right w:w="108" w:type="dxa"/>
                </w:tblCellMar>
              </w:tblPrEx>
              <w:trPr>
                <w:trHeight w:val="507" w:hRule="atLeast"/>
                <w:jc w:val="center"/>
              </w:trPr>
              <w:tc>
                <w:tcPr>
                  <w:tcW w:w="1420" w:type="pct"/>
                  <w:vAlign w:val="center"/>
                </w:tcPr>
                <w:p>
                  <w:pPr>
                    <w:spacing w:line="360" w:lineRule="auto"/>
                    <w:jc w:val="center"/>
                    <w:rPr>
                      <w:rFonts w:ascii="黑体" w:hAnsi="黑体" w:eastAsia="黑体"/>
                      <w:color w:val="auto"/>
                      <w:highlight w:val="none"/>
                    </w:rPr>
                  </w:pPr>
                  <w:r>
                    <w:rPr>
                      <w:rFonts w:hint="eastAsia" w:ascii="黑体" w:hAnsi="黑体" w:eastAsia="黑体"/>
                      <w:color w:val="auto"/>
                      <w:highlight w:val="none"/>
                    </w:rPr>
                    <w:t>投标人全称：</w:t>
                  </w:r>
                </w:p>
              </w:tc>
              <w:tc>
                <w:tcPr>
                  <w:tcW w:w="3579" w:type="pct"/>
                  <w:vAlign w:val="center"/>
                </w:tcPr>
                <w:p>
                  <w:pPr>
                    <w:spacing w:line="360" w:lineRule="auto"/>
                    <w:rPr>
                      <w:rFonts w:ascii="黑体" w:hAnsi="黑体" w:eastAsia="黑体"/>
                      <w:color w:val="auto"/>
                      <w:highlight w:val="none"/>
                      <w:u w:val="single"/>
                    </w:rPr>
                  </w:pPr>
                  <w:r>
                    <w:rPr>
                      <w:rFonts w:ascii="黑体" w:hAnsi="黑体" w:eastAsia="黑体"/>
                      <w:color w:val="auto"/>
                      <w:highlight w:val="none"/>
                      <w:u w:val="single"/>
                    </w:rPr>
                    <w:t xml:space="preserve">                                       </w:t>
                  </w:r>
                </w:p>
              </w:tc>
            </w:tr>
            <w:tr>
              <w:tblPrEx>
                <w:tblCellMar>
                  <w:top w:w="0" w:type="dxa"/>
                  <w:left w:w="108" w:type="dxa"/>
                  <w:bottom w:w="0" w:type="dxa"/>
                  <w:right w:w="108" w:type="dxa"/>
                </w:tblCellMar>
              </w:tblPrEx>
              <w:trPr>
                <w:trHeight w:val="556" w:hRule="atLeast"/>
                <w:jc w:val="center"/>
              </w:trPr>
              <w:tc>
                <w:tcPr>
                  <w:tcW w:w="1420" w:type="pct"/>
                  <w:vAlign w:val="center"/>
                </w:tcPr>
                <w:p>
                  <w:pPr>
                    <w:spacing w:line="360" w:lineRule="auto"/>
                    <w:jc w:val="center"/>
                    <w:rPr>
                      <w:rFonts w:ascii="黑体" w:hAnsi="黑体" w:eastAsia="黑体"/>
                      <w:color w:val="auto"/>
                      <w:highlight w:val="none"/>
                    </w:rPr>
                  </w:pPr>
                  <w:r>
                    <w:rPr>
                      <w:rFonts w:hint="eastAsia" w:ascii="黑体" w:hAnsi="黑体" w:eastAsia="黑体"/>
                      <w:color w:val="auto"/>
                      <w:highlight w:val="none"/>
                    </w:rPr>
                    <w:t>投标人地址：</w:t>
                  </w:r>
                </w:p>
              </w:tc>
              <w:tc>
                <w:tcPr>
                  <w:tcW w:w="3579" w:type="pct"/>
                  <w:vAlign w:val="center"/>
                </w:tcPr>
                <w:p>
                  <w:pPr>
                    <w:spacing w:line="360" w:lineRule="auto"/>
                    <w:rPr>
                      <w:rFonts w:ascii="黑体" w:hAnsi="黑体" w:eastAsia="黑体"/>
                      <w:color w:val="auto"/>
                      <w:highlight w:val="none"/>
                      <w:u w:val="single"/>
                    </w:rPr>
                  </w:pPr>
                  <w:r>
                    <w:rPr>
                      <w:rFonts w:ascii="黑体" w:hAnsi="黑体" w:eastAsia="黑体"/>
                      <w:color w:val="auto"/>
                      <w:highlight w:val="none"/>
                      <w:u w:val="single"/>
                    </w:rPr>
                    <w:t xml:space="preserve">                                       </w:t>
                  </w:r>
                </w:p>
              </w:tc>
            </w:tr>
            <w:tr>
              <w:tblPrEx>
                <w:tblCellMar>
                  <w:top w:w="0" w:type="dxa"/>
                  <w:left w:w="108" w:type="dxa"/>
                  <w:bottom w:w="0" w:type="dxa"/>
                  <w:right w:w="108" w:type="dxa"/>
                </w:tblCellMar>
              </w:tblPrEx>
              <w:trPr>
                <w:trHeight w:val="550" w:hRule="atLeast"/>
                <w:jc w:val="center"/>
              </w:trPr>
              <w:tc>
                <w:tcPr>
                  <w:tcW w:w="1420" w:type="pct"/>
                  <w:vAlign w:val="center"/>
                </w:tcPr>
                <w:p>
                  <w:pPr>
                    <w:spacing w:line="360" w:lineRule="auto"/>
                    <w:jc w:val="center"/>
                    <w:rPr>
                      <w:rFonts w:ascii="黑体" w:hAnsi="黑体" w:eastAsia="黑体"/>
                      <w:color w:val="auto"/>
                      <w:spacing w:val="-10"/>
                      <w:highlight w:val="none"/>
                    </w:rPr>
                  </w:pPr>
                  <w:r>
                    <w:rPr>
                      <w:rFonts w:hint="eastAsia" w:ascii="黑体" w:hAnsi="黑体" w:eastAsia="黑体"/>
                      <w:color w:val="auto"/>
                      <w:spacing w:val="-10"/>
                      <w:highlight w:val="none"/>
                    </w:rPr>
                    <w:t>投标人联系人：</w:t>
                  </w:r>
                </w:p>
              </w:tc>
              <w:tc>
                <w:tcPr>
                  <w:tcW w:w="3579" w:type="pct"/>
                  <w:vAlign w:val="center"/>
                </w:tcPr>
                <w:p>
                  <w:pPr>
                    <w:spacing w:line="360" w:lineRule="auto"/>
                    <w:rPr>
                      <w:rFonts w:ascii="黑体" w:hAnsi="黑体" w:eastAsia="黑体"/>
                      <w:color w:val="auto"/>
                      <w:highlight w:val="none"/>
                      <w:u w:val="single"/>
                    </w:rPr>
                  </w:pPr>
                  <w:r>
                    <w:rPr>
                      <w:rFonts w:ascii="黑体" w:hAnsi="黑体" w:eastAsia="黑体"/>
                      <w:color w:val="auto"/>
                      <w:highlight w:val="none"/>
                      <w:u w:val="single"/>
                    </w:rPr>
                    <w:t xml:space="preserve">                                       </w:t>
                  </w:r>
                </w:p>
              </w:tc>
            </w:tr>
            <w:tr>
              <w:tblPrEx>
                <w:tblCellMar>
                  <w:top w:w="0" w:type="dxa"/>
                  <w:left w:w="108" w:type="dxa"/>
                  <w:bottom w:w="0" w:type="dxa"/>
                  <w:right w:w="108" w:type="dxa"/>
                </w:tblCellMar>
              </w:tblPrEx>
              <w:trPr>
                <w:trHeight w:val="558" w:hRule="atLeast"/>
                <w:jc w:val="center"/>
              </w:trPr>
              <w:tc>
                <w:tcPr>
                  <w:tcW w:w="1420" w:type="pct"/>
                  <w:vAlign w:val="center"/>
                </w:tcPr>
                <w:p>
                  <w:pPr>
                    <w:spacing w:line="360" w:lineRule="auto"/>
                    <w:jc w:val="center"/>
                    <w:rPr>
                      <w:rFonts w:ascii="黑体" w:hAnsi="黑体" w:eastAsia="黑体"/>
                      <w:color w:val="auto"/>
                      <w:highlight w:val="none"/>
                    </w:rPr>
                  </w:pPr>
                  <w:r>
                    <w:rPr>
                      <w:rFonts w:hint="eastAsia" w:ascii="黑体" w:hAnsi="黑体" w:eastAsia="黑体"/>
                      <w:color w:val="auto"/>
                      <w:highlight w:val="none"/>
                    </w:rPr>
                    <w:t xml:space="preserve"> 投标人联系电话：</w:t>
                  </w:r>
                </w:p>
              </w:tc>
              <w:tc>
                <w:tcPr>
                  <w:tcW w:w="3579" w:type="pct"/>
                  <w:vAlign w:val="center"/>
                </w:tcPr>
                <w:p>
                  <w:pPr>
                    <w:spacing w:line="360" w:lineRule="auto"/>
                    <w:rPr>
                      <w:rFonts w:ascii="黑体" w:hAnsi="黑体" w:eastAsia="黑体"/>
                      <w:color w:val="auto"/>
                      <w:highlight w:val="none"/>
                      <w:u w:val="single"/>
                    </w:rPr>
                  </w:pPr>
                  <w:r>
                    <w:rPr>
                      <w:rFonts w:ascii="黑体" w:hAnsi="黑体" w:eastAsia="黑体"/>
                      <w:color w:val="auto"/>
                      <w:highlight w:val="none"/>
                      <w:u w:val="single"/>
                    </w:rPr>
                    <w:t xml:space="preserve">                                       </w:t>
                  </w:r>
                </w:p>
              </w:tc>
            </w:tr>
          </w:tbl>
          <w:p>
            <w:pPr>
              <w:spacing w:before="240" w:beforeLines="100" w:after="120" w:afterLines="50" w:line="360" w:lineRule="auto"/>
              <w:jc w:val="center"/>
              <w:rPr>
                <w:rFonts w:hAnsi="宋体" w:cs="宋体"/>
                <w:b/>
                <w:bCs/>
                <w:color w:val="auto"/>
                <w:spacing w:val="40"/>
                <w:highlight w:val="none"/>
              </w:rPr>
            </w:pPr>
            <w:r>
              <w:rPr>
                <w:rFonts w:hint="eastAsia" w:hAnsi="宋体" w:cs="宋体"/>
                <w:b/>
                <w:color w:val="auto"/>
                <w:spacing w:val="40"/>
                <w:highlight w:val="none"/>
              </w:rPr>
              <w:t>日期：</w:t>
            </w:r>
            <w:r>
              <w:rPr>
                <w:rFonts w:hint="eastAsia" w:hAnsi="宋体" w:cs="宋体"/>
                <w:b/>
                <w:color w:val="auto"/>
                <w:spacing w:val="20"/>
                <w:szCs w:val="21"/>
                <w:highlight w:val="none"/>
              </w:rPr>
              <w:t xml:space="preserve">   </w:t>
            </w:r>
            <w:r>
              <w:rPr>
                <w:rFonts w:hint="eastAsia" w:hAnsi="宋体" w:cs="宋体"/>
                <w:b/>
                <w:color w:val="auto"/>
                <w:spacing w:val="40"/>
                <w:highlight w:val="none"/>
              </w:rPr>
              <w:t>年  月  日</w:t>
            </w:r>
          </w:p>
          <w:p>
            <w:pPr>
              <w:jc w:val="center"/>
              <w:outlineLvl w:val="2"/>
              <w:rPr>
                <w:rFonts w:hAnsi="宋体" w:cs="宋体"/>
                <w:color w:val="auto"/>
                <w:kern w:val="2"/>
                <w:sz w:val="21"/>
                <w:szCs w:val="21"/>
                <w:highlight w:val="none"/>
                <w:lang w:val="zh-CN"/>
              </w:rPr>
            </w:pPr>
          </w:p>
          <w:p>
            <w:pPr>
              <w:jc w:val="center"/>
              <w:outlineLvl w:val="2"/>
              <w:rPr>
                <w:rFonts w:hAnsi="宋体" w:cs="宋体"/>
                <w:color w:val="auto"/>
                <w:kern w:val="2"/>
                <w:sz w:val="21"/>
                <w:szCs w:val="21"/>
                <w:highlight w:val="none"/>
                <w:lang w:val="zh-CN"/>
              </w:rPr>
            </w:pPr>
          </w:p>
        </w:tc>
      </w:tr>
    </w:tbl>
    <w:p>
      <w:pPr>
        <w:rPr>
          <w:rFonts w:hAnsi="宋体" w:cs="宋体"/>
          <w:b/>
          <w:bCs/>
          <w:color w:val="auto"/>
          <w:highlight w:val="none"/>
        </w:rPr>
      </w:pPr>
    </w:p>
    <w:bookmarkEnd w:id="55"/>
    <w:bookmarkEnd w:id="56"/>
    <w:bookmarkEnd w:id="57"/>
    <w:bookmarkEnd w:id="58"/>
    <w:bookmarkEnd w:id="59"/>
    <w:bookmarkEnd w:id="60"/>
    <w:bookmarkEnd w:id="61"/>
    <w:bookmarkEnd w:id="62"/>
    <w:bookmarkEnd w:id="63"/>
    <w:bookmarkEnd w:id="64"/>
    <w:bookmarkEnd w:id="65"/>
    <w:bookmarkEnd w:id="66"/>
    <w:bookmarkEnd w:id="67"/>
    <w:p>
      <w:pPr>
        <w:rPr>
          <w:rFonts w:hAnsi="宋体" w:cs="宋体"/>
          <w:color w:val="auto"/>
          <w:highlight w:val="none"/>
        </w:rPr>
      </w:pPr>
    </w:p>
    <w:p>
      <w:pPr>
        <w:rPr>
          <w:color w:val="auto"/>
          <w:highlight w:val="none"/>
        </w:rPr>
      </w:pPr>
      <w:bookmarkStart w:id="68" w:name="_Toc26830"/>
    </w:p>
    <w:bookmarkEnd w:id="68"/>
    <w:p>
      <w:pPr>
        <w:jc w:val="center"/>
        <w:rPr>
          <w:rFonts w:hAnsi="宋体" w:cs="宋体"/>
          <w:color w:val="auto"/>
          <w:sz w:val="32"/>
          <w:szCs w:val="32"/>
          <w:highlight w:val="none"/>
        </w:rPr>
      </w:pPr>
    </w:p>
    <w:p>
      <w:pPr>
        <w:jc w:val="center"/>
        <w:outlineLvl w:val="3"/>
        <w:rPr>
          <w:rFonts w:hAnsi="宋体" w:cs="宋体"/>
          <w:color w:val="auto"/>
          <w:sz w:val="32"/>
          <w:szCs w:val="32"/>
          <w:highlight w:val="none"/>
        </w:rPr>
      </w:pPr>
      <w:r>
        <w:rPr>
          <w:rFonts w:hint="eastAsia" w:hAnsi="宋体" w:cs="宋体"/>
          <w:b/>
          <w:bCs/>
          <w:color w:val="auto"/>
          <w:sz w:val="32"/>
          <w:szCs w:val="32"/>
          <w:highlight w:val="none"/>
        </w:rPr>
        <w:t>目录</w:t>
      </w:r>
    </w:p>
    <w:p>
      <w:pPr>
        <w:adjustRightInd/>
        <w:spacing w:line="276" w:lineRule="auto"/>
        <w:rPr>
          <w:rFonts w:hAnsi="宋体" w:cs="宋体"/>
          <w:color w:val="auto"/>
          <w:sz w:val="21"/>
          <w:szCs w:val="21"/>
          <w:highlight w:val="none"/>
        </w:rPr>
      </w:pPr>
    </w:p>
    <w:p>
      <w:pPr>
        <w:adjustRightInd/>
        <w:spacing w:line="276" w:lineRule="auto"/>
        <w:rPr>
          <w:rFonts w:hAnsi="宋体" w:cs="宋体"/>
          <w:color w:val="auto"/>
          <w:sz w:val="21"/>
          <w:szCs w:val="21"/>
          <w:highlight w:val="none"/>
        </w:rPr>
      </w:pPr>
    </w:p>
    <w:p>
      <w:pPr>
        <w:adjustRightInd/>
        <w:spacing w:line="276" w:lineRule="auto"/>
        <w:jc w:val="center"/>
        <w:rPr>
          <w:rFonts w:hAnsi="宋体" w:cs="宋体"/>
          <w:color w:val="auto"/>
          <w:sz w:val="21"/>
          <w:szCs w:val="21"/>
          <w:highlight w:val="none"/>
        </w:rPr>
      </w:pPr>
      <w:r>
        <w:rPr>
          <w:rFonts w:hint="eastAsia" w:hAnsi="宋体" w:cs="宋体"/>
          <w:color w:val="auto"/>
          <w:sz w:val="21"/>
          <w:szCs w:val="21"/>
          <w:highlight w:val="none"/>
        </w:rPr>
        <w:t>投标人制作的投标文件应按顺序编制页码和目录，格式自拟。</w:t>
      </w:r>
    </w:p>
    <w:p>
      <w:pPr>
        <w:rPr>
          <w:color w:val="auto"/>
          <w:highlight w:val="none"/>
        </w:rPr>
      </w:pPr>
    </w:p>
    <w:p>
      <w:pPr>
        <w:pStyle w:val="2"/>
        <w:rPr>
          <w:color w:val="auto"/>
          <w:highlight w:val="none"/>
        </w:rPr>
      </w:pPr>
    </w:p>
    <w:p>
      <w:pPr>
        <w:pStyle w:val="3"/>
        <w:ind w:firstLine="210"/>
        <w:rPr>
          <w:color w:val="auto"/>
          <w:highlight w:val="none"/>
        </w:rPr>
      </w:pPr>
    </w:p>
    <w:p>
      <w:pPr>
        <w:pStyle w:val="3"/>
        <w:ind w:firstLine="210"/>
        <w:rPr>
          <w:color w:val="auto"/>
          <w:highlight w:val="none"/>
        </w:rPr>
      </w:pPr>
    </w:p>
    <w:p>
      <w:pPr>
        <w:pStyle w:val="3"/>
        <w:ind w:firstLine="210"/>
        <w:rPr>
          <w:color w:val="auto"/>
          <w:highlight w:val="none"/>
        </w:rPr>
      </w:pPr>
    </w:p>
    <w:p>
      <w:pPr>
        <w:pStyle w:val="3"/>
        <w:ind w:firstLine="210"/>
        <w:rPr>
          <w:color w:val="auto"/>
          <w:highlight w:val="none"/>
        </w:rPr>
      </w:pPr>
    </w:p>
    <w:p>
      <w:pPr>
        <w:pStyle w:val="3"/>
        <w:ind w:firstLine="210"/>
        <w:rPr>
          <w:color w:val="auto"/>
          <w:highlight w:val="none"/>
        </w:rPr>
      </w:pPr>
    </w:p>
    <w:p>
      <w:pPr>
        <w:pStyle w:val="3"/>
        <w:ind w:firstLine="210"/>
        <w:rPr>
          <w:color w:val="auto"/>
          <w:highlight w:val="none"/>
        </w:rPr>
      </w:pPr>
    </w:p>
    <w:p>
      <w:pPr>
        <w:pStyle w:val="3"/>
        <w:ind w:firstLine="210"/>
        <w:rPr>
          <w:color w:val="auto"/>
          <w:highlight w:val="none"/>
        </w:rPr>
      </w:pPr>
    </w:p>
    <w:p>
      <w:pPr>
        <w:pStyle w:val="3"/>
        <w:ind w:firstLine="210"/>
        <w:rPr>
          <w:color w:val="auto"/>
          <w:highlight w:val="none"/>
        </w:rPr>
      </w:pPr>
    </w:p>
    <w:p>
      <w:pPr>
        <w:pStyle w:val="3"/>
        <w:ind w:firstLine="210"/>
        <w:rPr>
          <w:color w:val="auto"/>
          <w:highlight w:val="none"/>
        </w:rPr>
      </w:pPr>
    </w:p>
    <w:p>
      <w:pPr>
        <w:pStyle w:val="3"/>
        <w:ind w:firstLine="210"/>
        <w:rPr>
          <w:color w:val="auto"/>
          <w:highlight w:val="none"/>
        </w:rPr>
      </w:pPr>
    </w:p>
    <w:p>
      <w:pPr>
        <w:pStyle w:val="3"/>
        <w:ind w:firstLine="210"/>
        <w:rPr>
          <w:color w:val="auto"/>
          <w:highlight w:val="none"/>
        </w:rPr>
      </w:pPr>
    </w:p>
    <w:p>
      <w:pPr>
        <w:pStyle w:val="3"/>
        <w:ind w:firstLine="210"/>
        <w:rPr>
          <w:color w:val="auto"/>
          <w:highlight w:val="none"/>
        </w:rPr>
      </w:pPr>
    </w:p>
    <w:p>
      <w:pPr>
        <w:pStyle w:val="3"/>
        <w:ind w:firstLine="210"/>
        <w:rPr>
          <w:color w:val="auto"/>
          <w:highlight w:val="none"/>
        </w:rPr>
      </w:pPr>
    </w:p>
    <w:p>
      <w:pPr>
        <w:pStyle w:val="3"/>
        <w:ind w:firstLine="210"/>
        <w:rPr>
          <w:color w:val="auto"/>
          <w:highlight w:val="none"/>
        </w:rPr>
      </w:pPr>
    </w:p>
    <w:p>
      <w:pPr>
        <w:pStyle w:val="3"/>
        <w:ind w:firstLine="210"/>
        <w:rPr>
          <w:color w:val="auto"/>
          <w:highlight w:val="none"/>
        </w:rPr>
      </w:pPr>
    </w:p>
    <w:p>
      <w:pPr>
        <w:pStyle w:val="3"/>
        <w:ind w:firstLine="210"/>
        <w:rPr>
          <w:color w:val="auto"/>
          <w:highlight w:val="none"/>
        </w:rPr>
      </w:pPr>
    </w:p>
    <w:p>
      <w:pPr>
        <w:pStyle w:val="3"/>
        <w:ind w:firstLine="210"/>
        <w:rPr>
          <w:color w:val="auto"/>
          <w:highlight w:val="none"/>
        </w:rPr>
      </w:pPr>
    </w:p>
    <w:p>
      <w:pPr>
        <w:pStyle w:val="3"/>
        <w:ind w:firstLine="210"/>
        <w:rPr>
          <w:color w:val="auto"/>
          <w:highlight w:val="none"/>
        </w:rPr>
      </w:pPr>
    </w:p>
    <w:p>
      <w:pPr>
        <w:pStyle w:val="3"/>
        <w:ind w:firstLine="210"/>
        <w:rPr>
          <w:color w:val="auto"/>
          <w:highlight w:val="none"/>
        </w:rPr>
      </w:pPr>
    </w:p>
    <w:p>
      <w:pPr>
        <w:pStyle w:val="3"/>
        <w:ind w:firstLine="210"/>
        <w:rPr>
          <w:color w:val="auto"/>
          <w:highlight w:val="none"/>
        </w:rPr>
      </w:pPr>
    </w:p>
    <w:p>
      <w:pPr>
        <w:pStyle w:val="3"/>
        <w:ind w:firstLine="210"/>
        <w:rPr>
          <w:color w:val="auto"/>
          <w:highlight w:val="none"/>
        </w:rPr>
      </w:pPr>
    </w:p>
    <w:p>
      <w:pPr>
        <w:pStyle w:val="3"/>
        <w:ind w:firstLine="210"/>
        <w:rPr>
          <w:color w:val="auto"/>
          <w:highlight w:val="none"/>
        </w:rPr>
      </w:pPr>
    </w:p>
    <w:p>
      <w:pPr>
        <w:pStyle w:val="3"/>
        <w:ind w:firstLine="210"/>
        <w:rPr>
          <w:color w:val="auto"/>
          <w:highlight w:val="none"/>
        </w:rPr>
      </w:pPr>
    </w:p>
    <w:p>
      <w:pPr>
        <w:pStyle w:val="3"/>
        <w:ind w:firstLine="210"/>
        <w:rPr>
          <w:color w:val="auto"/>
          <w:highlight w:val="none"/>
        </w:rPr>
      </w:pPr>
    </w:p>
    <w:p>
      <w:pPr>
        <w:pStyle w:val="3"/>
        <w:ind w:firstLine="210"/>
        <w:rPr>
          <w:color w:val="auto"/>
          <w:highlight w:val="none"/>
        </w:rPr>
      </w:pPr>
    </w:p>
    <w:p>
      <w:pPr>
        <w:pStyle w:val="3"/>
        <w:ind w:firstLine="210"/>
        <w:rPr>
          <w:color w:val="auto"/>
          <w:highlight w:val="none"/>
        </w:rPr>
      </w:pPr>
    </w:p>
    <w:p>
      <w:pPr>
        <w:rPr>
          <w:color w:val="auto"/>
          <w:highlight w:val="none"/>
        </w:rPr>
      </w:pPr>
      <w:bookmarkStart w:id="69" w:name="_Toc18893"/>
    </w:p>
    <w:p>
      <w:pPr>
        <w:rPr>
          <w:color w:val="auto"/>
          <w:highlight w:val="none"/>
        </w:rPr>
      </w:pPr>
    </w:p>
    <w:p>
      <w:pPr>
        <w:pStyle w:val="8"/>
        <w:numPr>
          <w:ilvl w:val="0"/>
          <w:numId w:val="26"/>
        </w:numPr>
        <w:overflowPunct w:val="0"/>
        <w:spacing w:before="0" w:after="0"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32"/>
          <w:szCs w:val="32"/>
          <w:highlight w:val="none"/>
        </w:rPr>
        <w:t>索引表（该部分为参考格式，投标人根据实际选用）</w:t>
      </w:r>
    </w:p>
    <w:p>
      <w:pPr>
        <w:pStyle w:val="8"/>
        <w:numPr>
          <w:ilvl w:val="0"/>
          <w:numId w:val="27"/>
        </w:numPr>
        <w:overflowPunct w:val="0"/>
        <w:spacing w:before="0" w:after="0" w:line="240" w:lineRule="auto"/>
        <w:jc w:val="center"/>
        <w:rPr>
          <w:rFonts w:ascii="宋体" w:hAnsi="宋体" w:eastAsia="宋体" w:cs="宋体"/>
          <w:color w:val="auto"/>
          <w:highlight w:val="none"/>
        </w:rPr>
      </w:pPr>
      <w:r>
        <w:rPr>
          <w:rFonts w:hint="eastAsia" w:ascii="宋体" w:hAnsi="宋体" w:eastAsia="宋体" w:cs="宋体"/>
          <w:color w:val="auto"/>
          <w:highlight w:val="none"/>
        </w:rPr>
        <w:t>资格性审查索引表</w:t>
      </w:r>
      <w:bookmarkEnd w:id="69"/>
    </w:p>
    <w:p>
      <w:pPr>
        <w:jc w:val="center"/>
        <w:rPr>
          <w:rFonts w:hAnsi="宋体" w:cs="宋体"/>
          <w:color w:val="auto"/>
          <w:highlight w:val="none"/>
        </w:rPr>
      </w:pPr>
    </w:p>
    <w:tbl>
      <w:tblPr>
        <w:tblStyle w:val="52"/>
        <w:tblW w:w="51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41"/>
        <w:gridCol w:w="5356"/>
        <w:gridCol w:w="3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345" w:type="pct"/>
            <w:vAlign w:val="center"/>
          </w:tcPr>
          <w:p>
            <w:pPr>
              <w:jc w:val="center"/>
              <w:rPr>
                <w:rFonts w:hAnsi="宋体" w:cs="宋体"/>
                <w:color w:val="auto"/>
                <w:sz w:val="21"/>
                <w:szCs w:val="21"/>
                <w:highlight w:val="none"/>
              </w:rPr>
            </w:pPr>
            <w:r>
              <w:rPr>
                <w:rFonts w:hint="eastAsia" w:hAnsi="宋体" w:cs="宋体"/>
                <w:color w:val="auto"/>
                <w:sz w:val="21"/>
                <w:szCs w:val="21"/>
                <w:highlight w:val="none"/>
              </w:rPr>
              <w:t>序号</w:t>
            </w:r>
          </w:p>
        </w:tc>
        <w:tc>
          <w:tcPr>
            <w:tcW w:w="2884" w:type="pct"/>
            <w:vAlign w:val="center"/>
          </w:tcPr>
          <w:p>
            <w:pPr>
              <w:jc w:val="center"/>
              <w:rPr>
                <w:rFonts w:hAnsi="宋体" w:cs="宋体"/>
                <w:color w:val="auto"/>
                <w:sz w:val="21"/>
                <w:szCs w:val="21"/>
                <w:highlight w:val="none"/>
              </w:rPr>
            </w:pPr>
            <w:r>
              <w:rPr>
                <w:rFonts w:hint="eastAsia" w:hAnsi="宋体" w:cs="宋体"/>
                <w:color w:val="auto"/>
                <w:sz w:val="21"/>
                <w:szCs w:val="21"/>
                <w:highlight w:val="none"/>
              </w:rPr>
              <w:t>采购文件要求</w:t>
            </w:r>
          </w:p>
        </w:tc>
        <w:tc>
          <w:tcPr>
            <w:tcW w:w="1770" w:type="pct"/>
            <w:vAlign w:val="center"/>
          </w:tcPr>
          <w:p>
            <w:pPr>
              <w:rPr>
                <w:rFonts w:hAnsi="宋体" w:cs="宋体"/>
                <w:color w:val="auto"/>
                <w:sz w:val="21"/>
                <w:szCs w:val="21"/>
                <w:highlight w:val="none"/>
              </w:rPr>
            </w:pPr>
            <w:r>
              <w:rPr>
                <w:rFonts w:hint="eastAsia" w:hAnsi="宋体" w:cs="宋体"/>
                <w:color w:val="auto"/>
                <w:sz w:val="21"/>
                <w:szCs w:val="21"/>
                <w:highlight w:val="none"/>
              </w:rPr>
              <w:t xml:space="preserve"> 证明资料页码索引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7" w:hRule="exact"/>
          <w:jc w:val="center"/>
        </w:trPr>
        <w:tc>
          <w:tcPr>
            <w:tcW w:w="345" w:type="pct"/>
            <w:vAlign w:val="center"/>
          </w:tcPr>
          <w:p>
            <w:pPr>
              <w:jc w:val="center"/>
              <w:rPr>
                <w:rFonts w:hAnsi="宋体" w:cs="宋体"/>
                <w:color w:val="auto"/>
                <w:sz w:val="21"/>
                <w:szCs w:val="21"/>
                <w:highlight w:val="none"/>
              </w:rPr>
            </w:pPr>
            <w:r>
              <w:rPr>
                <w:rFonts w:hint="eastAsia" w:hAnsi="宋体" w:cs="宋体"/>
                <w:color w:val="auto"/>
                <w:sz w:val="21"/>
                <w:szCs w:val="21"/>
                <w:highlight w:val="none"/>
              </w:rPr>
              <w:t>1</w:t>
            </w:r>
          </w:p>
        </w:tc>
        <w:tc>
          <w:tcPr>
            <w:tcW w:w="2884" w:type="pct"/>
            <w:vAlign w:val="center"/>
          </w:tcPr>
          <w:p>
            <w:pPr>
              <w:rPr>
                <w:rFonts w:hAnsi="宋体" w:cs="宋体"/>
                <w:color w:val="auto"/>
                <w:sz w:val="21"/>
                <w:szCs w:val="21"/>
                <w:highlight w:val="none"/>
              </w:rPr>
            </w:pPr>
            <w:r>
              <w:rPr>
                <w:rFonts w:hint="eastAsia" w:hAnsi="宋体" w:cs="宋体"/>
                <w:color w:val="auto"/>
                <w:sz w:val="21"/>
                <w:szCs w:val="21"/>
                <w:highlight w:val="none"/>
              </w:rPr>
              <w:t>具有独立承担民事责任的能力；</w:t>
            </w:r>
          </w:p>
          <w:p>
            <w:pPr>
              <w:rPr>
                <w:rFonts w:hAnsi="宋体" w:cs="宋体"/>
                <w:color w:val="auto"/>
                <w:sz w:val="21"/>
                <w:szCs w:val="21"/>
                <w:highlight w:val="none"/>
              </w:rPr>
            </w:pPr>
            <w:r>
              <w:rPr>
                <w:rFonts w:hint="eastAsia" w:hAnsi="宋体" w:cs="宋体"/>
                <w:color w:val="auto"/>
                <w:sz w:val="21"/>
                <w:szCs w:val="21"/>
                <w:highlight w:val="none"/>
              </w:rPr>
              <w:t>（提供附件《投标人资格性证明文件》对应证明文件）</w:t>
            </w:r>
          </w:p>
        </w:tc>
        <w:tc>
          <w:tcPr>
            <w:tcW w:w="1770" w:type="pct"/>
            <w:vAlign w:val="center"/>
          </w:tcPr>
          <w:p>
            <w:pPr>
              <w:jc w:val="center"/>
              <w:rPr>
                <w:rFonts w:hAnsi="宋体" w:cs="宋体"/>
                <w:color w:val="auto"/>
                <w:sz w:val="21"/>
                <w:szCs w:val="21"/>
                <w:highlight w:val="none"/>
              </w:rPr>
            </w:pPr>
            <w:r>
              <w:rPr>
                <w:rFonts w:hint="eastAsia" w:hAnsi="宋体" w:cs="宋体"/>
                <w:color w:val="auto"/>
                <w:sz w:val="21"/>
                <w:szCs w:val="21"/>
                <w:highlight w:val="none"/>
              </w:rPr>
              <w:t>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3" w:hRule="exact"/>
          <w:jc w:val="center"/>
        </w:trPr>
        <w:tc>
          <w:tcPr>
            <w:tcW w:w="345" w:type="pct"/>
            <w:vAlign w:val="center"/>
          </w:tcPr>
          <w:p>
            <w:pPr>
              <w:jc w:val="center"/>
              <w:rPr>
                <w:rFonts w:hAnsi="宋体" w:cs="宋体"/>
                <w:color w:val="auto"/>
                <w:sz w:val="21"/>
                <w:szCs w:val="21"/>
                <w:highlight w:val="none"/>
              </w:rPr>
            </w:pPr>
            <w:r>
              <w:rPr>
                <w:rFonts w:hint="eastAsia" w:hAnsi="宋体" w:cs="宋体"/>
                <w:color w:val="auto"/>
                <w:sz w:val="21"/>
                <w:szCs w:val="21"/>
                <w:highlight w:val="none"/>
              </w:rPr>
              <w:t>2</w:t>
            </w:r>
          </w:p>
        </w:tc>
        <w:tc>
          <w:tcPr>
            <w:tcW w:w="2884" w:type="pct"/>
            <w:vAlign w:val="center"/>
          </w:tcPr>
          <w:p>
            <w:pPr>
              <w:rPr>
                <w:rFonts w:hAnsi="宋体" w:cs="宋体"/>
                <w:color w:val="auto"/>
                <w:sz w:val="21"/>
                <w:szCs w:val="21"/>
                <w:highlight w:val="none"/>
              </w:rPr>
            </w:pPr>
            <w:r>
              <w:rPr>
                <w:rFonts w:hint="eastAsia" w:hAnsi="宋体" w:cs="宋体"/>
                <w:color w:val="auto"/>
                <w:sz w:val="21"/>
                <w:szCs w:val="21"/>
                <w:highlight w:val="none"/>
              </w:rPr>
              <w:t>参加采购投标活动前三年内，在经营活动中没有重大违法记录；（提供附件《投标人资格性证明文件》对应证明文件）</w:t>
            </w:r>
          </w:p>
        </w:tc>
        <w:tc>
          <w:tcPr>
            <w:tcW w:w="1770" w:type="pct"/>
            <w:vAlign w:val="center"/>
          </w:tcPr>
          <w:p>
            <w:pPr>
              <w:jc w:val="center"/>
              <w:rPr>
                <w:rFonts w:hAnsi="宋体" w:cs="宋体"/>
                <w:color w:val="auto"/>
                <w:sz w:val="21"/>
                <w:szCs w:val="21"/>
                <w:highlight w:val="none"/>
              </w:rPr>
            </w:pPr>
            <w:r>
              <w:rPr>
                <w:rFonts w:hint="eastAsia" w:hAnsi="宋体" w:cs="宋体"/>
                <w:color w:val="auto"/>
                <w:sz w:val="21"/>
                <w:szCs w:val="21"/>
                <w:highlight w:val="none"/>
              </w:rPr>
              <w:t>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7" w:hRule="exact"/>
          <w:jc w:val="center"/>
        </w:trPr>
        <w:tc>
          <w:tcPr>
            <w:tcW w:w="345" w:type="pct"/>
            <w:vAlign w:val="center"/>
          </w:tcPr>
          <w:p>
            <w:pPr>
              <w:jc w:val="center"/>
              <w:rPr>
                <w:rFonts w:hAnsi="宋体" w:cs="宋体"/>
                <w:color w:val="auto"/>
                <w:sz w:val="21"/>
                <w:szCs w:val="21"/>
                <w:highlight w:val="none"/>
              </w:rPr>
            </w:pPr>
            <w:r>
              <w:rPr>
                <w:rFonts w:hint="eastAsia" w:hAnsi="宋体" w:cs="宋体"/>
                <w:color w:val="auto"/>
                <w:sz w:val="21"/>
                <w:szCs w:val="21"/>
                <w:highlight w:val="none"/>
              </w:rPr>
              <w:t>3</w:t>
            </w:r>
          </w:p>
        </w:tc>
        <w:tc>
          <w:tcPr>
            <w:tcW w:w="2884" w:type="pct"/>
            <w:vAlign w:val="center"/>
          </w:tcPr>
          <w:p>
            <w:pPr>
              <w:widowControl/>
              <w:adjustRightInd/>
              <w:rPr>
                <w:rFonts w:hAnsi="宋体" w:cs="宋体"/>
                <w:color w:val="auto"/>
                <w:sz w:val="21"/>
                <w:szCs w:val="21"/>
                <w:highlight w:val="none"/>
              </w:rPr>
            </w:pPr>
            <w:r>
              <w:rPr>
                <w:rFonts w:hint="eastAsia" w:hAnsi="宋体" w:cs="宋体"/>
                <w:color w:val="auto"/>
                <w:sz w:val="21"/>
                <w:szCs w:val="21"/>
                <w:highlight w:val="none"/>
              </w:rPr>
              <w:t>投标人的单位负责人为同一人或者存在直接控股、管理关系的不同投标人，不得参加同一合同项下的采购投标活动。（提供附件《投标人资格性证明文件》对应证明文件）</w:t>
            </w:r>
          </w:p>
        </w:tc>
        <w:tc>
          <w:tcPr>
            <w:tcW w:w="1770" w:type="pct"/>
            <w:vAlign w:val="center"/>
          </w:tcPr>
          <w:p>
            <w:pPr>
              <w:jc w:val="center"/>
              <w:rPr>
                <w:rFonts w:hAnsi="宋体" w:cs="宋体"/>
                <w:color w:val="auto"/>
                <w:sz w:val="21"/>
                <w:szCs w:val="21"/>
                <w:highlight w:val="none"/>
              </w:rPr>
            </w:pPr>
            <w:r>
              <w:rPr>
                <w:rFonts w:hint="eastAsia" w:hAnsi="宋体" w:cs="宋体"/>
                <w:color w:val="auto"/>
                <w:sz w:val="21"/>
                <w:szCs w:val="21"/>
                <w:highlight w:val="none"/>
              </w:rPr>
              <w:t>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5" w:hRule="exact"/>
          <w:jc w:val="center"/>
        </w:trPr>
        <w:tc>
          <w:tcPr>
            <w:tcW w:w="345" w:type="pct"/>
            <w:vAlign w:val="center"/>
          </w:tcPr>
          <w:p>
            <w:pPr>
              <w:jc w:val="center"/>
              <w:rPr>
                <w:rFonts w:hAnsi="宋体" w:cs="宋体"/>
                <w:color w:val="auto"/>
                <w:sz w:val="21"/>
                <w:szCs w:val="21"/>
                <w:highlight w:val="none"/>
              </w:rPr>
            </w:pPr>
            <w:r>
              <w:rPr>
                <w:rFonts w:hint="eastAsia" w:hAnsi="宋体" w:cs="宋体"/>
                <w:color w:val="auto"/>
                <w:sz w:val="21"/>
                <w:szCs w:val="21"/>
                <w:highlight w:val="none"/>
              </w:rPr>
              <w:t>4</w:t>
            </w:r>
          </w:p>
        </w:tc>
        <w:tc>
          <w:tcPr>
            <w:tcW w:w="2884" w:type="pct"/>
            <w:vAlign w:val="center"/>
          </w:tcPr>
          <w:p>
            <w:pPr>
              <w:widowControl/>
              <w:adjustRightInd/>
              <w:rPr>
                <w:rFonts w:hAnsi="宋体" w:cs="宋体"/>
                <w:color w:val="auto"/>
                <w:sz w:val="21"/>
                <w:szCs w:val="21"/>
                <w:highlight w:val="none"/>
              </w:rPr>
            </w:pPr>
            <w:r>
              <w:rPr>
                <w:rFonts w:hint="eastAsia" w:hAnsi="宋体" w:cs="宋体"/>
                <w:color w:val="auto"/>
                <w:sz w:val="21"/>
                <w:szCs w:val="21"/>
                <w:highlight w:val="none"/>
              </w:rPr>
              <w:t>未被列入“信用中国”网站(www.creditchina.gov.cn)“记录失信被执行人或重大税收违法案件当事人名单”记录名单</w:t>
            </w:r>
          </w:p>
          <w:p>
            <w:pPr>
              <w:rPr>
                <w:rFonts w:hAnsi="宋体" w:cs="宋体"/>
                <w:color w:val="auto"/>
                <w:sz w:val="21"/>
                <w:szCs w:val="21"/>
                <w:highlight w:val="none"/>
              </w:rPr>
            </w:pPr>
          </w:p>
        </w:tc>
        <w:tc>
          <w:tcPr>
            <w:tcW w:w="1770" w:type="pct"/>
            <w:vAlign w:val="center"/>
          </w:tcPr>
          <w:p>
            <w:pPr>
              <w:jc w:val="center"/>
              <w:rPr>
                <w:rFonts w:hAnsi="宋体" w:cs="宋体"/>
                <w:color w:val="auto"/>
                <w:sz w:val="21"/>
                <w:szCs w:val="21"/>
                <w:highlight w:val="none"/>
              </w:rPr>
            </w:pPr>
            <w:r>
              <w:rPr>
                <w:rFonts w:hint="eastAsia" w:hAnsi="宋体"/>
                <w:color w:val="auto"/>
                <w:kern w:val="2"/>
                <w:sz w:val="21"/>
                <w:szCs w:val="21"/>
                <w:highlight w:val="none"/>
              </w:rPr>
              <w:t>（以采购代理机构投标截止日当天在“信用中国”网站（www.creditchina.gov.cn）查询结果为准，如相关失信记录已失效，供应商需提供相关证明资料）。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345" w:type="pct"/>
            <w:vAlign w:val="center"/>
          </w:tcPr>
          <w:p>
            <w:pPr>
              <w:jc w:val="center"/>
              <w:rPr>
                <w:rFonts w:hAnsi="宋体" w:cs="宋体"/>
                <w:color w:val="auto"/>
                <w:sz w:val="21"/>
                <w:szCs w:val="21"/>
                <w:highlight w:val="none"/>
              </w:rPr>
            </w:pPr>
            <w:r>
              <w:rPr>
                <w:rFonts w:hint="eastAsia" w:hAnsi="宋体" w:cs="宋体"/>
                <w:color w:val="auto"/>
                <w:sz w:val="21"/>
                <w:szCs w:val="21"/>
                <w:highlight w:val="none"/>
              </w:rPr>
              <w:t>5</w:t>
            </w:r>
          </w:p>
        </w:tc>
        <w:tc>
          <w:tcPr>
            <w:tcW w:w="2884" w:type="pct"/>
            <w:vAlign w:val="center"/>
          </w:tcPr>
          <w:p>
            <w:pPr>
              <w:rPr>
                <w:rFonts w:hAnsi="宋体" w:cs="宋体"/>
                <w:color w:val="auto"/>
                <w:sz w:val="21"/>
                <w:szCs w:val="21"/>
                <w:highlight w:val="none"/>
              </w:rPr>
            </w:pPr>
            <w:r>
              <w:rPr>
                <w:rFonts w:hint="eastAsia" w:hAnsi="宋体" w:cs="宋体"/>
                <w:color w:val="auto"/>
                <w:sz w:val="21"/>
                <w:szCs w:val="21"/>
                <w:highlight w:val="none"/>
              </w:rPr>
              <w:t>采购文件要求的其他资格条件(如有）</w:t>
            </w:r>
          </w:p>
        </w:tc>
        <w:tc>
          <w:tcPr>
            <w:tcW w:w="1770" w:type="pct"/>
            <w:vAlign w:val="center"/>
          </w:tcPr>
          <w:p>
            <w:pPr>
              <w:jc w:val="center"/>
              <w:rPr>
                <w:rFonts w:hAnsi="宋体" w:cs="宋体"/>
                <w:color w:val="auto"/>
                <w:sz w:val="21"/>
                <w:szCs w:val="21"/>
                <w:highlight w:val="none"/>
              </w:rPr>
            </w:pPr>
            <w:r>
              <w:rPr>
                <w:rFonts w:hint="eastAsia" w:hAnsi="宋体" w:cs="宋体"/>
                <w:color w:val="auto"/>
                <w:sz w:val="21"/>
                <w:szCs w:val="21"/>
                <w:highlight w:val="none"/>
              </w:rPr>
              <w:t>投标文件第（）页</w:t>
            </w:r>
          </w:p>
        </w:tc>
      </w:tr>
    </w:tbl>
    <w:p>
      <w:pPr>
        <w:pStyle w:val="8"/>
        <w:numPr>
          <w:ilvl w:val="0"/>
          <w:numId w:val="27"/>
        </w:numPr>
        <w:overflowPunct w:val="0"/>
        <w:spacing w:before="0" w:after="0" w:line="240" w:lineRule="auto"/>
        <w:jc w:val="center"/>
        <w:rPr>
          <w:rFonts w:ascii="宋体" w:hAnsi="宋体" w:eastAsia="宋体" w:cs="宋体"/>
          <w:color w:val="auto"/>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highlight w:val="none"/>
        </w:rPr>
        <w:t>符合性审查索引表</w:t>
      </w:r>
    </w:p>
    <w:p>
      <w:pPr>
        <w:jc w:val="center"/>
        <w:rPr>
          <w:rFonts w:hAnsi="宋体" w:cs="宋体"/>
          <w:b/>
          <w:color w:val="auto"/>
          <w:highlight w:val="none"/>
        </w:rPr>
      </w:pPr>
    </w:p>
    <w:tbl>
      <w:tblPr>
        <w:tblStyle w:val="52"/>
        <w:tblW w:w="50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8"/>
        <w:gridCol w:w="6402"/>
        <w:gridCol w:w="2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376" w:type="pct"/>
            <w:vAlign w:val="center"/>
          </w:tcPr>
          <w:p>
            <w:pPr>
              <w:jc w:val="center"/>
              <w:rPr>
                <w:rFonts w:hAnsi="宋体" w:cs="宋体"/>
                <w:color w:val="auto"/>
                <w:sz w:val="21"/>
                <w:szCs w:val="21"/>
                <w:highlight w:val="none"/>
              </w:rPr>
            </w:pPr>
            <w:r>
              <w:rPr>
                <w:rFonts w:hint="eastAsia" w:hAnsi="宋体" w:cs="宋体"/>
                <w:color w:val="auto"/>
                <w:sz w:val="21"/>
                <w:szCs w:val="21"/>
                <w:highlight w:val="none"/>
              </w:rPr>
              <w:t>序号</w:t>
            </w:r>
          </w:p>
        </w:tc>
        <w:tc>
          <w:tcPr>
            <w:tcW w:w="3497" w:type="pct"/>
            <w:vAlign w:val="center"/>
          </w:tcPr>
          <w:p>
            <w:pPr>
              <w:jc w:val="center"/>
              <w:rPr>
                <w:rFonts w:hAnsi="宋体" w:cs="宋体"/>
                <w:color w:val="auto"/>
                <w:sz w:val="21"/>
                <w:szCs w:val="21"/>
                <w:highlight w:val="none"/>
              </w:rPr>
            </w:pPr>
            <w:r>
              <w:rPr>
                <w:rFonts w:hint="eastAsia" w:hAnsi="宋体" w:cs="宋体"/>
                <w:color w:val="auto"/>
                <w:sz w:val="21"/>
                <w:szCs w:val="21"/>
                <w:highlight w:val="none"/>
              </w:rPr>
              <w:t>自查内容</w:t>
            </w:r>
          </w:p>
        </w:tc>
        <w:tc>
          <w:tcPr>
            <w:tcW w:w="1126" w:type="pct"/>
            <w:vAlign w:val="center"/>
          </w:tcPr>
          <w:p>
            <w:pPr>
              <w:jc w:val="center"/>
              <w:rPr>
                <w:rFonts w:hAnsi="宋体" w:cs="宋体"/>
                <w:color w:val="auto"/>
                <w:sz w:val="21"/>
                <w:szCs w:val="21"/>
                <w:highlight w:val="none"/>
              </w:rPr>
            </w:pPr>
            <w:r>
              <w:rPr>
                <w:rFonts w:hint="eastAsia" w:hAnsi="宋体" w:cs="宋体"/>
                <w:color w:val="auto"/>
                <w:sz w:val="21"/>
                <w:szCs w:val="21"/>
                <w:highlight w:val="none"/>
              </w:rPr>
              <w:t>证明资料页码索引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376" w:type="pct"/>
            <w:vAlign w:val="center"/>
          </w:tcPr>
          <w:p>
            <w:pPr>
              <w:jc w:val="center"/>
              <w:rPr>
                <w:rFonts w:hAnsi="宋体" w:cs="宋体"/>
                <w:color w:val="auto"/>
                <w:sz w:val="21"/>
                <w:szCs w:val="21"/>
                <w:highlight w:val="none"/>
              </w:rPr>
            </w:pPr>
            <w:r>
              <w:rPr>
                <w:rFonts w:hint="eastAsia" w:hAnsi="宋体" w:cs="宋体"/>
                <w:color w:val="auto"/>
                <w:sz w:val="21"/>
                <w:szCs w:val="21"/>
                <w:highlight w:val="none"/>
              </w:rPr>
              <w:t>1</w:t>
            </w:r>
          </w:p>
        </w:tc>
        <w:tc>
          <w:tcPr>
            <w:tcW w:w="6402" w:type="dxa"/>
            <w:vAlign w:val="center"/>
          </w:tcPr>
          <w:p>
            <w:pPr>
              <w:widowControl/>
              <w:textAlignment w:val="center"/>
              <w:rPr>
                <w:rFonts w:hAnsi="宋体" w:cs="宋体"/>
                <w:color w:val="auto"/>
                <w:sz w:val="21"/>
                <w:szCs w:val="21"/>
                <w:highlight w:val="none"/>
              </w:rPr>
            </w:pPr>
            <w:r>
              <w:rPr>
                <w:rFonts w:hint="eastAsia" w:hAnsi="宋体" w:cs="宋体"/>
                <w:bCs/>
                <w:color w:val="auto"/>
                <w:sz w:val="21"/>
                <w:szCs w:val="21"/>
                <w:highlight w:val="none"/>
                <w:lang w:bidi="ar"/>
              </w:rPr>
              <w:t>按照采购文件的规定提交投标保证金的</w:t>
            </w:r>
          </w:p>
        </w:tc>
        <w:tc>
          <w:tcPr>
            <w:tcW w:w="2061" w:type="dxa"/>
            <w:vAlign w:val="center"/>
          </w:tcPr>
          <w:p>
            <w:pPr>
              <w:jc w:val="center"/>
              <w:rPr>
                <w:rFonts w:hAnsi="宋体" w:cs="宋体"/>
                <w:color w:val="auto"/>
                <w:sz w:val="21"/>
                <w:szCs w:val="21"/>
                <w:highlight w:val="none"/>
              </w:rPr>
            </w:pPr>
            <w:r>
              <w:rPr>
                <w:rFonts w:hint="eastAsia" w:hAnsi="宋体" w:cs="宋体"/>
                <w:color w:val="auto"/>
                <w:sz w:val="21"/>
                <w:szCs w:val="21"/>
                <w:highlight w:val="none"/>
              </w:rPr>
              <w:t>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376" w:type="pct"/>
            <w:vAlign w:val="center"/>
          </w:tcPr>
          <w:p>
            <w:pPr>
              <w:jc w:val="center"/>
              <w:rPr>
                <w:rFonts w:hAnsi="宋体" w:cs="宋体"/>
                <w:color w:val="auto"/>
                <w:sz w:val="21"/>
                <w:szCs w:val="21"/>
                <w:highlight w:val="none"/>
              </w:rPr>
            </w:pPr>
            <w:r>
              <w:rPr>
                <w:rFonts w:hint="eastAsia" w:hAnsi="宋体" w:cs="宋体"/>
                <w:color w:val="auto"/>
                <w:sz w:val="21"/>
                <w:szCs w:val="21"/>
                <w:highlight w:val="none"/>
              </w:rPr>
              <w:t>2</w:t>
            </w:r>
          </w:p>
        </w:tc>
        <w:tc>
          <w:tcPr>
            <w:tcW w:w="6402" w:type="dxa"/>
            <w:vAlign w:val="center"/>
          </w:tcPr>
          <w:p>
            <w:pPr>
              <w:widowControl/>
              <w:textAlignment w:val="center"/>
              <w:rPr>
                <w:rFonts w:hAnsi="宋体" w:cs="宋体"/>
                <w:color w:val="auto"/>
                <w:sz w:val="21"/>
                <w:szCs w:val="21"/>
                <w:highlight w:val="none"/>
              </w:rPr>
            </w:pPr>
            <w:r>
              <w:rPr>
                <w:rFonts w:hint="eastAsia" w:hAnsi="宋体" w:cs="宋体"/>
                <w:bCs/>
                <w:color w:val="auto"/>
                <w:sz w:val="21"/>
                <w:szCs w:val="21"/>
                <w:highlight w:val="none"/>
                <w:lang w:bidi="ar"/>
              </w:rPr>
              <w:t>投标文件按采购文件要求签署、盖章的</w:t>
            </w:r>
          </w:p>
        </w:tc>
        <w:tc>
          <w:tcPr>
            <w:tcW w:w="2061" w:type="dxa"/>
            <w:vAlign w:val="center"/>
          </w:tcPr>
          <w:p>
            <w:pPr>
              <w:jc w:val="center"/>
              <w:rPr>
                <w:rFonts w:hAnsi="宋体" w:cs="宋体"/>
                <w:color w:val="auto"/>
                <w:sz w:val="21"/>
                <w:szCs w:val="21"/>
                <w:highlight w:val="none"/>
              </w:rPr>
            </w:pPr>
            <w:r>
              <w:rPr>
                <w:rFonts w:hint="eastAsia" w:hAnsi="宋体" w:cs="宋体"/>
                <w:color w:val="auto"/>
                <w:sz w:val="21"/>
                <w:szCs w:val="21"/>
                <w:highlight w:val="none"/>
              </w:rPr>
              <w:t>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376" w:type="pct"/>
            <w:vAlign w:val="center"/>
          </w:tcPr>
          <w:p>
            <w:pPr>
              <w:jc w:val="center"/>
              <w:rPr>
                <w:rFonts w:hAnsi="宋体" w:cs="宋体"/>
                <w:color w:val="auto"/>
                <w:sz w:val="21"/>
                <w:szCs w:val="21"/>
                <w:highlight w:val="none"/>
              </w:rPr>
            </w:pPr>
            <w:r>
              <w:rPr>
                <w:rFonts w:hint="eastAsia" w:hAnsi="宋体" w:cs="宋体"/>
                <w:color w:val="auto"/>
                <w:sz w:val="21"/>
                <w:szCs w:val="21"/>
                <w:highlight w:val="none"/>
              </w:rPr>
              <w:t>3</w:t>
            </w:r>
          </w:p>
        </w:tc>
        <w:tc>
          <w:tcPr>
            <w:tcW w:w="6402" w:type="dxa"/>
            <w:vAlign w:val="center"/>
          </w:tcPr>
          <w:p>
            <w:pPr>
              <w:widowControl/>
              <w:textAlignment w:val="center"/>
              <w:rPr>
                <w:rFonts w:hAnsi="宋体" w:cs="宋体"/>
                <w:color w:val="auto"/>
                <w:sz w:val="21"/>
                <w:szCs w:val="21"/>
                <w:highlight w:val="none"/>
              </w:rPr>
            </w:pPr>
            <w:r>
              <w:rPr>
                <w:rFonts w:hint="eastAsia" w:hAnsi="宋体" w:cs="宋体"/>
                <w:bCs/>
                <w:color w:val="auto"/>
                <w:sz w:val="21"/>
                <w:szCs w:val="21"/>
                <w:highlight w:val="none"/>
                <w:lang w:bidi="ar"/>
              </w:rPr>
              <w:t>报价未超过采购文件中规定的预算金额或者最低限价的</w:t>
            </w:r>
          </w:p>
        </w:tc>
        <w:tc>
          <w:tcPr>
            <w:tcW w:w="2061" w:type="dxa"/>
            <w:vAlign w:val="center"/>
          </w:tcPr>
          <w:p>
            <w:pPr>
              <w:jc w:val="center"/>
              <w:rPr>
                <w:rFonts w:hAnsi="宋体" w:cs="宋体"/>
                <w:color w:val="auto"/>
                <w:sz w:val="21"/>
                <w:szCs w:val="21"/>
                <w:highlight w:val="none"/>
              </w:rPr>
            </w:pPr>
            <w:r>
              <w:rPr>
                <w:rFonts w:hint="eastAsia" w:hAnsi="宋体" w:cs="宋体"/>
                <w:color w:val="auto"/>
                <w:sz w:val="21"/>
                <w:szCs w:val="21"/>
                <w:highlight w:val="none"/>
              </w:rPr>
              <w:t>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376" w:type="pct"/>
            <w:vAlign w:val="center"/>
          </w:tcPr>
          <w:p>
            <w:pPr>
              <w:jc w:val="center"/>
              <w:rPr>
                <w:rFonts w:hAnsi="宋体" w:cs="宋体"/>
                <w:color w:val="auto"/>
                <w:sz w:val="21"/>
                <w:szCs w:val="21"/>
                <w:highlight w:val="none"/>
              </w:rPr>
            </w:pPr>
            <w:r>
              <w:rPr>
                <w:rFonts w:hint="eastAsia" w:hAnsi="宋体" w:cs="宋体"/>
                <w:color w:val="auto"/>
                <w:sz w:val="21"/>
                <w:szCs w:val="21"/>
                <w:highlight w:val="none"/>
              </w:rPr>
              <w:t>4</w:t>
            </w:r>
          </w:p>
        </w:tc>
        <w:tc>
          <w:tcPr>
            <w:tcW w:w="6402" w:type="dxa"/>
            <w:vAlign w:val="center"/>
          </w:tcPr>
          <w:p>
            <w:pPr>
              <w:widowControl/>
              <w:textAlignment w:val="center"/>
              <w:rPr>
                <w:rFonts w:hAnsi="宋体" w:cs="宋体"/>
                <w:color w:val="auto"/>
                <w:sz w:val="21"/>
                <w:szCs w:val="21"/>
                <w:highlight w:val="none"/>
              </w:rPr>
            </w:pPr>
            <w:r>
              <w:rPr>
                <w:rFonts w:hint="eastAsia" w:hAnsi="宋体" w:cs="宋体"/>
                <w:bCs/>
                <w:color w:val="auto"/>
                <w:sz w:val="21"/>
                <w:szCs w:val="21"/>
                <w:highlight w:val="none"/>
                <w:lang w:bidi="ar"/>
              </w:rPr>
              <w:t>投标文件未含有采购人不能接受的附加条件的</w:t>
            </w:r>
          </w:p>
        </w:tc>
        <w:tc>
          <w:tcPr>
            <w:tcW w:w="2061" w:type="dxa"/>
            <w:vAlign w:val="center"/>
          </w:tcPr>
          <w:p>
            <w:pPr>
              <w:jc w:val="center"/>
              <w:rPr>
                <w:rFonts w:hAnsi="宋体" w:cs="宋体"/>
                <w:color w:val="auto"/>
                <w:sz w:val="21"/>
                <w:szCs w:val="21"/>
                <w:highlight w:val="none"/>
              </w:rPr>
            </w:pPr>
            <w:r>
              <w:rPr>
                <w:rFonts w:hint="eastAsia" w:hAnsi="宋体" w:cs="宋体"/>
                <w:color w:val="auto"/>
                <w:sz w:val="21"/>
                <w:szCs w:val="21"/>
                <w:highlight w:val="none"/>
              </w:rPr>
              <w:t>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376" w:type="pct"/>
            <w:vAlign w:val="center"/>
          </w:tcPr>
          <w:p>
            <w:pPr>
              <w:jc w:val="center"/>
              <w:rPr>
                <w:rFonts w:hAnsi="宋体" w:cs="宋体"/>
                <w:color w:val="auto"/>
                <w:sz w:val="21"/>
                <w:szCs w:val="21"/>
                <w:highlight w:val="none"/>
              </w:rPr>
            </w:pPr>
            <w:r>
              <w:rPr>
                <w:rFonts w:hint="eastAsia" w:hAnsi="宋体" w:cs="宋体"/>
                <w:color w:val="auto"/>
                <w:sz w:val="21"/>
                <w:szCs w:val="21"/>
                <w:highlight w:val="none"/>
              </w:rPr>
              <w:t>5</w:t>
            </w:r>
          </w:p>
        </w:tc>
        <w:tc>
          <w:tcPr>
            <w:tcW w:w="6402" w:type="dxa"/>
            <w:vAlign w:val="center"/>
          </w:tcPr>
          <w:p>
            <w:pPr>
              <w:widowControl/>
              <w:textAlignment w:val="center"/>
              <w:rPr>
                <w:rFonts w:hAnsi="宋体" w:cs="宋体"/>
                <w:color w:val="auto"/>
                <w:sz w:val="21"/>
                <w:szCs w:val="21"/>
                <w:highlight w:val="none"/>
              </w:rPr>
            </w:pPr>
            <w:r>
              <w:rPr>
                <w:rFonts w:hint="eastAsia" w:hAnsi="宋体" w:cs="宋体"/>
                <w:bCs/>
                <w:color w:val="auto"/>
                <w:sz w:val="21"/>
                <w:szCs w:val="21"/>
                <w:highlight w:val="none"/>
                <w:lang w:bidi="ar"/>
              </w:rPr>
              <w:t>无负偏离标注“★”符号的条款。</w:t>
            </w:r>
          </w:p>
        </w:tc>
        <w:tc>
          <w:tcPr>
            <w:tcW w:w="2061" w:type="dxa"/>
            <w:vAlign w:val="center"/>
          </w:tcPr>
          <w:p>
            <w:pPr>
              <w:jc w:val="center"/>
              <w:rPr>
                <w:rFonts w:hAnsi="宋体" w:cs="宋体"/>
                <w:color w:val="auto"/>
                <w:sz w:val="21"/>
                <w:szCs w:val="21"/>
                <w:highlight w:val="none"/>
              </w:rPr>
            </w:pPr>
            <w:r>
              <w:rPr>
                <w:rFonts w:hint="eastAsia" w:hAnsi="宋体" w:cs="宋体"/>
                <w:color w:val="auto"/>
                <w:sz w:val="21"/>
                <w:szCs w:val="21"/>
                <w:highlight w:val="none"/>
              </w:rPr>
              <w:t>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376" w:type="pct"/>
            <w:vAlign w:val="center"/>
          </w:tcPr>
          <w:p>
            <w:pPr>
              <w:jc w:val="center"/>
              <w:rPr>
                <w:rFonts w:hAnsi="宋体" w:cs="宋体"/>
                <w:color w:val="auto"/>
                <w:sz w:val="21"/>
                <w:szCs w:val="21"/>
                <w:highlight w:val="none"/>
              </w:rPr>
            </w:pPr>
            <w:r>
              <w:rPr>
                <w:rFonts w:hint="eastAsia" w:hAnsi="宋体" w:cs="宋体"/>
                <w:color w:val="auto"/>
                <w:sz w:val="21"/>
                <w:szCs w:val="21"/>
                <w:highlight w:val="none"/>
              </w:rPr>
              <w:t>6</w:t>
            </w:r>
          </w:p>
        </w:tc>
        <w:tc>
          <w:tcPr>
            <w:tcW w:w="6402" w:type="dxa"/>
            <w:vAlign w:val="center"/>
          </w:tcPr>
          <w:p>
            <w:pPr>
              <w:widowControl/>
              <w:textAlignment w:val="center"/>
              <w:rPr>
                <w:rFonts w:hAnsi="宋体" w:cs="宋体"/>
                <w:color w:val="auto"/>
                <w:sz w:val="21"/>
                <w:szCs w:val="21"/>
                <w:highlight w:val="none"/>
              </w:rPr>
            </w:pPr>
            <w:r>
              <w:rPr>
                <w:rFonts w:hint="eastAsia" w:hAnsi="宋体" w:cs="宋体"/>
                <w:color w:val="auto"/>
                <w:sz w:val="21"/>
                <w:szCs w:val="21"/>
                <w:highlight w:val="none"/>
              </w:rPr>
              <w:t>未出现</w:t>
            </w:r>
            <w:r>
              <w:rPr>
                <w:rFonts w:hint="eastAsia" w:hAnsi="宋体" w:cs="宋体"/>
                <w:bCs/>
                <w:color w:val="auto"/>
                <w:sz w:val="21"/>
                <w:szCs w:val="21"/>
                <w:highlight w:val="none"/>
                <w:lang w:bidi="ar"/>
              </w:rPr>
              <w:t>法律、法规和采购文件规定的其他无效情形。</w:t>
            </w:r>
          </w:p>
        </w:tc>
        <w:tc>
          <w:tcPr>
            <w:tcW w:w="2061" w:type="dxa"/>
            <w:vAlign w:val="center"/>
          </w:tcPr>
          <w:p>
            <w:pPr>
              <w:jc w:val="center"/>
              <w:rPr>
                <w:rFonts w:hAnsi="宋体" w:cs="宋体"/>
                <w:color w:val="auto"/>
                <w:sz w:val="21"/>
                <w:szCs w:val="21"/>
                <w:highlight w:val="none"/>
              </w:rPr>
            </w:pPr>
            <w:r>
              <w:rPr>
                <w:rFonts w:hint="eastAsia" w:hAnsi="宋体" w:cs="宋体"/>
                <w:color w:val="auto"/>
                <w:sz w:val="21"/>
                <w:szCs w:val="21"/>
                <w:highlight w:val="none"/>
              </w:rPr>
              <w:t>投标文件第（）页</w:t>
            </w:r>
          </w:p>
        </w:tc>
      </w:tr>
    </w:tbl>
    <w:p>
      <w:pPr>
        <w:rPr>
          <w:rFonts w:hAnsi="宋体" w:cs="宋体"/>
          <w:color w:val="auto"/>
          <w:sz w:val="21"/>
          <w:szCs w:val="21"/>
          <w:highlight w:val="none"/>
        </w:rPr>
      </w:pPr>
    </w:p>
    <w:p>
      <w:pPr>
        <w:pStyle w:val="8"/>
        <w:numPr>
          <w:ilvl w:val="0"/>
          <w:numId w:val="27"/>
        </w:numPr>
        <w:overflowPunct w:val="0"/>
        <w:spacing w:before="0" w:after="0" w:line="240" w:lineRule="auto"/>
        <w:jc w:val="center"/>
        <w:rPr>
          <w:rFonts w:ascii="宋体" w:hAnsi="宋体" w:eastAsia="宋体" w:cs="宋体"/>
          <w:color w:val="auto"/>
          <w:highlight w:val="none"/>
        </w:rPr>
      </w:pPr>
      <w:r>
        <w:rPr>
          <w:rFonts w:hint="eastAsia" w:ascii="宋体" w:hAnsi="宋体" w:eastAsia="宋体" w:cs="宋体"/>
          <w:color w:val="auto"/>
          <w:sz w:val="24"/>
          <w:highlight w:val="none"/>
        </w:rPr>
        <w:br w:type="page"/>
      </w:r>
      <w:bookmarkStart w:id="70" w:name="_Toc28276_WPSOffice_Level1"/>
      <w:bookmarkStart w:id="71" w:name="_Toc17149_WPSOffice_Level1"/>
      <w:r>
        <w:rPr>
          <w:rFonts w:hint="eastAsia" w:ascii="宋体" w:hAnsi="宋体" w:eastAsia="宋体" w:cs="宋体"/>
          <w:color w:val="auto"/>
          <w:highlight w:val="none"/>
        </w:rPr>
        <w:t>商务评分索引表</w:t>
      </w:r>
    </w:p>
    <w:p>
      <w:pPr>
        <w:jc w:val="center"/>
        <w:rPr>
          <w:rFonts w:hAnsi="宋体" w:cs="宋体"/>
          <w:color w:val="auto"/>
          <w:highlight w:val="none"/>
        </w:rPr>
      </w:pPr>
    </w:p>
    <w:bookmarkEnd w:id="70"/>
    <w:p>
      <w:pPr>
        <w:jc w:val="center"/>
        <w:rPr>
          <w:rFonts w:hAnsi="宋体" w:cs="宋体"/>
          <w:b/>
          <w:color w:val="auto"/>
          <w:highlight w:val="none"/>
        </w:rPr>
      </w:pPr>
    </w:p>
    <w:tbl>
      <w:tblPr>
        <w:tblStyle w:val="52"/>
        <w:tblW w:w="47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4012"/>
        <w:gridCol w:w="4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73" w:type="pct"/>
            <w:vAlign w:val="center"/>
          </w:tcPr>
          <w:p>
            <w:pPr>
              <w:jc w:val="center"/>
              <w:rPr>
                <w:rFonts w:hAnsi="宋体" w:cs="宋体"/>
                <w:color w:val="auto"/>
                <w:sz w:val="21"/>
                <w:szCs w:val="21"/>
                <w:highlight w:val="none"/>
              </w:rPr>
            </w:pPr>
            <w:r>
              <w:rPr>
                <w:rFonts w:hint="eastAsia" w:hAnsi="宋体" w:cs="宋体"/>
                <w:color w:val="auto"/>
                <w:sz w:val="21"/>
                <w:szCs w:val="21"/>
                <w:highlight w:val="none"/>
              </w:rPr>
              <w:t>序号</w:t>
            </w:r>
          </w:p>
        </w:tc>
        <w:tc>
          <w:tcPr>
            <w:tcW w:w="2271" w:type="pct"/>
            <w:vAlign w:val="center"/>
          </w:tcPr>
          <w:p>
            <w:pPr>
              <w:jc w:val="center"/>
              <w:rPr>
                <w:rFonts w:hAnsi="宋体" w:cs="宋体"/>
                <w:color w:val="auto"/>
                <w:sz w:val="21"/>
                <w:szCs w:val="21"/>
                <w:highlight w:val="none"/>
              </w:rPr>
            </w:pPr>
            <w:r>
              <w:rPr>
                <w:rFonts w:hint="eastAsia" w:hAnsi="宋体" w:cs="宋体"/>
                <w:color w:val="auto"/>
                <w:sz w:val="21"/>
                <w:szCs w:val="21"/>
                <w:highlight w:val="none"/>
              </w:rPr>
              <w:t>采购文件商务评分标准内容</w:t>
            </w:r>
          </w:p>
        </w:tc>
        <w:tc>
          <w:tcPr>
            <w:tcW w:w="2355" w:type="pct"/>
            <w:vAlign w:val="center"/>
          </w:tcPr>
          <w:p>
            <w:pPr>
              <w:jc w:val="center"/>
              <w:rPr>
                <w:rFonts w:hAnsi="宋体" w:cs="宋体"/>
                <w:color w:val="auto"/>
                <w:sz w:val="21"/>
                <w:szCs w:val="21"/>
                <w:highlight w:val="none"/>
              </w:rPr>
            </w:pPr>
            <w:r>
              <w:rPr>
                <w:rFonts w:hint="eastAsia" w:hAnsi="宋体" w:cs="宋体"/>
                <w:color w:val="auto"/>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373" w:type="pct"/>
            <w:vAlign w:val="center"/>
          </w:tcPr>
          <w:p>
            <w:pPr>
              <w:jc w:val="center"/>
              <w:rPr>
                <w:rFonts w:hAnsi="宋体" w:cs="宋体"/>
                <w:color w:val="auto"/>
                <w:sz w:val="21"/>
                <w:szCs w:val="21"/>
                <w:highlight w:val="none"/>
              </w:rPr>
            </w:pPr>
            <w:r>
              <w:rPr>
                <w:rFonts w:hint="eastAsia" w:hAnsi="宋体" w:cs="宋体"/>
                <w:color w:val="auto"/>
                <w:sz w:val="21"/>
                <w:szCs w:val="21"/>
                <w:highlight w:val="none"/>
              </w:rPr>
              <w:t>1</w:t>
            </w:r>
          </w:p>
        </w:tc>
        <w:tc>
          <w:tcPr>
            <w:tcW w:w="2271" w:type="pct"/>
            <w:vAlign w:val="center"/>
          </w:tcPr>
          <w:p>
            <w:pPr>
              <w:jc w:val="center"/>
              <w:rPr>
                <w:rFonts w:hAnsi="宋体" w:cs="宋体"/>
                <w:color w:val="auto"/>
                <w:sz w:val="21"/>
                <w:szCs w:val="21"/>
                <w:highlight w:val="none"/>
              </w:rPr>
            </w:pPr>
          </w:p>
        </w:tc>
        <w:tc>
          <w:tcPr>
            <w:tcW w:w="2355" w:type="pct"/>
            <w:vAlign w:val="center"/>
          </w:tcPr>
          <w:p>
            <w:pPr>
              <w:jc w:val="center"/>
              <w:rPr>
                <w:rFonts w:hAnsi="宋体" w:cs="宋体"/>
                <w:color w:val="auto"/>
                <w:sz w:val="21"/>
                <w:szCs w:val="21"/>
                <w:highlight w:val="none"/>
              </w:rPr>
            </w:pPr>
            <w:r>
              <w:rPr>
                <w:rFonts w:hint="eastAsia" w:hAnsi="宋体" w:cs="宋体"/>
                <w:color w:val="auto"/>
                <w:sz w:val="21"/>
                <w:szCs w:val="21"/>
                <w:highlight w:val="none"/>
              </w:rPr>
              <w:t>请见投标文件第（）页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73" w:type="pct"/>
            <w:vAlign w:val="center"/>
          </w:tcPr>
          <w:p>
            <w:pPr>
              <w:jc w:val="center"/>
              <w:rPr>
                <w:rFonts w:hAnsi="宋体" w:cs="宋体"/>
                <w:color w:val="auto"/>
                <w:sz w:val="21"/>
                <w:szCs w:val="21"/>
                <w:highlight w:val="none"/>
              </w:rPr>
            </w:pPr>
            <w:r>
              <w:rPr>
                <w:rFonts w:hint="eastAsia" w:hAnsi="宋体" w:cs="宋体"/>
                <w:color w:val="auto"/>
                <w:sz w:val="21"/>
                <w:szCs w:val="21"/>
                <w:highlight w:val="none"/>
              </w:rPr>
              <w:t>2</w:t>
            </w:r>
          </w:p>
        </w:tc>
        <w:tc>
          <w:tcPr>
            <w:tcW w:w="2271" w:type="pct"/>
            <w:vAlign w:val="center"/>
          </w:tcPr>
          <w:p>
            <w:pPr>
              <w:jc w:val="center"/>
              <w:rPr>
                <w:rFonts w:hAnsi="宋体" w:cs="宋体"/>
                <w:color w:val="auto"/>
                <w:sz w:val="21"/>
                <w:szCs w:val="21"/>
                <w:highlight w:val="none"/>
              </w:rPr>
            </w:pPr>
          </w:p>
        </w:tc>
        <w:tc>
          <w:tcPr>
            <w:tcW w:w="2355" w:type="pct"/>
            <w:vAlign w:val="center"/>
          </w:tcPr>
          <w:p>
            <w:pPr>
              <w:jc w:val="center"/>
              <w:rPr>
                <w:rFonts w:hAnsi="宋体" w:cs="宋体"/>
                <w:color w:val="auto"/>
                <w:sz w:val="21"/>
                <w:szCs w:val="21"/>
                <w:highlight w:val="none"/>
              </w:rPr>
            </w:pPr>
            <w:r>
              <w:rPr>
                <w:rFonts w:hint="eastAsia" w:hAnsi="宋体" w:cs="宋体"/>
                <w:color w:val="auto"/>
                <w:sz w:val="21"/>
                <w:szCs w:val="21"/>
                <w:highlight w:val="none"/>
              </w:rPr>
              <w:t>请见投标文件第（）页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73" w:type="pct"/>
            <w:vAlign w:val="center"/>
          </w:tcPr>
          <w:p>
            <w:pPr>
              <w:jc w:val="center"/>
              <w:rPr>
                <w:rFonts w:hAnsi="宋体" w:cs="宋体"/>
                <w:color w:val="auto"/>
                <w:sz w:val="21"/>
                <w:szCs w:val="21"/>
                <w:highlight w:val="none"/>
              </w:rPr>
            </w:pPr>
            <w:r>
              <w:rPr>
                <w:rFonts w:hint="eastAsia" w:hAnsi="宋体" w:cs="宋体"/>
                <w:color w:val="auto"/>
                <w:sz w:val="21"/>
                <w:szCs w:val="21"/>
                <w:highlight w:val="none"/>
              </w:rPr>
              <w:t>3</w:t>
            </w:r>
          </w:p>
        </w:tc>
        <w:tc>
          <w:tcPr>
            <w:tcW w:w="2271" w:type="pct"/>
            <w:vAlign w:val="center"/>
          </w:tcPr>
          <w:p>
            <w:pPr>
              <w:jc w:val="center"/>
              <w:rPr>
                <w:rFonts w:hAnsi="宋体" w:cs="宋体"/>
                <w:color w:val="auto"/>
                <w:sz w:val="21"/>
                <w:szCs w:val="21"/>
                <w:highlight w:val="none"/>
              </w:rPr>
            </w:pPr>
          </w:p>
        </w:tc>
        <w:tc>
          <w:tcPr>
            <w:tcW w:w="2355" w:type="pct"/>
            <w:vAlign w:val="center"/>
          </w:tcPr>
          <w:p>
            <w:pPr>
              <w:jc w:val="center"/>
              <w:rPr>
                <w:rFonts w:hAnsi="宋体" w:cs="宋体"/>
                <w:color w:val="auto"/>
                <w:sz w:val="21"/>
                <w:szCs w:val="21"/>
                <w:highlight w:val="none"/>
              </w:rPr>
            </w:pPr>
            <w:r>
              <w:rPr>
                <w:rFonts w:hint="eastAsia" w:hAnsi="宋体" w:cs="宋体"/>
                <w:color w:val="auto"/>
                <w:sz w:val="21"/>
                <w:szCs w:val="21"/>
                <w:highlight w:val="none"/>
              </w:rPr>
              <w:t>请见投标文件第（）页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373" w:type="pct"/>
            <w:vAlign w:val="center"/>
          </w:tcPr>
          <w:p>
            <w:pPr>
              <w:jc w:val="center"/>
              <w:rPr>
                <w:rFonts w:hAnsi="宋体" w:cs="宋体"/>
                <w:color w:val="auto"/>
                <w:sz w:val="21"/>
                <w:szCs w:val="21"/>
                <w:highlight w:val="none"/>
              </w:rPr>
            </w:pPr>
            <w:r>
              <w:rPr>
                <w:rFonts w:hint="eastAsia" w:hAnsi="宋体" w:cs="宋体"/>
                <w:color w:val="auto"/>
                <w:sz w:val="21"/>
                <w:szCs w:val="21"/>
                <w:highlight w:val="none"/>
              </w:rPr>
              <w:t>4</w:t>
            </w:r>
          </w:p>
        </w:tc>
        <w:tc>
          <w:tcPr>
            <w:tcW w:w="2271" w:type="pct"/>
            <w:vAlign w:val="center"/>
          </w:tcPr>
          <w:p>
            <w:pPr>
              <w:jc w:val="center"/>
              <w:rPr>
                <w:rFonts w:hAnsi="宋体" w:cs="宋体"/>
                <w:color w:val="auto"/>
                <w:sz w:val="21"/>
                <w:szCs w:val="21"/>
                <w:highlight w:val="none"/>
              </w:rPr>
            </w:pPr>
          </w:p>
        </w:tc>
        <w:tc>
          <w:tcPr>
            <w:tcW w:w="2355" w:type="pct"/>
            <w:vAlign w:val="center"/>
          </w:tcPr>
          <w:p>
            <w:pPr>
              <w:jc w:val="center"/>
              <w:rPr>
                <w:rFonts w:hAnsi="宋体" w:cs="宋体"/>
                <w:color w:val="auto"/>
                <w:sz w:val="21"/>
                <w:szCs w:val="21"/>
                <w:highlight w:val="none"/>
              </w:rPr>
            </w:pPr>
            <w:r>
              <w:rPr>
                <w:rFonts w:hint="eastAsia" w:hAnsi="宋体" w:cs="宋体"/>
                <w:color w:val="auto"/>
                <w:sz w:val="21"/>
                <w:szCs w:val="21"/>
                <w:highlight w:val="none"/>
              </w:rPr>
              <w:t>请见投标文件第（）页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73" w:type="pct"/>
            <w:vAlign w:val="center"/>
          </w:tcPr>
          <w:p>
            <w:pPr>
              <w:jc w:val="center"/>
              <w:rPr>
                <w:rFonts w:hAnsi="宋体" w:cs="宋体"/>
                <w:color w:val="auto"/>
                <w:sz w:val="21"/>
                <w:szCs w:val="21"/>
                <w:highlight w:val="none"/>
              </w:rPr>
            </w:pPr>
            <w:r>
              <w:rPr>
                <w:rFonts w:hint="eastAsia" w:hAnsi="宋体" w:cs="宋体"/>
                <w:color w:val="auto"/>
                <w:sz w:val="21"/>
                <w:szCs w:val="21"/>
                <w:highlight w:val="none"/>
              </w:rPr>
              <w:t>5</w:t>
            </w:r>
          </w:p>
        </w:tc>
        <w:tc>
          <w:tcPr>
            <w:tcW w:w="2271" w:type="pct"/>
            <w:vAlign w:val="center"/>
          </w:tcPr>
          <w:p>
            <w:pPr>
              <w:jc w:val="center"/>
              <w:rPr>
                <w:rFonts w:hAnsi="宋体" w:cs="宋体"/>
                <w:color w:val="auto"/>
                <w:sz w:val="21"/>
                <w:szCs w:val="21"/>
                <w:highlight w:val="none"/>
              </w:rPr>
            </w:pPr>
          </w:p>
        </w:tc>
        <w:tc>
          <w:tcPr>
            <w:tcW w:w="2355" w:type="pct"/>
            <w:vAlign w:val="center"/>
          </w:tcPr>
          <w:p>
            <w:pPr>
              <w:jc w:val="center"/>
              <w:rPr>
                <w:rFonts w:hAnsi="宋体" w:cs="宋体"/>
                <w:color w:val="auto"/>
                <w:sz w:val="21"/>
                <w:szCs w:val="21"/>
                <w:highlight w:val="none"/>
              </w:rPr>
            </w:pPr>
            <w:r>
              <w:rPr>
                <w:rFonts w:hint="eastAsia" w:hAnsi="宋体" w:cs="宋体"/>
                <w:color w:val="auto"/>
                <w:sz w:val="21"/>
                <w:szCs w:val="21"/>
                <w:highlight w:val="none"/>
              </w:rPr>
              <w:t>请见投标文件第（）页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73" w:type="pct"/>
            <w:vAlign w:val="center"/>
          </w:tcPr>
          <w:p>
            <w:pPr>
              <w:jc w:val="center"/>
              <w:rPr>
                <w:rFonts w:hAnsi="宋体" w:cs="宋体"/>
                <w:color w:val="auto"/>
                <w:sz w:val="21"/>
                <w:szCs w:val="21"/>
                <w:highlight w:val="none"/>
              </w:rPr>
            </w:pPr>
            <w:r>
              <w:rPr>
                <w:rFonts w:hint="eastAsia" w:hAnsi="宋体" w:cs="宋体"/>
                <w:color w:val="auto"/>
                <w:sz w:val="21"/>
                <w:szCs w:val="21"/>
                <w:highlight w:val="none"/>
              </w:rPr>
              <w:t>…</w:t>
            </w:r>
          </w:p>
        </w:tc>
        <w:tc>
          <w:tcPr>
            <w:tcW w:w="2271" w:type="pct"/>
            <w:vAlign w:val="center"/>
          </w:tcPr>
          <w:p>
            <w:pPr>
              <w:jc w:val="center"/>
              <w:rPr>
                <w:rFonts w:hAnsi="宋体" w:cs="宋体"/>
                <w:color w:val="auto"/>
                <w:sz w:val="21"/>
                <w:szCs w:val="21"/>
                <w:highlight w:val="none"/>
              </w:rPr>
            </w:pPr>
          </w:p>
        </w:tc>
        <w:tc>
          <w:tcPr>
            <w:tcW w:w="2355" w:type="pct"/>
            <w:vAlign w:val="center"/>
          </w:tcPr>
          <w:p>
            <w:pPr>
              <w:jc w:val="center"/>
              <w:rPr>
                <w:rFonts w:hAnsi="宋体" w:cs="宋体"/>
                <w:color w:val="auto"/>
                <w:sz w:val="21"/>
                <w:szCs w:val="21"/>
                <w:highlight w:val="none"/>
              </w:rPr>
            </w:pPr>
            <w:r>
              <w:rPr>
                <w:rFonts w:hint="eastAsia" w:hAnsi="宋体" w:cs="宋体"/>
                <w:color w:val="auto"/>
                <w:sz w:val="21"/>
                <w:szCs w:val="21"/>
                <w:highlight w:val="none"/>
              </w:rPr>
              <w:t>请见投标文件第（）页</w:t>
            </w:r>
          </w:p>
        </w:tc>
      </w:tr>
    </w:tbl>
    <w:p>
      <w:pPr>
        <w:rPr>
          <w:rFonts w:hAnsi="宋体" w:cs="宋体"/>
          <w:color w:val="auto"/>
          <w:sz w:val="21"/>
          <w:szCs w:val="21"/>
          <w:highlight w:val="none"/>
        </w:rPr>
      </w:pPr>
    </w:p>
    <w:p>
      <w:pPr>
        <w:pStyle w:val="8"/>
        <w:numPr>
          <w:ilvl w:val="0"/>
          <w:numId w:val="27"/>
        </w:numPr>
        <w:overflowPunct w:val="0"/>
        <w:spacing w:before="0" w:after="0" w:line="240" w:lineRule="auto"/>
        <w:jc w:val="center"/>
        <w:rPr>
          <w:rFonts w:ascii="宋体" w:hAnsi="宋体" w:eastAsia="宋体" w:cs="宋体"/>
          <w:color w:val="auto"/>
          <w:sz w:val="21"/>
          <w:szCs w:val="21"/>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highlight w:val="none"/>
        </w:rPr>
        <w:t>技术评分索引表</w:t>
      </w:r>
    </w:p>
    <w:bookmarkEnd w:id="71"/>
    <w:p>
      <w:pPr>
        <w:jc w:val="center"/>
        <w:rPr>
          <w:rFonts w:hAnsi="宋体" w:cs="宋体"/>
          <w:b/>
          <w:color w:val="auto"/>
          <w:highlight w:val="none"/>
        </w:rPr>
      </w:pPr>
    </w:p>
    <w:tbl>
      <w:tblPr>
        <w:tblStyle w:val="52"/>
        <w:tblW w:w="47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3878"/>
        <w:gridCol w:w="4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00" w:type="pct"/>
            <w:vAlign w:val="center"/>
          </w:tcPr>
          <w:p>
            <w:pPr>
              <w:jc w:val="center"/>
              <w:rPr>
                <w:rFonts w:hAnsi="宋体" w:cs="宋体"/>
                <w:color w:val="auto"/>
                <w:sz w:val="21"/>
                <w:szCs w:val="21"/>
                <w:highlight w:val="none"/>
              </w:rPr>
            </w:pPr>
            <w:r>
              <w:rPr>
                <w:rFonts w:hint="eastAsia" w:hAnsi="宋体" w:cs="宋体"/>
                <w:color w:val="auto"/>
                <w:sz w:val="21"/>
                <w:szCs w:val="21"/>
                <w:highlight w:val="none"/>
              </w:rPr>
              <w:t>序号</w:t>
            </w:r>
          </w:p>
        </w:tc>
        <w:tc>
          <w:tcPr>
            <w:tcW w:w="2185" w:type="pct"/>
            <w:vAlign w:val="center"/>
          </w:tcPr>
          <w:p>
            <w:pPr>
              <w:jc w:val="center"/>
              <w:rPr>
                <w:rFonts w:hAnsi="宋体" w:cs="宋体"/>
                <w:color w:val="auto"/>
                <w:sz w:val="21"/>
                <w:szCs w:val="21"/>
                <w:highlight w:val="none"/>
              </w:rPr>
            </w:pPr>
            <w:r>
              <w:rPr>
                <w:rFonts w:hint="eastAsia" w:hAnsi="宋体" w:cs="宋体"/>
                <w:color w:val="auto"/>
                <w:sz w:val="21"/>
                <w:szCs w:val="21"/>
                <w:highlight w:val="none"/>
              </w:rPr>
              <w:t>采购文件技术评分标准内容</w:t>
            </w:r>
          </w:p>
        </w:tc>
        <w:tc>
          <w:tcPr>
            <w:tcW w:w="2413" w:type="pct"/>
            <w:vAlign w:val="center"/>
          </w:tcPr>
          <w:p>
            <w:pPr>
              <w:jc w:val="center"/>
              <w:rPr>
                <w:rFonts w:hAnsi="宋体" w:cs="宋体"/>
                <w:color w:val="auto"/>
                <w:sz w:val="21"/>
                <w:szCs w:val="21"/>
                <w:highlight w:val="none"/>
              </w:rPr>
            </w:pPr>
            <w:r>
              <w:rPr>
                <w:rFonts w:hint="eastAsia" w:hAnsi="宋体" w:cs="宋体"/>
                <w:color w:val="auto"/>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00" w:type="pct"/>
            <w:vAlign w:val="center"/>
          </w:tcPr>
          <w:p>
            <w:pPr>
              <w:jc w:val="center"/>
              <w:rPr>
                <w:rFonts w:hAnsi="宋体" w:cs="宋体"/>
                <w:color w:val="auto"/>
                <w:sz w:val="21"/>
                <w:szCs w:val="21"/>
                <w:highlight w:val="none"/>
              </w:rPr>
            </w:pPr>
            <w:r>
              <w:rPr>
                <w:rFonts w:hint="eastAsia" w:hAnsi="宋体" w:cs="宋体"/>
                <w:color w:val="auto"/>
                <w:sz w:val="21"/>
                <w:szCs w:val="21"/>
                <w:highlight w:val="none"/>
              </w:rPr>
              <w:t>1</w:t>
            </w:r>
          </w:p>
        </w:tc>
        <w:tc>
          <w:tcPr>
            <w:tcW w:w="2185" w:type="pct"/>
            <w:vAlign w:val="center"/>
          </w:tcPr>
          <w:p>
            <w:pPr>
              <w:rPr>
                <w:rFonts w:hAnsi="宋体" w:cs="宋体"/>
                <w:color w:val="auto"/>
                <w:sz w:val="21"/>
                <w:szCs w:val="21"/>
                <w:highlight w:val="none"/>
              </w:rPr>
            </w:pPr>
          </w:p>
        </w:tc>
        <w:tc>
          <w:tcPr>
            <w:tcW w:w="2413" w:type="pct"/>
            <w:vAlign w:val="center"/>
          </w:tcPr>
          <w:p>
            <w:pPr>
              <w:jc w:val="center"/>
              <w:rPr>
                <w:rFonts w:hAnsi="宋体" w:cs="宋体"/>
                <w:color w:val="auto"/>
                <w:sz w:val="21"/>
                <w:szCs w:val="21"/>
                <w:highlight w:val="none"/>
              </w:rPr>
            </w:pPr>
            <w:r>
              <w:rPr>
                <w:rFonts w:hint="eastAsia" w:hAnsi="宋体" w:cs="宋体"/>
                <w:color w:val="auto"/>
                <w:sz w:val="21"/>
                <w:szCs w:val="21"/>
                <w:highlight w:val="none"/>
              </w:rPr>
              <w:t>请见投标文件第（）页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00" w:type="pct"/>
            <w:vAlign w:val="center"/>
          </w:tcPr>
          <w:p>
            <w:pPr>
              <w:jc w:val="center"/>
              <w:rPr>
                <w:rFonts w:hAnsi="宋体" w:cs="宋体"/>
                <w:color w:val="auto"/>
                <w:sz w:val="21"/>
                <w:szCs w:val="21"/>
                <w:highlight w:val="none"/>
              </w:rPr>
            </w:pPr>
            <w:r>
              <w:rPr>
                <w:rFonts w:hint="eastAsia" w:hAnsi="宋体" w:cs="宋体"/>
                <w:color w:val="auto"/>
                <w:sz w:val="21"/>
                <w:szCs w:val="21"/>
                <w:highlight w:val="none"/>
              </w:rPr>
              <w:t>2</w:t>
            </w:r>
          </w:p>
        </w:tc>
        <w:tc>
          <w:tcPr>
            <w:tcW w:w="2185" w:type="pct"/>
            <w:vAlign w:val="center"/>
          </w:tcPr>
          <w:p>
            <w:pPr>
              <w:rPr>
                <w:rFonts w:hAnsi="宋体" w:cs="宋体"/>
                <w:color w:val="auto"/>
                <w:sz w:val="21"/>
                <w:szCs w:val="21"/>
                <w:highlight w:val="none"/>
              </w:rPr>
            </w:pPr>
          </w:p>
        </w:tc>
        <w:tc>
          <w:tcPr>
            <w:tcW w:w="2413" w:type="pct"/>
            <w:vAlign w:val="center"/>
          </w:tcPr>
          <w:p>
            <w:pPr>
              <w:jc w:val="center"/>
              <w:rPr>
                <w:rFonts w:hAnsi="宋体" w:cs="宋体"/>
                <w:color w:val="auto"/>
                <w:sz w:val="21"/>
                <w:szCs w:val="21"/>
                <w:highlight w:val="none"/>
              </w:rPr>
            </w:pPr>
            <w:r>
              <w:rPr>
                <w:rFonts w:hint="eastAsia" w:hAnsi="宋体" w:cs="宋体"/>
                <w:color w:val="auto"/>
                <w:sz w:val="21"/>
                <w:szCs w:val="21"/>
                <w:highlight w:val="none"/>
              </w:rPr>
              <w:t>请见投标文件第（）页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00" w:type="pct"/>
            <w:vAlign w:val="center"/>
          </w:tcPr>
          <w:p>
            <w:pPr>
              <w:jc w:val="center"/>
              <w:rPr>
                <w:rFonts w:hAnsi="宋体" w:cs="宋体"/>
                <w:color w:val="auto"/>
                <w:sz w:val="21"/>
                <w:szCs w:val="21"/>
                <w:highlight w:val="none"/>
              </w:rPr>
            </w:pPr>
            <w:r>
              <w:rPr>
                <w:rFonts w:hint="eastAsia" w:hAnsi="宋体" w:cs="宋体"/>
                <w:color w:val="auto"/>
                <w:sz w:val="21"/>
                <w:szCs w:val="21"/>
                <w:highlight w:val="none"/>
              </w:rPr>
              <w:t>3</w:t>
            </w:r>
          </w:p>
        </w:tc>
        <w:tc>
          <w:tcPr>
            <w:tcW w:w="2185" w:type="pct"/>
            <w:vAlign w:val="center"/>
          </w:tcPr>
          <w:p>
            <w:pPr>
              <w:rPr>
                <w:rFonts w:hAnsi="宋体" w:cs="宋体"/>
                <w:color w:val="auto"/>
                <w:sz w:val="21"/>
                <w:szCs w:val="21"/>
                <w:highlight w:val="none"/>
              </w:rPr>
            </w:pPr>
          </w:p>
        </w:tc>
        <w:tc>
          <w:tcPr>
            <w:tcW w:w="2413" w:type="pct"/>
            <w:vAlign w:val="center"/>
          </w:tcPr>
          <w:p>
            <w:pPr>
              <w:jc w:val="center"/>
              <w:rPr>
                <w:rFonts w:hAnsi="宋体" w:cs="宋体"/>
                <w:color w:val="auto"/>
                <w:sz w:val="21"/>
                <w:szCs w:val="21"/>
                <w:highlight w:val="none"/>
              </w:rPr>
            </w:pPr>
            <w:r>
              <w:rPr>
                <w:rFonts w:hint="eastAsia" w:hAnsi="宋体" w:cs="宋体"/>
                <w:color w:val="auto"/>
                <w:sz w:val="21"/>
                <w:szCs w:val="21"/>
                <w:highlight w:val="none"/>
              </w:rPr>
              <w:t>请见投标文件第（）页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00" w:type="pct"/>
            <w:vAlign w:val="center"/>
          </w:tcPr>
          <w:p>
            <w:pPr>
              <w:jc w:val="center"/>
              <w:rPr>
                <w:rFonts w:hAnsi="宋体" w:cs="宋体"/>
                <w:color w:val="auto"/>
                <w:sz w:val="21"/>
                <w:szCs w:val="21"/>
                <w:highlight w:val="none"/>
              </w:rPr>
            </w:pPr>
            <w:r>
              <w:rPr>
                <w:rFonts w:hint="eastAsia" w:hAnsi="宋体" w:cs="宋体"/>
                <w:color w:val="auto"/>
                <w:sz w:val="21"/>
                <w:szCs w:val="21"/>
                <w:highlight w:val="none"/>
              </w:rPr>
              <w:t>4</w:t>
            </w:r>
          </w:p>
        </w:tc>
        <w:tc>
          <w:tcPr>
            <w:tcW w:w="2185" w:type="pct"/>
            <w:vAlign w:val="center"/>
          </w:tcPr>
          <w:p>
            <w:pPr>
              <w:rPr>
                <w:rFonts w:hAnsi="宋体" w:cs="宋体"/>
                <w:color w:val="auto"/>
                <w:sz w:val="21"/>
                <w:szCs w:val="21"/>
                <w:highlight w:val="none"/>
              </w:rPr>
            </w:pPr>
          </w:p>
        </w:tc>
        <w:tc>
          <w:tcPr>
            <w:tcW w:w="2413" w:type="pct"/>
            <w:vAlign w:val="center"/>
          </w:tcPr>
          <w:p>
            <w:pPr>
              <w:jc w:val="center"/>
              <w:rPr>
                <w:rFonts w:hAnsi="宋体" w:cs="宋体"/>
                <w:color w:val="auto"/>
                <w:sz w:val="21"/>
                <w:szCs w:val="21"/>
                <w:highlight w:val="none"/>
              </w:rPr>
            </w:pPr>
            <w:r>
              <w:rPr>
                <w:rFonts w:hint="eastAsia" w:hAnsi="宋体" w:cs="宋体"/>
                <w:color w:val="auto"/>
                <w:sz w:val="21"/>
                <w:szCs w:val="21"/>
                <w:highlight w:val="none"/>
              </w:rPr>
              <w:t>请见投标文件第（）页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00" w:type="pct"/>
            <w:vAlign w:val="center"/>
          </w:tcPr>
          <w:p>
            <w:pPr>
              <w:jc w:val="center"/>
              <w:rPr>
                <w:rFonts w:hAnsi="宋体" w:cs="宋体"/>
                <w:color w:val="auto"/>
                <w:sz w:val="21"/>
                <w:szCs w:val="21"/>
                <w:highlight w:val="none"/>
              </w:rPr>
            </w:pPr>
            <w:r>
              <w:rPr>
                <w:rFonts w:hint="eastAsia" w:hAnsi="宋体" w:cs="宋体"/>
                <w:color w:val="auto"/>
                <w:sz w:val="21"/>
                <w:szCs w:val="21"/>
                <w:highlight w:val="none"/>
              </w:rPr>
              <w:t>5</w:t>
            </w:r>
          </w:p>
        </w:tc>
        <w:tc>
          <w:tcPr>
            <w:tcW w:w="2185" w:type="pct"/>
            <w:vAlign w:val="center"/>
          </w:tcPr>
          <w:p>
            <w:pPr>
              <w:rPr>
                <w:rFonts w:hAnsi="宋体" w:cs="宋体"/>
                <w:color w:val="auto"/>
                <w:sz w:val="21"/>
                <w:szCs w:val="21"/>
                <w:highlight w:val="none"/>
              </w:rPr>
            </w:pPr>
          </w:p>
        </w:tc>
        <w:tc>
          <w:tcPr>
            <w:tcW w:w="2413" w:type="pct"/>
            <w:vAlign w:val="center"/>
          </w:tcPr>
          <w:p>
            <w:pPr>
              <w:jc w:val="center"/>
              <w:rPr>
                <w:rFonts w:hAnsi="宋体" w:cs="宋体"/>
                <w:color w:val="auto"/>
                <w:sz w:val="21"/>
                <w:szCs w:val="21"/>
                <w:highlight w:val="none"/>
              </w:rPr>
            </w:pPr>
            <w:r>
              <w:rPr>
                <w:rFonts w:hint="eastAsia" w:hAnsi="宋体" w:cs="宋体"/>
                <w:color w:val="auto"/>
                <w:sz w:val="21"/>
                <w:szCs w:val="21"/>
                <w:highlight w:val="none"/>
              </w:rPr>
              <w:t>请见投标文件第（）页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00" w:type="pct"/>
            <w:vAlign w:val="center"/>
          </w:tcPr>
          <w:p>
            <w:pPr>
              <w:jc w:val="center"/>
              <w:rPr>
                <w:rFonts w:hAnsi="宋体" w:cs="宋体"/>
                <w:color w:val="auto"/>
                <w:sz w:val="21"/>
                <w:szCs w:val="21"/>
                <w:highlight w:val="none"/>
              </w:rPr>
            </w:pPr>
            <w:r>
              <w:rPr>
                <w:rFonts w:hint="eastAsia" w:hAnsi="宋体" w:cs="宋体"/>
                <w:color w:val="auto"/>
                <w:sz w:val="21"/>
                <w:szCs w:val="21"/>
                <w:highlight w:val="none"/>
              </w:rPr>
              <w:t>…</w:t>
            </w:r>
          </w:p>
        </w:tc>
        <w:tc>
          <w:tcPr>
            <w:tcW w:w="2185" w:type="pct"/>
            <w:vAlign w:val="center"/>
          </w:tcPr>
          <w:p>
            <w:pPr>
              <w:rPr>
                <w:rFonts w:hAnsi="宋体" w:cs="宋体"/>
                <w:color w:val="auto"/>
                <w:sz w:val="21"/>
                <w:szCs w:val="21"/>
                <w:highlight w:val="none"/>
              </w:rPr>
            </w:pPr>
          </w:p>
        </w:tc>
        <w:tc>
          <w:tcPr>
            <w:tcW w:w="2413" w:type="pct"/>
            <w:vAlign w:val="center"/>
          </w:tcPr>
          <w:p>
            <w:pPr>
              <w:jc w:val="center"/>
              <w:rPr>
                <w:rFonts w:hAnsi="宋体" w:cs="宋体"/>
                <w:color w:val="auto"/>
                <w:sz w:val="21"/>
                <w:szCs w:val="21"/>
                <w:highlight w:val="none"/>
              </w:rPr>
            </w:pPr>
            <w:r>
              <w:rPr>
                <w:rFonts w:hint="eastAsia" w:hAnsi="宋体" w:cs="宋体"/>
                <w:color w:val="auto"/>
                <w:sz w:val="21"/>
                <w:szCs w:val="21"/>
                <w:highlight w:val="none"/>
              </w:rPr>
              <w:t>请见投标文件第（）页</w:t>
            </w:r>
          </w:p>
        </w:tc>
      </w:tr>
    </w:tbl>
    <w:p>
      <w:pPr>
        <w:jc w:val="center"/>
        <w:rPr>
          <w:rFonts w:hAnsi="宋体" w:cs="宋体"/>
          <w:color w:val="auto"/>
          <w:highlight w:val="none"/>
        </w:rPr>
      </w:pPr>
    </w:p>
    <w:p>
      <w:pPr>
        <w:rPr>
          <w:rFonts w:hAnsi="宋体" w:cs="宋体"/>
          <w:color w:val="auto"/>
          <w:highlight w:val="none"/>
        </w:rPr>
      </w:pPr>
    </w:p>
    <w:p>
      <w:pPr>
        <w:rPr>
          <w:rFonts w:hAnsi="宋体" w:cs="宋体"/>
          <w:color w:val="auto"/>
          <w:highlight w:val="none"/>
        </w:rPr>
      </w:pPr>
    </w:p>
    <w:p>
      <w:pPr>
        <w:rPr>
          <w:rFonts w:hAnsi="宋体" w:cs="宋体"/>
          <w:color w:val="auto"/>
          <w:highlight w:val="none"/>
        </w:rPr>
      </w:pPr>
    </w:p>
    <w:p>
      <w:pPr>
        <w:rPr>
          <w:rFonts w:hAnsi="宋体" w:cs="宋体"/>
          <w:color w:val="auto"/>
          <w:highlight w:val="none"/>
        </w:rPr>
      </w:pPr>
    </w:p>
    <w:p>
      <w:pPr>
        <w:pStyle w:val="8"/>
        <w:numPr>
          <w:ilvl w:val="0"/>
          <w:numId w:val="26"/>
        </w:numPr>
        <w:overflowPunct w:val="0"/>
        <w:spacing w:before="0" w:after="0" w:line="240" w:lineRule="auto"/>
        <w:rPr>
          <w:rFonts w:ascii="宋体" w:hAnsi="宋体" w:eastAsia="宋体" w:cs="宋体"/>
          <w:color w:val="auto"/>
          <w:highlight w:val="none"/>
        </w:rPr>
      </w:pPr>
      <w:r>
        <w:rPr>
          <w:rFonts w:hint="eastAsia" w:ascii="宋体" w:hAnsi="宋体" w:eastAsia="宋体" w:cs="宋体"/>
          <w:color w:val="auto"/>
          <w:sz w:val="24"/>
          <w:highlight w:val="none"/>
        </w:rPr>
        <w:br w:type="page"/>
      </w:r>
      <w:bookmarkStart w:id="72" w:name="_Toc30640"/>
      <w:r>
        <w:rPr>
          <w:rFonts w:hint="eastAsia" w:ascii="宋体" w:hAnsi="宋体" w:eastAsia="宋体" w:cs="宋体"/>
          <w:color w:val="auto"/>
          <w:sz w:val="32"/>
          <w:szCs w:val="32"/>
          <w:highlight w:val="none"/>
        </w:rPr>
        <w:t>价格文件</w:t>
      </w:r>
    </w:p>
    <w:p>
      <w:pPr>
        <w:pStyle w:val="8"/>
        <w:keepNext w:val="0"/>
        <w:keepLines w:val="0"/>
        <w:jc w:val="center"/>
        <w:rPr>
          <w:color w:val="auto"/>
          <w:highlight w:val="none"/>
        </w:rPr>
      </w:pPr>
      <w:bookmarkStart w:id="73" w:name="_Toc26372"/>
      <w:bookmarkStart w:id="74" w:name="_Toc32151"/>
      <w:bookmarkStart w:id="75" w:name="_Toc15441"/>
      <w:bookmarkStart w:id="76" w:name="_Toc30062"/>
      <w:bookmarkStart w:id="77" w:name="_Toc3014"/>
      <w:bookmarkStart w:id="78" w:name="_Toc15196"/>
      <w:bookmarkStart w:id="79" w:name="_Toc123"/>
      <w:r>
        <w:rPr>
          <w:rFonts w:hint="eastAsia"/>
          <w:color w:val="auto"/>
          <w:highlight w:val="none"/>
        </w:rPr>
        <w:t>（一）开标一览表</w:t>
      </w:r>
      <w:bookmarkEnd w:id="73"/>
      <w:bookmarkEnd w:id="74"/>
      <w:bookmarkEnd w:id="75"/>
      <w:bookmarkEnd w:id="76"/>
      <w:bookmarkEnd w:id="77"/>
      <w:bookmarkEnd w:id="78"/>
      <w:bookmarkEnd w:id="79"/>
    </w:p>
    <w:p>
      <w:pPr>
        <w:pStyle w:val="29"/>
        <w:spacing w:line="360" w:lineRule="auto"/>
        <w:jc w:val="left"/>
        <w:rPr>
          <w:rFonts w:hAnsi="宋体"/>
          <w:color w:val="auto"/>
          <w:szCs w:val="21"/>
          <w:highlight w:val="none"/>
        </w:rPr>
      </w:pPr>
    </w:p>
    <w:p>
      <w:pPr>
        <w:widowControl/>
        <w:wordWrap w:val="0"/>
        <w:spacing w:line="360" w:lineRule="auto"/>
        <w:jc w:val="both"/>
        <w:rPr>
          <w:rFonts w:ascii="ˎ̥" w:hAnsi="ˎ̥" w:cs="宋体"/>
          <w:color w:val="auto"/>
          <w:sz w:val="18"/>
          <w:szCs w:val="18"/>
          <w:highlight w:val="none"/>
        </w:rPr>
      </w:pPr>
      <w:r>
        <w:rPr>
          <w:rFonts w:hint="eastAsia" w:hAnsi="宋体"/>
          <w:color w:val="auto"/>
          <w:szCs w:val="21"/>
          <w:highlight w:val="none"/>
        </w:rPr>
        <w:t xml:space="preserve">       </w:t>
      </w:r>
      <w:r>
        <w:rPr>
          <w:rFonts w:hint="eastAsia" w:hAnsi="宋体"/>
          <w:color w:val="auto"/>
          <w:highlight w:val="none"/>
        </w:rPr>
        <w:t xml:space="preserve">                                                    </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3768"/>
        <w:gridCol w:w="3451"/>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897" w:type="dxa"/>
            <w:vAlign w:val="center"/>
          </w:tcPr>
          <w:p>
            <w:pPr>
              <w:jc w:val="center"/>
              <w:rPr>
                <w:rFonts w:hAnsi="宋体" w:cs="宋体"/>
                <w:color w:val="auto"/>
                <w:sz w:val="21"/>
                <w:szCs w:val="21"/>
                <w:highlight w:val="none"/>
              </w:rPr>
            </w:pPr>
            <w:r>
              <w:rPr>
                <w:rFonts w:hint="eastAsia" w:hAnsi="宋体" w:cs="宋体"/>
                <w:color w:val="auto"/>
                <w:sz w:val="21"/>
                <w:szCs w:val="21"/>
                <w:highlight w:val="none"/>
              </w:rPr>
              <w:t>序号</w:t>
            </w:r>
          </w:p>
        </w:tc>
        <w:tc>
          <w:tcPr>
            <w:tcW w:w="3768" w:type="dxa"/>
            <w:vAlign w:val="center"/>
          </w:tcPr>
          <w:p>
            <w:pPr>
              <w:jc w:val="center"/>
              <w:rPr>
                <w:rFonts w:hAnsi="宋体" w:cs="宋体"/>
                <w:color w:val="auto"/>
                <w:sz w:val="21"/>
                <w:szCs w:val="21"/>
                <w:highlight w:val="none"/>
              </w:rPr>
            </w:pPr>
            <w:r>
              <w:rPr>
                <w:rFonts w:hint="eastAsia" w:hAnsi="宋体" w:cs="宋体"/>
                <w:color w:val="auto"/>
                <w:sz w:val="21"/>
                <w:szCs w:val="21"/>
                <w:highlight w:val="none"/>
              </w:rPr>
              <w:t>内容</w:t>
            </w:r>
          </w:p>
        </w:tc>
        <w:tc>
          <w:tcPr>
            <w:tcW w:w="3451" w:type="dxa"/>
            <w:vAlign w:val="center"/>
          </w:tcPr>
          <w:p>
            <w:pPr>
              <w:jc w:val="center"/>
              <w:rPr>
                <w:rFonts w:hAnsi="宋体" w:cs="宋体"/>
                <w:bCs/>
                <w:color w:val="auto"/>
                <w:kern w:val="2"/>
                <w:sz w:val="21"/>
                <w:szCs w:val="21"/>
                <w:highlight w:val="none"/>
                <w:lang w:bidi="ar"/>
              </w:rPr>
            </w:pPr>
            <w:r>
              <w:rPr>
                <w:rFonts w:hint="eastAsia" w:hAnsi="宋体" w:cs="宋体"/>
                <w:bCs/>
                <w:color w:val="auto"/>
                <w:kern w:val="2"/>
                <w:sz w:val="21"/>
                <w:szCs w:val="21"/>
                <w:highlight w:val="none"/>
                <w:lang w:bidi="ar"/>
              </w:rPr>
              <w:t>投标总报价（元）</w:t>
            </w:r>
          </w:p>
        </w:tc>
        <w:tc>
          <w:tcPr>
            <w:tcW w:w="970" w:type="dxa"/>
            <w:vAlign w:val="center"/>
          </w:tcPr>
          <w:p>
            <w:pPr>
              <w:jc w:val="center"/>
              <w:rPr>
                <w:rFonts w:hAnsi="宋体" w:cs="宋体"/>
                <w:bCs/>
                <w:color w:val="auto"/>
                <w:kern w:val="2"/>
                <w:sz w:val="21"/>
                <w:szCs w:val="21"/>
                <w:highlight w:val="none"/>
                <w:lang w:bidi="ar"/>
              </w:rPr>
            </w:pPr>
            <w:r>
              <w:rPr>
                <w:rFonts w:hint="eastAsia" w:hAnsi="宋体" w:cs="宋体"/>
                <w:bCs/>
                <w:color w:val="auto"/>
                <w:kern w:val="2"/>
                <w:sz w:val="21"/>
                <w:szCs w:val="21"/>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exact"/>
          <w:jc w:val="center"/>
        </w:trPr>
        <w:tc>
          <w:tcPr>
            <w:tcW w:w="897" w:type="dxa"/>
            <w:vAlign w:val="center"/>
          </w:tcPr>
          <w:p>
            <w:pPr>
              <w:jc w:val="center"/>
              <w:rPr>
                <w:rFonts w:hAnsi="宋体" w:cs="宋体"/>
                <w:color w:val="auto"/>
                <w:sz w:val="21"/>
                <w:szCs w:val="21"/>
                <w:highlight w:val="none"/>
              </w:rPr>
            </w:pPr>
            <w:r>
              <w:rPr>
                <w:rFonts w:hint="eastAsia" w:hAnsi="宋体" w:cs="宋体"/>
                <w:color w:val="auto"/>
                <w:sz w:val="21"/>
                <w:szCs w:val="21"/>
                <w:highlight w:val="none"/>
              </w:rPr>
              <w:t>1</w:t>
            </w:r>
          </w:p>
        </w:tc>
        <w:tc>
          <w:tcPr>
            <w:tcW w:w="3768" w:type="dxa"/>
            <w:vAlign w:val="center"/>
          </w:tcPr>
          <w:p>
            <w:pPr>
              <w:spacing w:line="360" w:lineRule="auto"/>
              <w:jc w:val="center"/>
              <w:rPr>
                <w:rFonts w:hAnsi="宋体" w:cs="宋体"/>
                <w:color w:val="auto"/>
                <w:sz w:val="21"/>
                <w:szCs w:val="21"/>
                <w:highlight w:val="none"/>
              </w:rPr>
            </w:pPr>
          </w:p>
        </w:tc>
        <w:tc>
          <w:tcPr>
            <w:tcW w:w="3451" w:type="dxa"/>
            <w:vAlign w:val="center"/>
          </w:tcPr>
          <w:p>
            <w:pPr>
              <w:rPr>
                <w:rFonts w:hAnsi="宋体" w:cs="宋体"/>
                <w:color w:val="auto"/>
                <w:sz w:val="21"/>
                <w:szCs w:val="21"/>
                <w:highlight w:val="none"/>
              </w:rPr>
            </w:pPr>
            <w:r>
              <w:rPr>
                <w:rFonts w:hint="eastAsia" w:hAnsi="宋体" w:cs="宋体"/>
                <w:color w:val="auto"/>
                <w:sz w:val="21"/>
                <w:szCs w:val="21"/>
                <w:highlight w:val="none"/>
              </w:rPr>
              <w:t>大写：</w:t>
            </w:r>
          </w:p>
          <w:p>
            <w:pPr>
              <w:rPr>
                <w:rFonts w:hAnsi="宋体" w:cs="宋体"/>
                <w:color w:val="auto"/>
                <w:sz w:val="21"/>
                <w:szCs w:val="21"/>
                <w:highlight w:val="none"/>
              </w:rPr>
            </w:pPr>
            <w:r>
              <w:rPr>
                <w:rFonts w:hint="eastAsia" w:hAnsi="宋体" w:cs="宋体"/>
                <w:color w:val="auto"/>
                <w:sz w:val="21"/>
                <w:szCs w:val="21"/>
                <w:highlight w:val="none"/>
              </w:rPr>
              <w:t>小写：</w:t>
            </w:r>
          </w:p>
        </w:tc>
        <w:tc>
          <w:tcPr>
            <w:tcW w:w="970" w:type="dxa"/>
            <w:vAlign w:val="center"/>
          </w:tcPr>
          <w:p>
            <w:pPr>
              <w:rPr>
                <w:rFonts w:hAnsi="宋体" w:cs="宋体"/>
                <w:color w:val="auto"/>
                <w:sz w:val="21"/>
                <w:szCs w:val="21"/>
                <w:highlight w:val="none"/>
              </w:rPr>
            </w:pPr>
          </w:p>
        </w:tc>
      </w:tr>
    </w:tbl>
    <w:p>
      <w:pPr>
        <w:rPr>
          <w:rFonts w:hAnsi="宋体" w:cs="宋体"/>
          <w:color w:val="auto"/>
          <w:sz w:val="21"/>
          <w:szCs w:val="21"/>
          <w:highlight w:val="none"/>
        </w:rPr>
      </w:pPr>
    </w:p>
    <w:p>
      <w:pPr>
        <w:rPr>
          <w:rFonts w:hAnsi="宋体" w:cs="宋体"/>
          <w:color w:val="auto"/>
          <w:sz w:val="21"/>
          <w:szCs w:val="21"/>
          <w:highlight w:val="none"/>
        </w:rPr>
      </w:pPr>
    </w:p>
    <w:p>
      <w:pPr>
        <w:tabs>
          <w:tab w:val="left" w:pos="3240"/>
        </w:tabs>
        <w:spacing w:line="360" w:lineRule="auto"/>
        <w:ind w:left="400" w:firstLine="420" w:firstLineChars="200"/>
        <w:rPr>
          <w:rFonts w:hAnsi="宋体" w:cs="宋体"/>
          <w:color w:val="auto"/>
          <w:sz w:val="21"/>
          <w:szCs w:val="21"/>
          <w:highlight w:val="none"/>
        </w:rPr>
      </w:pPr>
      <w:r>
        <w:rPr>
          <w:rFonts w:hint="eastAsia" w:hAnsi="宋体" w:cs="宋体"/>
          <w:color w:val="auto"/>
          <w:sz w:val="21"/>
          <w:szCs w:val="21"/>
          <w:highlight w:val="none"/>
        </w:rPr>
        <w:t>注：1、投标总报价包括采购文件要求全部货物及服务所需的费用、履行合同所有相关内容所需的费用、国家规定的所有税费及其他一切隐含或不可预见的费用的总价包干合同。</w:t>
      </w:r>
    </w:p>
    <w:p>
      <w:pPr>
        <w:tabs>
          <w:tab w:val="left" w:pos="3240"/>
        </w:tabs>
        <w:spacing w:line="360" w:lineRule="auto"/>
        <w:ind w:left="400" w:firstLine="420" w:firstLineChars="200"/>
        <w:rPr>
          <w:rFonts w:hAnsi="宋体" w:cs="宋体"/>
          <w:color w:val="auto"/>
          <w:sz w:val="21"/>
          <w:szCs w:val="21"/>
          <w:highlight w:val="none"/>
        </w:rPr>
      </w:pPr>
      <w:r>
        <w:rPr>
          <w:rFonts w:hint="eastAsia" w:hAnsi="宋体" w:cs="宋体"/>
          <w:color w:val="auto"/>
          <w:sz w:val="21"/>
          <w:szCs w:val="21"/>
          <w:highlight w:val="none"/>
        </w:rPr>
        <w:t>2、投标人自行对本服务项目范围内的现场及周边环境进行踏勘，收集相关资料，并承担由此所发生的费用以及责任、风险。</w:t>
      </w:r>
    </w:p>
    <w:p>
      <w:pPr>
        <w:snapToGrid w:val="0"/>
        <w:spacing w:line="360" w:lineRule="auto"/>
        <w:ind w:firstLine="840" w:firstLineChars="400"/>
        <w:rPr>
          <w:rFonts w:hAnsi="宋体"/>
          <w:bCs/>
          <w:color w:val="auto"/>
          <w:kern w:val="2"/>
          <w:sz w:val="21"/>
          <w:szCs w:val="21"/>
          <w:highlight w:val="none"/>
        </w:rPr>
      </w:pPr>
      <w:r>
        <w:rPr>
          <w:rFonts w:hint="eastAsia" w:hAnsi="宋体" w:cs="宋体"/>
          <w:color w:val="auto"/>
          <w:sz w:val="21"/>
          <w:szCs w:val="21"/>
          <w:highlight w:val="none"/>
        </w:rPr>
        <w:t xml:space="preserve">3、在合同期间，投标总报价不随国家政策或法规、标准、市场因素及采购数量的变化而进行调整。 </w:t>
      </w:r>
    </w:p>
    <w:p>
      <w:pPr>
        <w:rPr>
          <w:rFonts w:hAnsi="宋体"/>
          <w:bCs/>
          <w:color w:val="auto"/>
          <w:kern w:val="2"/>
          <w:sz w:val="21"/>
          <w:szCs w:val="21"/>
          <w:highlight w:val="none"/>
        </w:rPr>
      </w:pPr>
    </w:p>
    <w:p>
      <w:pPr>
        <w:snapToGrid w:val="0"/>
        <w:spacing w:line="360" w:lineRule="auto"/>
        <w:rPr>
          <w:rFonts w:hAnsi="宋体"/>
          <w:color w:val="auto"/>
          <w:sz w:val="21"/>
          <w:szCs w:val="21"/>
          <w:highlight w:val="none"/>
        </w:rPr>
      </w:pPr>
    </w:p>
    <w:p>
      <w:pPr>
        <w:snapToGrid w:val="0"/>
        <w:spacing w:line="360" w:lineRule="auto"/>
        <w:rPr>
          <w:rFonts w:hAnsi="宋体"/>
          <w:color w:val="auto"/>
          <w:sz w:val="21"/>
          <w:szCs w:val="21"/>
          <w:highlight w:val="none"/>
          <w:u w:val="single"/>
        </w:rPr>
      </w:pPr>
      <w:r>
        <w:rPr>
          <w:rFonts w:hint="eastAsia" w:hAnsi="宋体"/>
          <w:color w:val="auto"/>
          <w:sz w:val="21"/>
          <w:szCs w:val="21"/>
          <w:highlight w:val="none"/>
        </w:rPr>
        <w:t>投标人名称（盖章）：</w:t>
      </w:r>
    </w:p>
    <w:p>
      <w:pPr>
        <w:snapToGrid w:val="0"/>
        <w:spacing w:line="360" w:lineRule="auto"/>
        <w:rPr>
          <w:rFonts w:hAnsi="宋体"/>
          <w:color w:val="auto"/>
          <w:sz w:val="21"/>
          <w:szCs w:val="21"/>
          <w:highlight w:val="none"/>
        </w:rPr>
      </w:pPr>
      <w:r>
        <w:rPr>
          <w:rFonts w:hint="eastAsia" w:hAnsi="宋体"/>
          <w:color w:val="auto"/>
          <w:sz w:val="21"/>
          <w:szCs w:val="21"/>
          <w:highlight w:val="none"/>
        </w:rPr>
        <w:t>投标人法定代表人或其授权代表（签名或盖私章）：</w:t>
      </w:r>
    </w:p>
    <w:p>
      <w:pPr>
        <w:snapToGrid w:val="0"/>
        <w:spacing w:line="360" w:lineRule="auto"/>
        <w:rPr>
          <w:rFonts w:hAnsi="宋体"/>
          <w:color w:val="auto"/>
          <w:sz w:val="21"/>
          <w:szCs w:val="21"/>
          <w:highlight w:val="none"/>
        </w:rPr>
      </w:pPr>
      <w:r>
        <w:rPr>
          <w:rFonts w:hint="eastAsia" w:hAnsi="宋体"/>
          <w:color w:val="auto"/>
          <w:sz w:val="21"/>
          <w:szCs w:val="21"/>
          <w:highlight w:val="none"/>
        </w:rPr>
        <w:t>日期：</w:t>
      </w:r>
    </w:p>
    <w:p>
      <w:pPr>
        <w:snapToGrid w:val="0"/>
        <w:spacing w:line="360" w:lineRule="auto"/>
        <w:rPr>
          <w:rFonts w:hAnsi="宋体"/>
          <w:color w:val="auto"/>
          <w:sz w:val="21"/>
          <w:szCs w:val="21"/>
          <w:highlight w:val="none"/>
        </w:rPr>
      </w:pPr>
    </w:p>
    <w:p>
      <w:pPr>
        <w:snapToGrid w:val="0"/>
        <w:spacing w:line="360" w:lineRule="auto"/>
        <w:rPr>
          <w:rFonts w:hAnsi="宋体"/>
          <w:color w:val="auto"/>
          <w:sz w:val="21"/>
          <w:szCs w:val="21"/>
          <w:highlight w:val="none"/>
        </w:rPr>
      </w:pPr>
    </w:p>
    <w:p>
      <w:pPr>
        <w:rPr>
          <w:color w:val="auto"/>
          <w:highlight w:val="none"/>
        </w:rPr>
      </w:pPr>
    </w:p>
    <w:p>
      <w:pPr>
        <w:pStyle w:val="8"/>
        <w:keepNext w:val="0"/>
        <w:keepLines w:val="0"/>
        <w:jc w:val="center"/>
        <w:rPr>
          <w:color w:val="auto"/>
          <w:highlight w:val="none"/>
        </w:rPr>
      </w:pPr>
      <w:bookmarkStart w:id="80" w:name="_Toc729"/>
      <w:bookmarkStart w:id="81" w:name="_Toc24576"/>
      <w:bookmarkStart w:id="82" w:name="_Toc11597"/>
      <w:bookmarkStart w:id="83" w:name="_Toc13724"/>
      <w:bookmarkStart w:id="84" w:name="_Toc27404"/>
      <w:bookmarkStart w:id="85" w:name="_Toc3178"/>
      <w:r>
        <w:rPr>
          <w:rFonts w:hint="eastAsia"/>
          <w:color w:val="auto"/>
          <w:highlight w:val="none"/>
        </w:rPr>
        <w:br w:type="page"/>
      </w:r>
      <w:r>
        <w:rPr>
          <w:rFonts w:hint="eastAsia"/>
          <w:color w:val="auto"/>
          <w:highlight w:val="none"/>
        </w:rPr>
        <w:t>（二）投标分项报价表</w:t>
      </w:r>
      <w:bookmarkEnd w:id="80"/>
      <w:bookmarkEnd w:id="81"/>
      <w:bookmarkEnd w:id="82"/>
      <w:bookmarkEnd w:id="83"/>
      <w:bookmarkEnd w:id="84"/>
      <w:bookmarkEnd w:id="85"/>
    </w:p>
    <w:p>
      <w:pPr>
        <w:pStyle w:val="2"/>
        <w:spacing w:line="380" w:lineRule="exact"/>
        <w:jc w:val="both"/>
        <w:rPr>
          <w:rFonts w:hAnsi="宋体"/>
          <w:color w:val="auto"/>
          <w:sz w:val="22"/>
          <w:szCs w:val="22"/>
          <w:highlight w:val="none"/>
        </w:rPr>
      </w:pPr>
      <w:r>
        <w:rPr>
          <w:rFonts w:hint="eastAsia" w:hAnsi="宋体"/>
          <w:color w:val="auto"/>
          <w:sz w:val="22"/>
          <w:szCs w:val="22"/>
          <w:highlight w:val="none"/>
        </w:rPr>
        <w:t xml:space="preserve">项目名称：                                 </w:t>
      </w:r>
    </w:p>
    <w:p>
      <w:pPr>
        <w:pStyle w:val="2"/>
        <w:spacing w:line="380" w:lineRule="exact"/>
        <w:jc w:val="both"/>
        <w:rPr>
          <w:rFonts w:hAnsi="宋体"/>
          <w:color w:val="auto"/>
          <w:sz w:val="22"/>
          <w:szCs w:val="22"/>
          <w:highlight w:val="none"/>
        </w:rPr>
      </w:pPr>
      <w:r>
        <w:rPr>
          <w:rFonts w:hint="eastAsia" w:hAnsi="宋体"/>
          <w:color w:val="auto"/>
          <w:sz w:val="22"/>
          <w:szCs w:val="22"/>
          <w:highlight w:val="none"/>
        </w:rPr>
        <w:t>项目编号：</w:t>
      </w:r>
    </w:p>
    <w:p>
      <w:pPr>
        <w:widowControl/>
        <w:wordWrap w:val="0"/>
        <w:spacing w:line="360" w:lineRule="auto"/>
        <w:jc w:val="right"/>
        <w:rPr>
          <w:rFonts w:hAnsi="宋体"/>
          <w:color w:val="auto"/>
          <w:sz w:val="22"/>
          <w:szCs w:val="22"/>
          <w:highlight w:val="none"/>
        </w:rPr>
      </w:pPr>
      <w:r>
        <w:rPr>
          <w:rFonts w:ascii="ˎ̥" w:hAnsi="ˎ̥" w:cs="宋体"/>
          <w:color w:val="auto"/>
          <w:sz w:val="18"/>
          <w:szCs w:val="18"/>
          <w:highlight w:val="none"/>
        </w:rPr>
        <w:t> </w:t>
      </w:r>
      <w:r>
        <w:rPr>
          <w:rFonts w:hint="eastAsia" w:hAnsi="宋体"/>
          <w:color w:val="auto"/>
          <w:sz w:val="22"/>
          <w:szCs w:val="22"/>
          <w:highlight w:val="none"/>
        </w:rPr>
        <w:t>单位：元/（人民币）</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3768"/>
        <w:gridCol w:w="3451"/>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897" w:type="dxa"/>
            <w:vAlign w:val="center"/>
          </w:tcPr>
          <w:p>
            <w:pPr>
              <w:jc w:val="center"/>
              <w:rPr>
                <w:rFonts w:hAnsi="宋体" w:cs="宋体"/>
                <w:color w:val="auto"/>
                <w:sz w:val="21"/>
                <w:szCs w:val="21"/>
                <w:highlight w:val="none"/>
              </w:rPr>
            </w:pPr>
            <w:r>
              <w:rPr>
                <w:rFonts w:hint="eastAsia" w:hAnsi="宋体" w:cs="宋体"/>
                <w:color w:val="auto"/>
                <w:sz w:val="21"/>
                <w:szCs w:val="21"/>
                <w:highlight w:val="none"/>
              </w:rPr>
              <w:t>序号</w:t>
            </w:r>
          </w:p>
        </w:tc>
        <w:tc>
          <w:tcPr>
            <w:tcW w:w="3768" w:type="dxa"/>
            <w:vAlign w:val="center"/>
          </w:tcPr>
          <w:p>
            <w:pPr>
              <w:jc w:val="center"/>
              <w:rPr>
                <w:rFonts w:hAnsi="宋体" w:cs="宋体"/>
                <w:color w:val="auto"/>
                <w:sz w:val="21"/>
                <w:szCs w:val="21"/>
                <w:highlight w:val="none"/>
              </w:rPr>
            </w:pPr>
            <w:r>
              <w:rPr>
                <w:rFonts w:hint="eastAsia" w:hAnsi="宋体" w:cs="宋体"/>
                <w:color w:val="auto"/>
                <w:sz w:val="21"/>
                <w:szCs w:val="21"/>
                <w:highlight w:val="none"/>
              </w:rPr>
              <w:t>内容</w:t>
            </w:r>
          </w:p>
        </w:tc>
        <w:tc>
          <w:tcPr>
            <w:tcW w:w="3451" w:type="dxa"/>
            <w:vAlign w:val="center"/>
          </w:tcPr>
          <w:p>
            <w:pPr>
              <w:jc w:val="center"/>
              <w:rPr>
                <w:rFonts w:hAnsi="宋体" w:cs="宋体"/>
                <w:bCs/>
                <w:color w:val="auto"/>
                <w:kern w:val="2"/>
                <w:sz w:val="21"/>
                <w:szCs w:val="21"/>
                <w:highlight w:val="none"/>
                <w:lang w:bidi="ar"/>
              </w:rPr>
            </w:pPr>
            <w:r>
              <w:rPr>
                <w:rFonts w:hint="eastAsia" w:hAnsi="宋体" w:cs="宋体"/>
                <w:bCs/>
                <w:color w:val="auto"/>
                <w:kern w:val="2"/>
                <w:sz w:val="21"/>
                <w:szCs w:val="21"/>
                <w:highlight w:val="none"/>
                <w:lang w:bidi="ar"/>
              </w:rPr>
              <w:t>分项报价（元）</w:t>
            </w:r>
          </w:p>
        </w:tc>
        <w:tc>
          <w:tcPr>
            <w:tcW w:w="970" w:type="dxa"/>
            <w:vAlign w:val="center"/>
          </w:tcPr>
          <w:p>
            <w:pPr>
              <w:jc w:val="center"/>
              <w:rPr>
                <w:rFonts w:hAnsi="宋体" w:cs="宋体"/>
                <w:bCs/>
                <w:color w:val="auto"/>
                <w:kern w:val="2"/>
                <w:sz w:val="21"/>
                <w:szCs w:val="21"/>
                <w:highlight w:val="none"/>
                <w:lang w:bidi="ar"/>
              </w:rPr>
            </w:pPr>
            <w:r>
              <w:rPr>
                <w:rFonts w:hint="eastAsia" w:hAnsi="宋体" w:cs="宋体"/>
                <w:bCs/>
                <w:color w:val="auto"/>
                <w:kern w:val="2"/>
                <w:sz w:val="21"/>
                <w:szCs w:val="21"/>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exact"/>
          <w:jc w:val="center"/>
        </w:trPr>
        <w:tc>
          <w:tcPr>
            <w:tcW w:w="897" w:type="dxa"/>
            <w:vAlign w:val="center"/>
          </w:tcPr>
          <w:p>
            <w:pPr>
              <w:jc w:val="center"/>
              <w:rPr>
                <w:rFonts w:hAnsi="宋体" w:cs="宋体"/>
                <w:color w:val="auto"/>
                <w:sz w:val="21"/>
                <w:szCs w:val="21"/>
                <w:highlight w:val="none"/>
              </w:rPr>
            </w:pPr>
            <w:r>
              <w:rPr>
                <w:rFonts w:hint="eastAsia" w:hAnsi="宋体" w:cs="宋体"/>
                <w:color w:val="auto"/>
                <w:sz w:val="21"/>
                <w:szCs w:val="21"/>
                <w:highlight w:val="none"/>
              </w:rPr>
              <w:t>1</w:t>
            </w:r>
          </w:p>
        </w:tc>
        <w:tc>
          <w:tcPr>
            <w:tcW w:w="3768" w:type="dxa"/>
            <w:vAlign w:val="center"/>
          </w:tcPr>
          <w:p>
            <w:pPr>
              <w:spacing w:line="360" w:lineRule="auto"/>
              <w:jc w:val="center"/>
              <w:rPr>
                <w:rFonts w:hAnsi="宋体" w:cs="宋体"/>
                <w:color w:val="auto"/>
                <w:sz w:val="21"/>
                <w:szCs w:val="21"/>
                <w:highlight w:val="none"/>
              </w:rPr>
            </w:pPr>
            <w:r>
              <w:rPr>
                <w:rFonts w:hint="eastAsia" w:hAnsi="宋体" w:cs="宋体"/>
                <w:color w:val="auto"/>
                <w:sz w:val="21"/>
                <w:szCs w:val="21"/>
                <w:highlight w:val="none"/>
              </w:rPr>
              <w:t>安装部分</w:t>
            </w:r>
          </w:p>
        </w:tc>
        <w:tc>
          <w:tcPr>
            <w:tcW w:w="3451" w:type="dxa"/>
            <w:vAlign w:val="center"/>
          </w:tcPr>
          <w:p>
            <w:pPr>
              <w:rPr>
                <w:rFonts w:hAnsi="宋体" w:cs="宋体"/>
                <w:color w:val="auto"/>
                <w:sz w:val="21"/>
                <w:szCs w:val="21"/>
                <w:highlight w:val="none"/>
              </w:rPr>
            </w:pPr>
            <w:r>
              <w:rPr>
                <w:rFonts w:hint="eastAsia" w:hAnsi="宋体" w:cs="宋体"/>
                <w:color w:val="auto"/>
                <w:sz w:val="21"/>
                <w:szCs w:val="21"/>
                <w:highlight w:val="none"/>
              </w:rPr>
              <w:t>大写：</w:t>
            </w:r>
          </w:p>
          <w:p>
            <w:pPr>
              <w:rPr>
                <w:rFonts w:hAnsi="宋体" w:cs="宋体"/>
                <w:color w:val="auto"/>
                <w:sz w:val="21"/>
                <w:szCs w:val="21"/>
                <w:highlight w:val="none"/>
              </w:rPr>
            </w:pPr>
            <w:r>
              <w:rPr>
                <w:rFonts w:hint="eastAsia" w:hAnsi="宋体" w:cs="宋体"/>
                <w:color w:val="auto"/>
                <w:sz w:val="21"/>
                <w:szCs w:val="21"/>
                <w:highlight w:val="none"/>
              </w:rPr>
              <w:t>小写：</w:t>
            </w:r>
          </w:p>
        </w:tc>
        <w:tc>
          <w:tcPr>
            <w:tcW w:w="970" w:type="dxa"/>
            <w:vAlign w:val="center"/>
          </w:tcPr>
          <w:p>
            <w:pPr>
              <w:rPr>
                <w:rFonts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exact"/>
          <w:jc w:val="center"/>
        </w:trPr>
        <w:tc>
          <w:tcPr>
            <w:tcW w:w="897" w:type="dxa"/>
            <w:vAlign w:val="center"/>
          </w:tcPr>
          <w:p>
            <w:pPr>
              <w:jc w:val="center"/>
              <w:rPr>
                <w:rFonts w:hAnsi="宋体" w:cs="宋体"/>
                <w:color w:val="auto"/>
                <w:sz w:val="21"/>
                <w:szCs w:val="21"/>
                <w:highlight w:val="none"/>
              </w:rPr>
            </w:pPr>
            <w:r>
              <w:rPr>
                <w:rFonts w:hint="eastAsia" w:hAnsi="宋体" w:cs="宋体"/>
                <w:color w:val="auto"/>
                <w:sz w:val="21"/>
                <w:szCs w:val="21"/>
                <w:highlight w:val="none"/>
              </w:rPr>
              <w:t>2</w:t>
            </w:r>
          </w:p>
        </w:tc>
        <w:tc>
          <w:tcPr>
            <w:tcW w:w="3768" w:type="dxa"/>
            <w:vAlign w:val="center"/>
          </w:tcPr>
          <w:p>
            <w:pPr>
              <w:spacing w:line="360" w:lineRule="auto"/>
              <w:jc w:val="center"/>
              <w:rPr>
                <w:rFonts w:hAnsi="宋体" w:cs="宋体"/>
                <w:color w:val="auto"/>
                <w:sz w:val="21"/>
                <w:szCs w:val="21"/>
                <w:highlight w:val="none"/>
              </w:rPr>
            </w:pPr>
            <w:r>
              <w:rPr>
                <w:rFonts w:hint="eastAsia" w:hAnsi="宋体" w:cs="宋体"/>
                <w:color w:val="auto"/>
                <w:sz w:val="21"/>
                <w:szCs w:val="21"/>
                <w:highlight w:val="none"/>
              </w:rPr>
              <w:t>土建部分</w:t>
            </w:r>
          </w:p>
        </w:tc>
        <w:tc>
          <w:tcPr>
            <w:tcW w:w="3451" w:type="dxa"/>
            <w:vAlign w:val="center"/>
          </w:tcPr>
          <w:p>
            <w:pPr>
              <w:rPr>
                <w:rFonts w:hAnsi="宋体" w:cs="宋体"/>
                <w:color w:val="auto"/>
                <w:sz w:val="21"/>
                <w:szCs w:val="21"/>
                <w:highlight w:val="none"/>
              </w:rPr>
            </w:pPr>
            <w:r>
              <w:rPr>
                <w:rFonts w:hint="eastAsia" w:hAnsi="宋体" w:cs="宋体"/>
                <w:color w:val="auto"/>
                <w:sz w:val="21"/>
                <w:szCs w:val="21"/>
                <w:highlight w:val="none"/>
              </w:rPr>
              <w:t>大写：</w:t>
            </w:r>
          </w:p>
          <w:p>
            <w:pPr>
              <w:rPr>
                <w:rFonts w:hAnsi="宋体" w:cs="宋体"/>
                <w:color w:val="auto"/>
                <w:sz w:val="21"/>
                <w:szCs w:val="21"/>
                <w:highlight w:val="none"/>
              </w:rPr>
            </w:pPr>
            <w:r>
              <w:rPr>
                <w:rFonts w:hint="eastAsia" w:hAnsi="宋体" w:cs="宋体"/>
                <w:color w:val="auto"/>
                <w:sz w:val="21"/>
                <w:szCs w:val="21"/>
                <w:highlight w:val="none"/>
              </w:rPr>
              <w:t>小写：</w:t>
            </w:r>
          </w:p>
        </w:tc>
        <w:tc>
          <w:tcPr>
            <w:tcW w:w="970" w:type="dxa"/>
            <w:vAlign w:val="center"/>
          </w:tcPr>
          <w:p>
            <w:pPr>
              <w:rPr>
                <w:rFonts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exact"/>
          <w:jc w:val="center"/>
        </w:trPr>
        <w:tc>
          <w:tcPr>
            <w:tcW w:w="897" w:type="dxa"/>
            <w:vAlign w:val="center"/>
          </w:tcPr>
          <w:p>
            <w:pPr>
              <w:jc w:val="center"/>
              <w:rPr>
                <w:rFonts w:hAnsi="宋体" w:cs="宋体"/>
                <w:color w:val="auto"/>
                <w:sz w:val="21"/>
                <w:szCs w:val="21"/>
                <w:highlight w:val="none"/>
              </w:rPr>
            </w:pPr>
          </w:p>
        </w:tc>
        <w:tc>
          <w:tcPr>
            <w:tcW w:w="3768" w:type="dxa"/>
            <w:vAlign w:val="center"/>
          </w:tcPr>
          <w:p>
            <w:pPr>
              <w:spacing w:line="360" w:lineRule="auto"/>
              <w:jc w:val="center"/>
              <w:rPr>
                <w:rFonts w:hAnsi="宋体" w:cs="宋体"/>
                <w:color w:val="auto"/>
                <w:sz w:val="21"/>
                <w:szCs w:val="21"/>
                <w:highlight w:val="none"/>
              </w:rPr>
            </w:pPr>
            <w:r>
              <w:rPr>
                <w:rFonts w:hint="eastAsia" w:hAnsi="宋体" w:cs="宋体"/>
                <w:color w:val="auto"/>
                <w:sz w:val="21"/>
                <w:szCs w:val="21"/>
                <w:highlight w:val="none"/>
              </w:rPr>
              <w:t>分项报价合计：</w:t>
            </w:r>
          </w:p>
        </w:tc>
        <w:tc>
          <w:tcPr>
            <w:tcW w:w="3451" w:type="dxa"/>
            <w:vAlign w:val="center"/>
          </w:tcPr>
          <w:p>
            <w:pPr>
              <w:rPr>
                <w:rFonts w:hAnsi="宋体" w:cs="宋体"/>
                <w:color w:val="auto"/>
                <w:sz w:val="21"/>
                <w:szCs w:val="21"/>
                <w:highlight w:val="none"/>
              </w:rPr>
            </w:pPr>
            <w:r>
              <w:rPr>
                <w:rFonts w:hint="eastAsia" w:hAnsi="宋体" w:cs="宋体"/>
                <w:color w:val="auto"/>
                <w:sz w:val="21"/>
                <w:szCs w:val="21"/>
                <w:highlight w:val="none"/>
              </w:rPr>
              <w:t>大写：</w:t>
            </w:r>
          </w:p>
          <w:p>
            <w:pPr>
              <w:rPr>
                <w:rFonts w:hAnsi="宋体" w:cs="宋体"/>
                <w:color w:val="auto"/>
                <w:sz w:val="21"/>
                <w:szCs w:val="21"/>
                <w:highlight w:val="none"/>
              </w:rPr>
            </w:pPr>
            <w:r>
              <w:rPr>
                <w:rFonts w:hint="eastAsia" w:hAnsi="宋体" w:cs="宋体"/>
                <w:color w:val="auto"/>
                <w:sz w:val="21"/>
                <w:szCs w:val="21"/>
                <w:highlight w:val="none"/>
              </w:rPr>
              <w:t>小写：</w:t>
            </w:r>
          </w:p>
        </w:tc>
        <w:tc>
          <w:tcPr>
            <w:tcW w:w="970" w:type="dxa"/>
            <w:vAlign w:val="center"/>
          </w:tcPr>
          <w:p>
            <w:pPr>
              <w:rPr>
                <w:rFonts w:hAnsi="宋体" w:cs="宋体"/>
                <w:color w:val="auto"/>
                <w:sz w:val="21"/>
                <w:szCs w:val="21"/>
                <w:highlight w:val="none"/>
              </w:rPr>
            </w:pPr>
          </w:p>
        </w:tc>
      </w:tr>
    </w:tbl>
    <w:p>
      <w:pPr>
        <w:snapToGrid w:val="0"/>
        <w:spacing w:line="360" w:lineRule="auto"/>
        <w:rPr>
          <w:rFonts w:hAnsi="宋体"/>
          <w:color w:val="auto"/>
          <w:sz w:val="21"/>
          <w:szCs w:val="21"/>
          <w:highlight w:val="none"/>
          <w:u w:val="single"/>
        </w:rPr>
      </w:pPr>
      <w:r>
        <w:rPr>
          <w:rFonts w:hint="eastAsia" w:hAnsi="宋体"/>
          <w:color w:val="auto"/>
          <w:sz w:val="21"/>
          <w:szCs w:val="21"/>
          <w:highlight w:val="none"/>
        </w:rPr>
        <w:t>投标人名称（盖章）：</w:t>
      </w:r>
    </w:p>
    <w:p>
      <w:pPr>
        <w:snapToGrid w:val="0"/>
        <w:spacing w:line="360" w:lineRule="auto"/>
        <w:rPr>
          <w:rFonts w:hAnsi="宋体"/>
          <w:color w:val="auto"/>
          <w:sz w:val="21"/>
          <w:szCs w:val="21"/>
          <w:highlight w:val="none"/>
        </w:rPr>
      </w:pPr>
      <w:r>
        <w:rPr>
          <w:rFonts w:hint="eastAsia" w:hAnsi="宋体"/>
          <w:color w:val="auto"/>
          <w:sz w:val="21"/>
          <w:szCs w:val="21"/>
          <w:highlight w:val="none"/>
        </w:rPr>
        <w:t>投标人法定代表人或其授权代表（签名或盖私章）：</w:t>
      </w:r>
    </w:p>
    <w:p>
      <w:pPr>
        <w:snapToGrid w:val="0"/>
        <w:spacing w:line="360" w:lineRule="auto"/>
        <w:rPr>
          <w:rFonts w:hAnsi="宋体"/>
          <w:color w:val="auto"/>
          <w:sz w:val="21"/>
          <w:szCs w:val="21"/>
          <w:highlight w:val="none"/>
        </w:rPr>
      </w:pPr>
      <w:r>
        <w:rPr>
          <w:rFonts w:hint="eastAsia" w:hAnsi="宋体"/>
          <w:color w:val="auto"/>
          <w:sz w:val="21"/>
          <w:szCs w:val="21"/>
          <w:highlight w:val="none"/>
        </w:rPr>
        <w:t>日期：</w:t>
      </w:r>
    </w:p>
    <w:p>
      <w:pPr>
        <w:rPr>
          <w:rFonts w:hAnsi="宋体" w:cs="宋体"/>
          <w:color w:val="auto"/>
          <w:sz w:val="32"/>
          <w:szCs w:val="32"/>
          <w:highlight w:val="none"/>
        </w:rPr>
      </w:pPr>
      <w:r>
        <w:rPr>
          <w:rFonts w:hint="eastAsia" w:hAnsi="宋体" w:cs="宋体"/>
          <w:color w:val="auto"/>
          <w:sz w:val="32"/>
          <w:szCs w:val="32"/>
          <w:highlight w:val="none"/>
        </w:rPr>
        <w:br w:type="page"/>
      </w:r>
    </w:p>
    <w:p>
      <w:pPr>
        <w:pStyle w:val="8"/>
        <w:numPr>
          <w:ilvl w:val="255"/>
          <w:numId w:val="0"/>
        </w:numPr>
        <w:spacing w:before="0" w:after="0" w:line="24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附表：投标报价清单明细表</w:t>
      </w:r>
    </w:p>
    <w:p>
      <w:pPr>
        <w:widowControl/>
        <w:spacing w:line="360" w:lineRule="auto"/>
        <w:rPr>
          <w:rFonts w:hAnsi="宋体"/>
          <w:color w:val="auto"/>
          <w:sz w:val="22"/>
          <w:szCs w:val="22"/>
          <w:highlight w:val="none"/>
        </w:rPr>
      </w:pPr>
      <w:r>
        <w:rPr>
          <w:rFonts w:hint="eastAsia" w:hAnsi="宋体"/>
          <w:color w:val="auto"/>
          <w:sz w:val="22"/>
          <w:szCs w:val="22"/>
          <w:highlight w:val="none"/>
        </w:rPr>
        <w:t>（一）安装部分</w:t>
      </w:r>
    </w:p>
    <w:tbl>
      <w:tblPr>
        <w:tblStyle w:val="5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7"/>
        <w:gridCol w:w="1261"/>
        <w:gridCol w:w="1348"/>
        <w:gridCol w:w="4222"/>
        <w:gridCol w:w="390"/>
        <w:gridCol w:w="826"/>
        <w:gridCol w:w="390"/>
        <w:gridCol w:w="3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项目编码</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项目名称</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项目特征描述</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计量单位</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工程量</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综合单价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综合合价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盲区监控系统</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030507008001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400万星光级网络高清枪机</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1.产品名称:400万星光级网络高清摄像机(枪机)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2.规格参数:)图像传感器：400万 1/2.7" CMOS ICR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2)最低照度:彩色：0.005 Lux @（F1.2，AGC ON），0 Lux with Light。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3)红外波长范围: 850 nm，补光距离: 红外光最远可达50 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4)视频压缩标准: 主码流：H.265/H.264。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5)最大图像尺寸: 2560 × 1440。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6)支持防补光过曝。</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7)在2560x1440下分辨力可达到1400TVL。</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8)内置1个麦克风，1个RJ45网络接口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9)支持IP66防尘防水。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3.其它:含电源、支架制作及安装；</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4.其他参数要求：详见图纸及设备参数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030507008002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400万星光级网络高清球机</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1.产品名称:400万星光级网络高清球机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2.规格参数:1)支持区域入侵侦测，越界侦测，进入区域侦测和离开区域侦等智能侦测并联动跟踪</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2)传感器类型: 1/2.8＂progressive scan CMOS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3)最低照度: 彩色：0.005 Lux @（F1.6，AGC ON）；黑白：0.001 Lux @（F1.6，AGC ON）；0 Lux with IR</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4)宽动态: 120 dB超宽动态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5)焦距: 4.8 mm~110 mm，23倍光学变倍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6)视场角: 55°~2.7°（广角~望远）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3.其它:含电源、支架制作及安装；</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4.其他参数要求：详见图纸及设备参数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030507013001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网络硬盘录像机（64路16盘）</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1.产品名称:网络硬盘录像机（64路16盘）</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参数:1)具有≥2个HDMI接口、≥2个VGA接口、≥2个RJ45网络接口、≥2个USB2.0接口、≥1个USB3.0接口、≥1个RS232接口、≥1个RS485接口（可接入RS485键盘）、≥1个eSata接口；具有≥1路音频输入接口、≥2路音频输出接口，≥16路报警输入接口、≥8路报警输出接口；可内置≥16个SATA接口硬盘</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2)可接入1T、2T、3T、4T、6T、8T、10T、12TB、14TB、16TB、18TB容量的SATA接口硬盘</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3)可接入≥64路分辨率为1920×1080的视频图像；支持最大接入带宽≥640Mbps，最大存储带宽≥640Mbps，最大转发带宽≥640Mbps，最大回放带宽≥640Mbps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预览分辨率支持：8160×3616(25帧/秒)、8208×3072（25帧/秒）、8160×2304（25帧/秒）、6912×2800(25帧/秒)、5760×1696(25帧/秒)、5520×2400（25帧/秒）、4096×2160（25帧/秒）、4000×3000(25帧/秒)、3072×3072(25帧/秒)、4096×2160（25帧/秒）、3840×2160(25帧/秒)、2560×2560(25帧/秒)、2560×1440(25帧/秒)、1920×1080(25帧/秒) 、1280×960(25帧/秒)、1280×720(25帧/秒)、704×576(25帧/秒)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3.其他参数要求：详见图纸及设备参数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030608002002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视频监控专业存储硬盘（6TB）</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1.名称:视频监控专业存储硬盘（6TB）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2.规格:6000G,5400RPM；265M；SATA</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030411001003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配管PVC25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1.名称:电气配管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2.材质:塑料管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3.规格:PVC25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4.配置形式:暗配</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1567.35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030411001002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配管JDG25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1.名称:镀锌电线管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2.规格:JDG25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3.配置形式:暗配</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74.92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配管JDG20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1.名称:镀锌电线管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2.规格:JDG20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3.配置形式:暗配</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673.17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030502005001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超六类网线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1.名称:超六类网线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2.规格:CAT6</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3.敷设方式:管内穿线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2505.74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030411004001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1.名称:电气配线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2.配线形式:管内穿线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3.规格:RVV3*1.0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4.材质:铜芯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5.配线部位:暗敷</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144.52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030507017001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监控平台授权</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1.名称:监控平台授权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2.扩容授权,在原有基础上增加监控设备点位授权3、支持视频实时预览、智能规则展示、资源视图管理、全景视频监控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预览、录像计划管理、录像回放、模式切换、场景管理、上墙控制、事件布撤防能力</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路</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030507017007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安全防范分系统调试</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1.名称:摄像机 调试</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系统</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030507017008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前端设备接口</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1.名称:前端设备接口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2.规格:定制开发接口</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路</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高空抛物系统</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030507008003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高空抛物摄像机（800万）</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1.产品名称:高空抛物摄像机（800万）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2.类别:1)需具有800万像素 CMOS传感器。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2)需具有不小于1/1.2"靶面尺寸。不小于1颗内置GPU芯片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3)光圈大小为F1.0±5%。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4)最低照度彩色不大于0.0002 lx</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5)最大亮度等级≥11级。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6)信噪比不低于62dB，照度适应范围需不低于140dB。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7)设备水平中心分辨力需不小于2000TVL。</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8)支持H.264、H.265、MJPEG视频编码格式，且具有High Profile编码能力。</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3.其它:含电源、支架制作及安装</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4.其他参数要求：详见图纸及设备参数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030507008005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400万星光级网络高清枪机</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1.名称:400万星光级网络高清枪机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2、规格参数：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1)图像传感器：400万 1/2.7" CMOS ICR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2)最低照度:彩色：0.005 Lux @（F1.2，AGC ON），0 Lux with Light。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3)红外波长范围: 850 nm，补光距离: 红外光最远可达50 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4)视频压缩标准: 主码流：H.265/H.264。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5)最大图像尺寸: 2560 × 1440。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6)支持防补光过曝。</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7)在2560x1440下分辨力可达到1400TVL。</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8)内置1个麦克风，1个RJ45网络接口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9)支持IP66防尘防水。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3.其它:含电源、支架制作及安装；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粤030507021003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T字监控立杆（4米）</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1.产品名称:T字监控立杆（4米）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2.规格:1）材质：镀锌管；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2）立杆规格：长度4000mm, 直径114MM，壁厚2.5mm；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3）横杆规格：长度1500mm*直径60mm*壁厚2.0mm；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4）杆体颜色：黑色"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3.含C25砼1000mm*1000mm*1200mm基础</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4.含土方开挖及外运；运距</w:t>
            </w:r>
            <w:r>
              <w:rPr>
                <w:rFonts w:hint="eastAsia"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0km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粤030507021002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L字监控立杆（4米）</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1.产品名称:L字监控立杆（4米）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2.规格:1）材质：镀锌管；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2）立杆规格：长度4000mm, 直径114MM，壁厚2.5mm；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3）横杆规格：长度1500mm*直径60mm*壁厚2.0mm；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4）杆体颜色：黑色"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3.含C25砼1000mm*1000mm*1200mm基础</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4.含土方开挖及外运；运距</w:t>
            </w:r>
            <w:r>
              <w:rPr>
                <w:rFonts w:hint="eastAsia"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0km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粤030507021004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1.5米横臂</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1.名称:1.5米横臂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2.规格:1）材质：镀锌管；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2）规格：长度1500mm*直径60mm*壁厚2.0mm；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3）杆体颜色：黑色</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030501010001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工业级1光1电光纤交换机</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1.产品名称:工业级1光1电光纤交换机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2.规格:1）物理端口: 1千兆光(SC/FC/ST/LC可选）+1千兆电组成;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2）交换容量: 12Gbps, 转发速率：6Mpps；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3）标准协议: IEEE802.3i,IEEE802.3u；</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4）光纤端口: 1000Base-GX端口（SC/FC/ST/SFP可选）；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5）RJ45端口: 支持10/100/1000M,全/半双工, MDI/MDI-X自适应功能；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6）传输距离: 双绞线100m, 多模光纤500m~2km, 单模光纤20km~120km;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7）兼容性强: Broadcom芯片, 兼容HUAWEI,CISCO,H3C,RUIJIE等主流品牌；</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8）机械结构: IP40,防雷击6KV,防浪涌,全铝机身, 无风扇设计, 导轨/壁挂式；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9）电源参数: 3P工业端子, DC12～56V双电源冗余设计,防反接/过流保护；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10）环境参数: 工作温度: -40~85℃, 存储温度: -40C～90℃。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030501012001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工业级1光4电POE光纤交换机</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1.产品名称:工业级1光4电POE光纤交换机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2.规格:1）物理端口: 1千兆光(SC/FC/ST/LC可选）+4千兆PoE电组成;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2）交换容量: 48Gbps, 转发速率：22Mpps；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3）RJ45端口: 支持10/100/1000M,全/半双工, MDI/MDI-X自适应功能；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4）PoE协议: 支持标准IEEE 802.3af/at协议, 单口15.4W/30W 输出；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5）传输距离: PoE供电距离100m（标准CAT5/CAT5e线缆）；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6）供电标准: 电口PoE智能检测识别符合标准的受电设备，并为其供电；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7）兼容性强: Broadcom芯片, 兼容HUAWEI,CISCO,H3C,RUIJIE等主流品牌；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8）机械结构: IP40,防雷击6KV,防浪涌,全铝机身, 无风扇设计, 导轨/壁挂式；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9）电源参数: 6P工业端子, DC48～52V双电源冗余设计,防反接/过流保护；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10）环境参数: 工作温度: -40~85℃, 存储温度: -40C～90℃。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030501012002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工业级1光8电POE光纤交换机</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1.产品名称:工业级1光8电POE光纤交换机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2.规格:1）8千兆POE电口，1千兆SFP口，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2）交换容量: 48Gbps, 转发速率：22Mpps；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3）标准协议: IEEE802.3i,IEEE802.3u,IEEE802.3ab,IEEE802.3z；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4）光纤端口: 1000Base-GX端口（SC/FC/ST/SFP可选）；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5）RJ45端口: 支持10/100/1000M,全/半双工, MDI/MDI-X自适应功能；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6）传输距离: 双绞线100m, 多模光纤500m~2km, 单模光纤20km~120km;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7）机械结构: IP40,防雷击6KV,防浪涌,全铝机身, 无风扇设计, 导轨/壁挂式；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8）电源参数: 6P工业端子, 内置AC/DC110V~265V电源, 防反接/过流保护；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9）环境参数: 工作温度: -40℃~85℃, 存储温度: -40℃～90℃。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030904008001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千兆光纤模块（20KM工业级）</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1.产品名称:千兆光纤模块（20KM工业级）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2.规格:1.25G, T3/R5; 单模/单纤/LC/20km"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030507013002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高空抛物智能超脑</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1.产品名称:高空抛物智能超脑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2.规格:1)需支持接入双目、三目、800w、1600w球型鹰眼、2400w环型鹰眼相机，3200w摄像机，并可将视频画面以多画面分割方式显示，可自定义画面布局</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需支持组合报警模式，可设置将NVR的报警输入口关联IPC的报警事件，只有当两个报警事件同时触发才能产生报警，组合报警模式支持遮挡报警、移动侦测、人脸抓拍、人脸侦测、车辆检测、越界侦测、区域入侵侦测、进入/离开区域侦测、人员聚集侦测、快速移动侦测、物品遗留侦测、物品拿取侦测、停车侦测、徘徊侦测、场景变更侦测、虚焦侦测、音频异常侦测报警事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3)可同时正放或倒放32路H.265编码的视频图像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4)需支持设备级联，NVR接入NVR、DVR、XVR设备，选择通道添加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3.其他参数要求：详见图纸及设备参数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030608002001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视频监控专业存储硬盘（8TB）</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1.名称:视频监控专业存储硬盘（8TB）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2.规格:3.5英寸 8TB 5640RPM 256M SATA3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030507017006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安全防范分系统调试</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1.名称:摄像机 调试</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系统</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030507017004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前端设备接口</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1.名称:前端设备接口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2.规格:定制开发接口</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路</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030507017002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监控平台授权</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1.名称:监控平台授权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2.规格:扩容授权,在原有基础上增加监控设备点位授权3、支持视频实时预览、智能规则展示、资源视图管理、全景视频监控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预览、录像计划管理、录像回放、模式切换、场景管理、上墙控制、事件布撤防能力</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路</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030502015001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4口光纤盒</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1.名称:4口光纤盒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2.含光纤熔接:含光纤熔接</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030502013001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8口光纤盒</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1.名称:8口光纤盒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2.类别:含光纤熔接</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030502009001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LC/SC光纤跳线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1.名称:LC/SC光纤跳线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030404017001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园区立杆防水箱</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1.名称:园区立杆防水箱</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2.规格:400*300*150mm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030404017002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抱杆机箱</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1.名称:抱杆机箱</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2.规格:500*600*200mm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030411001004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配管PVC20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1.名称:电气配管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2.材质:塑料管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3.规格:PVC20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4.配置形式:暗配</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169.01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030411001005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配管PVC32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1.名称:电气配管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2.材质:塑料管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3.规格:PVC32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4.配置形式:暗配</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263.53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030502007002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4芯光纤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1.名称:光纤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2.规格:1*4芯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3.敷设方式:管内穿线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448.81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030411004002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1.名称:电气配线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2.配线形式:管内穿线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3.规格:RVV3*1.5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4.材质:铜芯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5.配线部位:暗敷</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448.81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030502005002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超六类网线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1.名称:超六类网线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2.规格:CAT6</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3.敷设方式:管内穿线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176.01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040101002001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挖沟槽土方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1.土壤类别:一、二类土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2.挖土深度:2m 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17.99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050101009001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种植土回(换)填</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1.回填土质要求:种植土回填</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040103001001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回填砂</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1.填方材料品种:回填砂</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11.34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040103001002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回填原土</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1.填方材料品种:回填原土</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040103002001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余方弃置</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1.废弃料品种:土方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2.运距:</w:t>
            </w:r>
            <w:r>
              <w:rPr>
                <w:rFonts w:hint="eastAsia"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0km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15.27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040504001001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通信井 400*400*400mm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1.名称:通信井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2.规格:400*400*400mm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3.垫层:150mm厚片石夯实</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4.100mm砂层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5.材质:M5水泥砂浆砖砌</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6.抹灰:井内外壁抹面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7.井盖:成品复合树脂井盖400*400mm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8.弃土运距:</w:t>
            </w:r>
            <w:r>
              <w:rPr>
                <w:rFonts w:hint="eastAsia"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0km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门禁系统</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030411001006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配管PVC25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1.名称:电气配管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2.材质:塑料管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3.规格:PVC25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4.配置形式:暗配</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3723.21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030502005003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超六类网线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1.名称:超六类网线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2.规格:CAT6</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3.敷设方式:槽内穿线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749.71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030502005008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超六类网线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1.名称:超六类网线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2.规格:CAT6</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3.敷设方式:管内穿线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1778.34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030411004004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1.名称:电气配线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2.配线形式:管内穿线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3.规格:RVV3*1.0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4.材质:铜芯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5.配线部位:暗敷</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1778.34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030411004018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线槽配线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1.名称:电气配线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2.配线形式:线槽穿线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3.规格:RVV3*1.0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4.材质:铜芯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5.配线部位:暗敷</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749.71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030411004005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1.名称:电气配线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2.配线形式:管内穿线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3.规格:RVV3*2.5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4.材质:铜芯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5.配线部位:暗敷</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293.31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030411004019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线槽配线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1.名称:电气配线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2.配线形式:线槽穿线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3.规格:RVV3*2.5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4.材质:铜芯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5.配线部位:暗敷</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78.17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030411004003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1.名称:电气配线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2.配线形式:管内穿线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3.规格:RVV2*0.5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4.材质:铜芯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5.配线部位:暗敷</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158.7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030411004020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线槽配线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1.名称:电气配线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2.配线形式:线槽穿线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3.规格:RVV2*0.5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4.材质:铜芯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5.配线部位:暗敷</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030411004006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1.名称:电气配线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2.配线形式:管内穿线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3.规格:RVV4*1.0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4.材质:铜芯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5.配线部位:暗敷</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208.76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030411004021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线槽配线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1.名称:电气配线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2.配线形式:线槽穿线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3.规格:RVV4*1.0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4.材质:铜芯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5.配线部位:暗敷</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273.8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030411004022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1.名称:电气配线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2.配线形式:管内穿线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3.规格:RVV4*0.5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4.材质:铜芯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5.配线部位:暗敷</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1668.34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030411004023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1.名称:电气配线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2.配线形式:线槽穿线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3.规格:RVV4*0.5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4.材质:铜芯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5.配线部位:暗敷</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749.71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030411004024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1.名称:电气配线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2.配线形式:管内穿线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3.规格:RVV2*1.0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4.材质:铜芯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5.配线部位:暗敷</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79.26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030411004025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1.名称:电气配线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2.配线形式:线槽穿线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3.规格:RVV2*1.0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4.材质:铜芯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5.配线部位:暗敷</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040205022001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摆闸（单机芯）</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1.名称:摆闸（单机芯）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2.规格、型号:1）具有故障自检和报警提示功能，方便用户维护及使用；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2）具有断电自动打开,来电自检并自动恢复在加锁状态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3）具有多种工作模式可供选择，即可双向读卡，也可一边读卡、另一方向禁行，一边读卡、另一方向自由通行，且闸机工作模式可通过主板菜单进行设定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4）当行人读有效卡通行后,红外检测到行人通行完毕自动关闸或行人通行后延时关闸,延时10秒可通过主板菜单自行设定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5）具有自动复位功能。当读有效卡后，通行者在规定的时间内未通行时，系统将自动取消通行者的本次通行权限，且限制的通行时间可由管理人员自行设定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6）防冲功能，在没有接收到开闸信号时，摆臂自动锁死</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7）机械防夹功能，在摆臂复位的过程中遇阻时，自动反弹或在规定的时间内电机自动停止工作，同时发出报警信号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3.其他参数要求：详见图纸及设备参数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040205022002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摆闸（双机芯）</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1.名称:摆闸（双机芯）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2.规格、型号:1）具有故障自检和报警提示功能，方便用户维护及使用；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2）具有断电自动打开,来电自检并自动恢复在加锁状态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3）具有多种工作模式可供选择，即可双向读卡，也可一边读卡、另一方向禁行，一边读卡、另一方向自由通行，且闸机工作模式可通过主板菜单进行设定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4）当行人读有效卡通行后,红外检测到行人通行完毕自动关闸或行人通行后延时关闸,延时10秒可通过主板菜单自行设定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5）具有自动复位功能。当读有效卡后，通行者在规定的时间内未通行时，系统将自动取消通行者的本次通行权限，且限制的通行时间可由管理人员自行设定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6）防冲功能，在没有接收到开闸信号时，摆臂自动锁死</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7）机械防夹功能，在摆臂复位的过程中遇阻时，自动反弹或在规定的时间内电机自动停止工作，同时发出报警信号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3.其他参数要求：详见图纸及设备参数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030507005001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AI人脸识别测温门禁（含二维码识别模块、支架）</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1.名称:AI人脸识别测温门禁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2.规格:1）屏幕：≥7英寸，全视角IPS液晶屏；支持显示界面DIY、认证结果DIY。</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2）摄像头：≥200W像素，双目摄像头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3）接口：≥1个音频输出接口，≥2个RS232接口，≥1个485/WG输入接口，≥1个WG输出接口，≥1个韦根接口，≥1个RJ45网络接口，≥1个type-c接口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4）本地人脸库≥100000张；≥100000张卡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5）支持人脸识别与测温、刷加密卡、访客二维码、APP远程开门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6）可同时检测跟踪≥5个人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7）人脸识别率≥99%</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8）测温距离：0,5-3米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9）测温响应时间≤300 毫秒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10）温度检测精度≤0.1℃</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3.其他参数要求：详见图纸及设备参数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030904003001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出门按钮</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1.名称:出门按钮</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030507006001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电插锁</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1.名称:电插锁</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031101001002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门禁电源</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1.种类:门禁电源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2.型号:12V 5A</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030507006002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单门门禁控制器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1.名称:单门门禁控制器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2.规格:单门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030507006003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双门门禁控制器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1.名称:双门门禁控制器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2.规格:双门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030507006004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四门门禁控制器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1.名称:四门门禁控制器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2.规格:四门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030404031001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继电器控制</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1.名称:继电器控制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2.规格:20A</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030501012004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24口千兆POE交换机</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1.名称:24口千兆POE交换机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2.规格:1）包转发率：≥51Mpps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2）交换容量：≥336Gbps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3）固定端口：≥24 个 10/100/1000BASE-T 以太网端口,≥4 个千兆SFP,PoE+,交流供电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4）支持MAC地址自动学习和老化</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5）支持静态、动态、黑洞MAC表项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6）支持源MAC地址过滤；支持接口MAC地址学习个数限制。支持4K个VLAN；支持Guest VLAN、Voice VLAN；支持GVRP协议；支持MUX VLAN功能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3.其他参数要求：详见图纸及设备参数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030501013001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管理服务器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1.名称:管理服务器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2.规格:1)英特尔至强银牌4210(2.2GHz/10-Core/13.75MB/85W)处理器，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2)2*32GB-2933MT/s-2Rank(2G*16bit)-1.2V-ECC内存，</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3)2*2400GB-SAS 12Gb/s-10K rpm-128MB硬盘，</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4)raid1，2*GE+2*10GE光口，2*550W电源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5)8*2.5盘位/2U</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030501002002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管理主机（I5/8G/1T）</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1.产品名称:管理主机（I5/8G/1T）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2.规格:1）CPU：I5-12400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2）内存：8G DRR4 2666</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3）硬盘：HDD 1T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4）无光驱/260W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5）21.5寸显示器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030507008004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人脸录入摄像头</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1.名称:人脸录入摄像头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2.规格:1）分辨率：720p/30fps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2）视野：55°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3）有自动光线校正功能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4）对焦类型: 固定焦距</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5）内置麦克风: 单声道</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6）麦克风范围: 长达 1 米</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030501017001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软件对接开发</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1.名称:软件综合管理平台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2.模块名称:现场预约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(1)功能:1)支持被邀约人现场扫描二维码进行预约,以H5页面实现2)支持微信扫码录入信息3)支持二维码开门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3、模块名称:线上邀约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(1)功能:1)支持微信分享实现访客信息录入、审核、到访形成闭环2)支持上传拜访人健康码信息3)支持二维码开门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4、模块名称:远程开门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(1)功能:1)实现远程通过APP解锁门禁开门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5、模块名称:人员管理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(1)功能:1)实现对指定拥有楼栋开门人员权限管理、时间段管理,在后台中增加设置权限。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6、模块名称:开门管理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(1)功能:1)实现开门次数、开门记录,开门抓拍图像、测温数据统计管理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7、接口名称:远程开门接口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8、接口名称:人体测温接口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9、接口名称:人脸识别接口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10、接口名称:访客信息接口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11、接口名称:温度告警接口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12、接口名称:语音播报接口</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030501017002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访客管理模块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1.产品名称:访客管理模块</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2.增加本次建设门禁访客管理模块,提供访客预约、登记、权限、签离、短信通知、记录查询管理应用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030501017003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门禁管理授权</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1.产品名称:门禁管理授权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2.规格:扩容授权,在原有基础上增加本次建设门禁管理授权,提供门禁权限管理、事件管理、状态查看及远程控制、人员出入记录实时展示应用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030507017009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安全防范分系统调试</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1.名称:安全防范分系统调试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2.摆闸、人脸识别调试</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系统</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010606009001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不锈钢护栏</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1.钢材品种、规格:不锈钢护栏</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030411002001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304不锈钢线槽</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1.名称:304不锈钢线槽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2.材质:304不锈钢</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45.06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030411002002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塑料线槽</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1.名称:塑料线槽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2.材质:PVC</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3.规格:19*39mm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1230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030413002001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凿(压)槽</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1.名称:凿(压)槽及修补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2.类型:混凝土结构</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45.06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030506001002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发卡器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1.名称:发卡器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030506001003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CUP卡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1.名称:CUP卡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五方通话</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粤R2-4-71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机房话机（拆除）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1.机房话机（拆除）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030904006001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机房话机</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1.名称:机房话机（购买新设备）</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粤R2-4-71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轿厢话机（拆除）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1.轿厢话机（拆除）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080603009001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轿厢话机</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1.名称:轿厢话机（购买新设备）</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粤R2-4-71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轿顶话机（拆除）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1.轿顶话机（拆除）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080603009002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轿顶话机</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1.名称:轿顶话机（购买新设备）</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粤R2-4-71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底坑话机（拆除）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1.底坑话机（拆除）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080603009003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底坑话机</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1.名称:底坑话机（购买新设备）</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030411001009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1.名称:配管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2.规格:JDG25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3.配置形式:暗配</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1767.15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030411001012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1.名称:配管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2.规格:JDG20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3.配置形式:暗配</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47.98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030502005006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超六类网线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1.名称:超六类网线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2.规格:CAT6</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3.敷设方式:管内穿线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030411004013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1.名称:配线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2.配线形式:管内配线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3.型号:RVV3*1.0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4.配线部位:暗配</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030411004014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1.名称:配线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2.配线形式:管内配线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3.型号:RVVP4*0.75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1249.45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030411004015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1.名称:配线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2.配线形式:线槽配线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3.型号:RVVP4*0.75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2043.43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030411004026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1.名称:配线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2.型号:HDMI*1</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3.敷设方式:管内穿线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030502007003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4芯光纤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1.名称:光纤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2.规格:1*4芯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3.敷设方式:管内穿线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47.98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030501012005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汇聚交换机</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1.名称:汇聚交换机</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030506001001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1路网络分机</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1.产品名称:1路网络分机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2.规格:1）可以控制1部电梯。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2）可以单独呼叫多台主机。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3）可以与主机进行双向通话。</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4）可以实现电梯机房、电梯轿厢、电梯轿顶、电梯底坑之间自主通话，无需呼叫主机。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5）宽带 ADC/DAC 16KHz 采样、窄带编码: G.711a/u, G.723.1, G.726-32K, G.729AB、宽带编码: G.722、全双工免提通话, 支持声学回音消除(AEC)</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6）10/100Mbps、IP获取方式：静态IP 设置相关协议 SIP2.0、UDP/TCP、RTP/RTCP/SRTP、STUN、DHCP、LLDP、</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PPPoE802.1x、L2TP、OpenVPN、SNTP、FTP/TFTP、HTTP/</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HTTPS、TR-069</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3.其他参数要求：详见图纸及设备参数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030506001001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3路网络分机</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1.产品名称:3路网络分机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2.规格:1）可以控制3部电梯。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2）可以单独呼叫多台主机。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3）可以与主机进行双向通话。</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4）可以实现电梯机房、电梯轿厢、电梯轿顶、电梯底坑之间自主通话，无需呼叫主机。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5）宽带 ADC/DAC 16KHz 采样、窄带编码: G.711a/u, G.723.1, G.726-32K, G.729AB、宽带编码: G.722、全双工免提通话, 支持声学回音消除(AEC)</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6）10/100Mbps、IP获取方式：静态IP 设置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7）相关协议：SIP2.0、UDP/TCP、RTP/RTCP/SRTP、STUN、DHCP、LLDP、</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PPPoE802.1x、L2TP、OpenVPN、SNTP、FTP/TFTP、HTTP/</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HTTPS、TR-069</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3.其他参数要求：详见图纸及设备参数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030506001001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4路网络分机</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1.产品名称:4路网络分机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2.规格:1）可以控制4部电梯。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2）可以单独呼叫多台主机。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3）可以与主机进行双向通话。</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4）可以实现电梯机房、电梯轿厢、电梯轿顶、电梯底坑之间自主通话，无需呼叫主机。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5）宽带 ADC/DAC 16KHz 采样、窄带编码: G.711a/u, G.723.1, G.726-32K, G.729AB、宽带编码: G.722、全双工免提通话, 支持声学回音消除(AEC)</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6）10/100Mbps、IP获取方式：静态IP 设置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7）相关协议 SIP2.0、UDP/TCP、RTP/RTCP/SRTP、STUN、DHCP、LLDP、</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PPPoE802.1x、L2TP、OpenVPN、SNTP、FTP/TFTP、HTTP/</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HTTPS、TR-069</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3.其他参数要求：详见图纸及设备参数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080608003001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UPS应急电源</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1.产品名称:UPS应急电源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2.规格:1）规格尺寸：250*160*70mm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2）工作电压：DC-12V，工作电流：4A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待机电压：DC-12V，待机电流：180mA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3）工作温度范围：-30℃～70℃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4）最大功率：≤60W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5）固定方式：壁挂或平放</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6）应急供电24小时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7）外壳为铁壳，不易损坏</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030501002001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非可视化网络主机</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1.产品名称:非可视化网络主机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2.规格:1）联接电梯无数量限制。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2）可以单独接收或呼叫所控制的每一部电梯。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3）巡检:可以与所控制的每一部电梯进行双向通讯。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4）来电显分机的具体位置。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5）支持SIP通讯协议、支持SIP服务器、全双工模式对讲、回声消除、支持丢包补偿，自适应抖动缓冲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6）适配器输入：100-240V、适配器输出：12V/1A、WAN口-10/100 Base-T RJ-45 接局域网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7）功耗-空闲;2.5W/活动：5W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8）工作温度：0~40℃工作湿度：10~65％、CPU：RK3288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030501003001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语音网关</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1.名称:语音网关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2.规格:无人值守，转接手机</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030505010002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高清解码器（16路）</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1.产品名称:高清解码器（16路）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16个HDMI输出接口、≥1个VGA输入接口、1个DVI输入接口、≥2个USB口、≥1个语音对讲输入、≥1个语音对讲输出、≥16个音频输出、≥8个报警输入、≥8个报警输出、≥1个RS485接口、≥1个RS232接口、≥2个千兆网口、≥2个光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2)具有1个电源指示灯、1个VGA信号接入指示灯和1个DVI信号接入指示灯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3)支持对输入的视频画面进行90°、180°、270°旋转显示。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4)支持黑白名单功能，可设置256个黑白名单；当设置白名单时，只允许白名单IP访问设备；当设置黑名单时，黑名单内IP无法访问设备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5)输入信号接入解码器后上墙显示，支持YUV422上墙显示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6)可通过客户端软件设置HDMI接口输出分辨率为3840*2160(30Hz、1920*1080(50Hz)、1920*1080(60Hz)、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1680*1050(60Hz)、1600*1200(60Hz)、1280*1024(60Hz)、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1280*720(60Hz)、1280*720(50Hz)、1024*768(60Hz)。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3.其他参数要求：详见图纸及设备参数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030507014003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55寸高清超窄边拼接屏</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1.产品名称:55寸高清超窄边拼接屏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2.规格:）LCD液晶显示单元；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2）尺寸：55英寸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3）分辨率：1920x1080；视角：178°(水平)/ 178°(垂直)；响应时间：6.5 ms (G to 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4）对比度：3000:1；亮度：500cd/㎡；物理拼缝：3.5mm；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5）输入接口：VGA × 1, HDMI × 1, DVI × 1</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6）功耗：≤190W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7）电源要求：AC 100-240V～, 50/60Hz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8）寿命：≥60000 小时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9）工作温度和湿度：0℃--40℃，20%--80%(无凝露)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10）外形尺寸：1213.50 (W) mm × 684.30 (H) mm × 71.19 (D) mm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030505004001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电视墙（3*3 55寸）</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1.名称:电视墙（3*3 55寸）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2.规格:1）采用1.5-1.0mm的优质冷轧钢板；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2）电视墙为组装式结构，方便运输及安装，任意自由组合拼装；</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3）表面处理：去油、酸洗、磷化、防静电喷涂，采用高硬度粉沫，达到了BS6497国际标准，级表 面处理，全自动ICI 高强度粉沫静电喷涂高温烤焗工艺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4）后部开有散热孔，并配有散热风扇，具有良好的通风散热条件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5）每联配有一块散热风扇、固定层板一块下柜19英寸标准制作；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6）颜色：黑色"</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030505004002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操作台（3联）</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1.名称:操作台（3联）</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2.规格:1)1800*920*750；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2)材料采用优质冷轧钢板制作；材料厚度：1.2-1.5MM"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030608002003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服务器存储硬盘</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1.产品名称:服务器存储硬盘</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2.规格:2.4TB 10K RPM SAS 硬盘单元；2.5英寸(2.5英寸托架)</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030904008002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千兆光纤模块（20KM工业级）</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1.名称:千兆光纤模块（20KM工业级）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2.规格:1.25G, T3/R5; 单模/单纤/LC/20km"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030502015002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4口光纤盒</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1.名称:4口光纤盒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2.含光纤熔接:含光纤熔接</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030502009002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LC/SC光纤跳线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1.名称:LC/SC光纤跳线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030502010001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六类24口非屏蔽配线架</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1.名称:六类24口非屏蔽配线架</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030502017001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理线架</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1.名称:理线架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2.规格:24口</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E区小会议室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030411001010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1.名称:配管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2.规格:JDG20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3.配置形式:暗配</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20.73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030502005007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超六类网线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1.名称:超六类网线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2.规格:CAT6</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3.敷设方式:管内穿线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19.06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030411004016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1.名称:配线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2.型号:HDMI*1</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3.敷设方式:管内穿线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030501010002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HDMI延长器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1、产品名称：HDMI延长器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1)最远距离：单网线（推荐CAT-6线）60m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2)分辨率：1920*1080P</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3)外壳材质：铁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4)支持输入：1080P/10802i/720P/576P/576i/480P/480i</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5)红外支持：38KHz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6)电源：DC5V</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030413002003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凿(压)槽</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1.名称:凿(压)槽及修补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2.类型:混凝土结构</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20.73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20楼会议室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030411001011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1.名称:配管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2.规格:JDG25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3.配置形式:暗配</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17.94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030411004017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1.名称:配线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2.型号:HDMI*1</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3.敷设方式:管内穿线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19.94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030506007001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高清HDMI矩阵（4进4出）</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1.产品名称:高清HDMI矩阵（4进4出）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2.规格:一、功能特点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1）4路HDMI信号输入，4路HDMI信号输出，交叉切换；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2）支持高清1080P、支持3D、支持4K；</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3）具有1路RS-232通讯接口；支持RS-232转RS-485通信接口；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3.其他参数要求：详见图纸及设备参数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030413002002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凿(压)槽</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1.名称:凿(压)槽及修补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2.类型:混凝土结构</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17.94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措施项目</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041102002001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立杆基础</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1.构件类型:立杆基础</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031302007001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高层施工增加</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031301017001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脚手架搭拆费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gridSpan w:val="7"/>
            <w:tcBorders>
              <w:top w:val="single" w:color="000000" w:sz="4" w:space="0"/>
              <w:left w:val="single" w:color="000000" w:sz="8"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lang w:eastAsia="zh-CN"/>
              </w:rPr>
              <w:t>合计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bl>
    <w:p>
      <w:pPr>
        <w:widowControl/>
        <w:spacing w:line="360" w:lineRule="auto"/>
        <w:rPr>
          <w:rFonts w:hAnsi="宋体"/>
          <w:color w:val="auto"/>
          <w:sz w:val="22"/>
          <w:szCs w:val="22"/>
          <w:highlight w:val="none"/>
        </w:rPr>
      </w:pPr>
    </w:p>
    <w:p>
      <w:pPr>
        <w:spacing w:line="400" w:lineRule="exact"/>
        <w:rPr>
          <w:rFonts w:hAnsi="宋体"/>
          <w:color w:val="auto"/>
          <w:sz w:val="21"/>
          <w:szCs w:val="21"/>
          <w:highlight w:val="none"/>
        </w:rPr>
      </w:pPr>
      <w:r>
        <w:rPr>
          <w:rFonts w:hint="eastAsia" w:hAnsi="宋体"/>
          <w:color w:val="auto"/>
          <w:sz w:val="21"/>
          <w:szCs w:val="21"/>
          <w:highlight w:val="none"/>
        </w:rPr>
        <w:t>（二）土建部分</w:t>
      </w:r>
    </w:p>
    <w:tbl>
      <w:tblPr>
        <w:tblStyle w:val="5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5"/>
        <w:gridCol w:w="1476"/>
        <w:gridCol w:w="1554"/>
        <w:gridCol w:w="3313"/>
        <w:gridCol w:w="573"/>
        <w:gridCol w:w="766"/>
        <w:gridCol w:w="573"/>
        <w:gridCol w:w="5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项目编码</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项目名称</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项目特征描述</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计量单位</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工程量</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综合单价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综合合价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玻璃门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A3、A4、A5栋玻璃门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010802003001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单开防火玻璃门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1.门代号及洞口尺寸:1160*1960mm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2.名称:单门防火玻璃平开门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3.门框、扇材质:黑色镜面不锈钢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4.玻璃规格、尺寸:12mm防火钢化玻璃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5.拉手:常用不锈钢拉手450mm长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6.其他:门夹、地弹簧、顶轴（含安装、五金配件）</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010802001001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双开防火玻璃门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1.门代号及洞口尺寸:1480*1980mm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2.名称:双门防火玻璃平开门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3.门框、扇材质:黑色镜面不锈钢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4.玻璃规格、尺寸:12mm防火钢化玻璃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5.拉手:常用不锈钢拉手450mm长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6.其他:门夹、地弹簧、顶轴（含安装、五金配件）</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010802001016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双开防火玻璃门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1.门代号及洞口尺寸:2000*2020mm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2.名称:双门防火玻璃平开门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3.门框、扇材质:黑色镜面不锈钢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4.玻璃规格、尺寸:12mm防火钢化玻璃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5.拉手:常用不锈钢拉手450mm长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6.其他:门夹、地弹簧、顶轴（含安装、五金配件）</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B1栋</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010802001002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双开防火玻璃门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1.门代号及洞口尺寸:1980*2080mm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2.名称:双门防火玻璃平开门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3.门框、扇材质:黑色镜面不锈钢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4.玻璃规格、尺寸:12mm防火钢化玻璃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5.拉手:常用不锈钢拉手450mm长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6.其他:门夹、地弹簧、顶轴（含安装、五金配件）</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B2栋</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010802001003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双开防火玻璃门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1.门代号及洞口尺寸:1980*2080mm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2.名称:双门防火玻璃平开门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3.门框、扇材质:黑色镜面不锈钢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4.玻璃规格、尺寸:12mm防火钢化玻璃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5.拉手:常用不锈钢拉手450mm长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6.其他:门夹、地弹簧、顶轴（含安装、五金配件）</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D1、D2栋</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010802001004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双开防火玻璃门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1.门代号及洞口尺寸:1470*2250mm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2.名称:双门防火玻璃平开门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3.门框、扇材质:黑色镜面不锈钢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4.玻璃规格、尺寸:12mm防火钢化玻璃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5.拉手:常用不锈钢拉手450mm长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6.其他:门夹、地弹簧、顶轴（含安装、五金配件）</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E2栋</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010802003002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单开防火玻璃门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1.门代号及洞口尺寸:1200*2160mm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2.名称:单门防火玻璃平开门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3.门框、扇材质:黑色镜面不锈钢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4.玻璃规格、尺寸:12mm防火钢化玻璃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5.拉手:常用不锈钢拉手450mm长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6.其他:门夹、地弹簧、顶轴（含安装、五金配件）</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010802003004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单开防火玻璃门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1.门代号及洞口尺寸:1280*2000mm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2.名称:单门防火玻璃平开门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3.门框、扇材质:黑色镜面不锈钢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4.玻璃规格、尺寸:12mm防火钢化玻璃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5.拉手:常用不锈钢拉手450mm长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6.其他:门夹、地弹簧、顶轴（含安装、五金配件）</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010802003005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单开防火玻璃门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1.门代号及洞口尺寸:1280*2400mm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2.名称:单门防火玻璃平开门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3.门框、扇材质:黑色镜面不锈钢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4.玻璃规格、尺寸:12mm防火钢化玻璃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5.拉手:常用不锈钢拉手450mm长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6.其他:门夹、地弹簧、顶轴（含安装、五金配件）</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010802003006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单开防火玻璃门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1.门代号及洞口尺寸:1280*2100mm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2.名称:单门防火玻璃平开门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3.门框、扇材质:黑色镜面不锈钢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4.玻璃规格、尺寸:12mm防火钢化玻璃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5.拉手:常用不锈钢拉手450mm长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6.其他:门夹、地弹簧、顶轴（含安装、五金配件）</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010802001017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双开防火玻璃门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1.门代号及洞口尺寸:1940*2180mm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2.名称:双门防火玻璃平开门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3.门框、扇材质:黑色镜面不锈钢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4.玻璃规格、尺寸:12mm防火钢化玻璃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5.拉手:常用不锈钢拉手450mm长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6.其他:门夹、地弹簧、顶轴（含安装、五金配件）</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16.92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010802001018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双开防火玻璃门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1.门代号及洞口尺寸:1580*2190mm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2.名称:双门防火玻璃平开门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3.门框、扇材质:黑色镜面不锈钢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4.玻璃规格、尺寸:12mm防火钢化玻璃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5.拉手:常用不锈钢拉手450mm长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6.其他:门夹、地弹簧、顶轴（含安装、五金配件）</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010802001019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双开防火玻璃门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1.门代号及洞口尺寸:2000*2190mm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2.名称:双门防火玻璃平开门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3.门框、扇材质:黑色镜面不锈钢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4.玻璃规格、尺寸:12mm防火钢化玻璃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5.拉手:常用不锈钢拉手450mm长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6.其他:门夹、地弹簧、顶轴（含安装、五金配件）</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010802001020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双开防火玻璃门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1.门代号及洞口尺寸:1790*2300mm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2.名称:双门防火玻璃平开门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3.门框、扇材质:黑色镜面不锈钢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4.玻璃规格、尺寸:12mm防火钢化玻璃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5.拉手:常用不锈钢拉手450mm长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6.其他:门夹、地弹簧、顶轴（含安装、五金配件）</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010802001021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双开防火玻璃门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1.门代号及洞口尺寸:1400*2180mm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2.名称:双门防火玻璃平开门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3.门框、扇材质:黑色镜面不锈钢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4.玻璃规格、尺寸:12mm防火钢化玻璃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5.拉手:常用不锈钢拉手450mm长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6.其他:门夹、地弹簧、顶轴（含安装、五金配件）</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010802001022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双开防火玻璃门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1.门代号及洞口尺寸:1460*2180mm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2.名称:双门防火玻璃平开门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3.门框、扇材质:黑色镜面不锈钢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4.玻璃规格、尺寸:12mm防火钢化玻璃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5.拉手:常用不锈钢拉手450mm长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6.其他:门夹、地弹簧、顶轴（含安装、五金配件）</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010802001023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双开防火玻璃门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1.门代号及洞口尺寸:1590*2200mm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2.名称:双门防火玻璃平开门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3.门框、扇材质:黑色镜面不锈钢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4.玻璃规格、尺寸:12mm防火钢化玻璃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5.拉手:常用不锈钢拉手450mm长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6.其他:门夹、地弹簧、顶轴（含安装、五金配件）</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G2栋</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010802001006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双开防火玻璃门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1.门代号及洞口尺寸:2000*2280mm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2.名称:双门防火玻璃平开门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3.门框、扇材质:黑色镜面不锈钢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4.玻璃规格、尺寸:12mm防火钢化玻璃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5.拉手:常用不锈钢拉手450mm长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6.其他:门夹、地弹簧、顶轴（含安装、五金配件）</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G3栋</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010802001007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双开防火玻璃门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1.门代号及洞口尺寸:2000*2280mm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2.名称:双门防火玻璃平开门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3.门框、扇材质:黑色镜面不锈钢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4.玻璃规格、尺寸:12mm防火钢化玻璃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5.拉手:常用不锈钢拉手450mm长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6.其他:门夹、地弹簧、顶轴（含安装、五金配件）</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G4栋</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010802003007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单开防火玻璃门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1.门代号及洞口尺寸:1100*2280mm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2.名称:单门防火玻璃平开门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3.门框、扇材质:黑色镜面不锈钢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4.玻璃规格、尺寸:12mm防火钢化玻璃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5.拉手:常用不锈钢拉手450mm长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6.其他:门夹、地弹簧、顶轴（含安装、五金配件）</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010802003008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单开防火玻璃门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1.门代号及洞口尺寸:1200*2280mm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2.名称:单门防火玻璃平开门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3.门框、扇材质:黑色镜面不锈钢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4.玻璃规格、尺寸:12mm防火钢化玻璃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5.拉手:常用不锈钢拉手450mm长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6.其他:门夹、地弹簧、顶轴（含安装、五金配件）</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010802001024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双开防火玻璃门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1.门代号及洞口尺寸:1500*2280mm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2.名称:双门防火玻璃平开门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3.门框、扇材质:黑色镜面不锈钢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4.玻璃规格、尺寸:12mm防火钢化玻璃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5.拉手:常用不锈钢拉手450mm长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6.其他:门夹、地弹簧、顶轴（含安装、五金配件）</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010802001025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双开防火玻璃门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1.门代号及洞口尺寸:1500*2180mm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2.名称:双门防火玻璃平开门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3.门框、扇材质:黑色镜面不锈钢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4.玻璃规格、尺寸:12mm防火钢化玻璃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5.拉手:常用不锈钢拉手450mm长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6.其他:门夹、地弹簧、顶轴（含安装、五金配件）</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H1栋</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010802001026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双开防火玻璃门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1.门代号及洞口尺寸:1500*2280mm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2.名称:双门防火玻璃平开门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3.门框、扇材质:黑色镜面不锈钢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4.玻璃规格、尺寸:12mm防火钢化玻璃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5.拉手:常用不锈钢拉手450mm长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6.其他:门夹、地弹簧、顶轴（含安装、五金配件）</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H2栋</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010802001027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双开防火玻璃门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1.门代号及洞口尺寸:1500*2280mm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2.名称:双门防火玻璃平开门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3.门框、扇材质:黑色镜面不锈钢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4.玻璃规格、尺寸:12mm防火钢化玻璃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5.拉手:常用不锈钢拉手450mm长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6.其他:门夹、地弹簧、顶轴（含安装、五金配件）</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010802001012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金属(塑钢)门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1.门代号及洞口尺寸:3000*2080mm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2.门框或扇外围尺寸:黑色镜面不锈钢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3.玻璃品种、厚度:12mm防火钢化玻璃</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010802001029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金属(塑钢)门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1.门代号及洞口尺寸:2680*2080mm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2.门框或扇外围尺寸:黑色镜面不锈钢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3.玻璃品种、厚度:12mm防火钢化玻璃</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H3栋</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010802001028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双开防火玻璃门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1.门代号及洞口尺寸:1800*2280mm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2.名称:双门防火玻璃平开门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3.门框、扇材质:黑色镜面不锈钢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4.玻璃规格、尺寸:12mm防火钢化玻璃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5.拉手:常用不锈钢拉手450mm长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6.其他:门夹、地弹簧、顶轴（含安装、五金配件）</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010802001013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金属(塑钢)门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1.门代号及洞口尺寸:双门防火玻璃平开门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2.门框或扇外围尺寸:黑色镜面不锈钢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3.玻璃品种、厚度:12mm防火钢化玻璃</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平移电动玻璃门门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010805001001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自动门电机(双开)</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1.自动门电机(双开)</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2.门代号及洞口尺寸:4940*3580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3.参数设置:1)门扇重量:2*150KG 2)门扇宽度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:2600-5000mm 3)净空结构宽度:2600-5000mm 4)安装方式:表面安装5)电源电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压:AC220V 50HZ 6)开门运行速度:15-46cm/s(可调);7)开门运行速度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:13-46cm/s(可调);8)开放时间:0-20s(可调)9)手动推力:10)电机:DC24V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65W"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4.门框、扇材质:内焊铁樑外不锈钢包边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5.玻璃品种、厚度:钢玻璃10cm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6.其他:内含自动门电机(双开)</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樘</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010805001002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自动门电机(双开)</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1.自动门电机(双开)</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2.门代号及洞口尺寸:5940*3600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3.参数设置:1)门扇重量:2*150KG 2)门扇宽度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:2600-5000mm 3)净空结构宽度:2600-5000mm 4)安装方式:表面安装5)电源电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压:AC220V 50HZ 6)开门运行速度:15-46cm/s(可调);7)开门运行速度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:13-46cm/s(可调);8)开放时间:0-20s(可调)9)手动推力:10)电机:DC24V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65W"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4.门框、扇材质:内焊铁樑外不锈钢包边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5.玻璃品种、厚度:钢玻璃10cm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6.其他:内含自动门电机(双开)、重叠门配件</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樘</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010805001003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自动门电机(双开)</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1.自动门电机(双开)</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2.门代号及洞口尺寸:4940*3180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3.参数设置:1)门扇重量:2*150KG 2)门扇宽度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:2600-5000mm 3)净空结构宽度:2600-5000mm 4)安装方式:表面安装5)电源电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自动门电机(双开)</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压:AC220V 50HZ 6)开门运行速度:15-46cm/s(可调);7)开门运行速度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:13-46cm/s(可调);8)开放时间:0-20s(可调)9)手动推力:10)电机:DC24V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65W"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4.门框、扇材质:内焊铁樑外不锈钢包边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5.玻璃品种、厚度:钢玻璃10cm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6.其他:内含自动门电机(双开)</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樘</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拆除、修补</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011610001001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防火门拆除（单樘2.5m2内）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1.部位:A3、A4、A5栋；E2区B；B1、B2、D1、G2、G3栋；G4栋；E2区A塔；H1、H2、H3栋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2.拆除原有防火门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3.单樘尺寸2.5m2内</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4.需拆除原有门页、门框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5.运距:</w:t>
            </w:r>
            <w:r>
              <w:rPr>
                <w:rFonts w:hint="eastAsia"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0km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011610001005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防火门拆除（单樘2.5~4m2）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1.部位:A3、A4、A5栋；E2区B；B1、B2、D1、G2、G3栋；G4栋；E2区A塔；H1、H2、H3栋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2.拆除原有防火门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3.单樘尺寸2.5~4m2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4.需拆除原有门页、门框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5.运距:</w:t>
            </w:r>
            <w:r>
              <w:rPr>
                <w:rFonts w:hint="eastAsia"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0km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52.04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0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011610001002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防火门拆除（单樘大于4m2）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1.部位:A3、A4、A5栋；E2区B；B1、B2、D1、G2、G3栋；G4栋；E2区A塔；H1、H2、H3栋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2.拆除原有防火门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3.单樘尺寸超过4m2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4.需拆除原有门页、门框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5.运距:</w:t>
            </w:r>
            <w:r>
              <w:rPr>
                <w:rFonts w:hint="eastAsia"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0km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77.12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011610001003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玻璃门拆除（单樘大于4m2）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1.部位:G4栋一层；G4栋二层；G4栋二十层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2.原有玻璃门拆除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3.门窗尺寸超过4m2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4.需拆除原有玻璃门框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5.运距:</w:t>
            </w:r>
            <w:r>
              <w:rPr>
                <w:rFonts w:hint="eastAsia"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0km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54.78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011201001001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墙面一般抹灰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1.墙体类型:内墙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2.厚度、砂浆配合比:20厚M15水泥砂浆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3.部位:拆门后修补墙壁</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59.09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84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011102001001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石材楼地面</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1.名称:石材楼地面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2.工程部位:门洞处大理石修补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3.找平层厚度、砂浆配合比:基层：1:3水泥砂浆30mm厚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4.面层材料品种、规格、颜色:30mm厚大理石</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18.65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   计</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auto"/>
                <w:sz w:val="21"/>
                <w:szCs w:val="21"/>
                <w:highlight w:val="none"/>
                <w:u w:val="none"/>
              </w:rPr>
            </w:pPr>
          </w:p>
        </w:tc>
      </w:tr>
    </w:tbl>
    <w:p>
      <w:pPr>
        <w:spacing w:line="400" w:lineRule="exact"/>
        <w:rPr>
          <w:rFonts w:hAnsi="宋体"/>
          <w:color w:val="auto"/>
          <w:sz w:val="21"/>
          <w:szCs w:val="21"/>
          <w:highlight w:val="none"/>
        </w:rPr>
      </w:pPr>
      <w:r>
        <w:rPr>
          <w:rFonts w:hint="eastAsia" w:hAnsi="宋体"/>
          <w:color w:val="auto"/>
          <w:sz w:val="21"/>
          <w:szCs w:val="21"/>
          <w:highlight w:val="none"/>
        </w:rPr>
        <w:t>注：1.此表为报价总表的明细表，详细报价可另附页说明。</w:t>
      </w:r>
    </w:p>
    <w:p>
      <w:pPr>
        <w:spacing w:line="400" w:lineRule="exact"/>
        <w:ind w:firstLine="420" w:firstLineChars="200"/>
        <w:rPr>
          <w:rFonts w:hAnsi="宋体"/>
          <w:color w:val="auto"/>
          <w:sz w:val="21"/>
          <w:szCs w:val="21"/>
          <w:highlight w:val="none"/>
        </w:rPr>
      </w:pPr>
      <w:r>
        <w:rPr>
          <w:rFonts w:hint="eastAsia" w:hAnsi="宋体"/>
          <w:color w:val="auto"/>
          <w:sz w:val="21"/>
          <w:szCs w:val="21"/>
          <w:highlight w:val="none"/>
        </w:rPr>
        <w:t>2.如果单价和总价不符时，以单价为准，修正总价。</w:t>
      </w:r>
    </w:p>
    <w:p>
      <w:pPr>
        <w:spacing w:line="500" w:lineRule="exact"/>
        <w:rPr>
          <w:color w:val="auto"/>
          <w:spacing w:val="4"/>
          <w:highlight w:val="none"/>
        </w:rPr>
      </w:pPr>
    </w:p>
    <w:p>
      <w:pPr>
        <w:snapToGrid w:val="0"/>
        <w:spacing w:line="360" w:lineRule="auto"/>
        <w:rPr>
          <w:rFonts w:hAnsi="宋体"/>
          <w:color w:val="auto"/>
          <w:sz w:val="21"/>
          <w:szCs w:val="21"/>
          <w:highlight w:val="none"/>
        </w:rPr>
      </w:pPr>
    </w:p>
    <w:p>
      <w:pPr>
        <w:snapToGrid w:val="0"/>
        <w:spacing w:line="360" w:lineRule="auto"/>
        <w:rPr>
          <w:rFonts w:hAnsi="宋体"/>
          <w:color w:val="auto"/>
          <w:sz w:val="21"/>
          <w:szCs w:val="21"/>
          <w:highlight w:val="none"/>
        </w:rPr>
      </w:pPr>
      <w:r>
        <w:rPr>
          <w:rFonts w:hint="eastAsia" w:hAnsi="宋体"/>
          <w:color w:val="auto"/>
          <w:sz w:val="21"/>
          <w:szCs w:val="21"/>
          <w:highlight w:val="none"/>
        </w:rPr>
        <w:t>投标人名称（盖章）：</w:t>
      </w:r>
    </w:p>
    <w:p>
      <w:pPr>
        <w:snapToGrid w:val="0"/>
        <w:spacing w:line="360" w:lineRule="auto"/>
        <w:rPr>
          <w:rFonts w:hAnsi="宋体"/>
          <w:color w:val="auto"/>
          <w:sz w:val="21"/>
          <w:szCs w:val="21"/>
          <w:highlight w:val="none"/>
        </w:rPr>
      </w:pPr>
      <w:r>
        <w:rPr>
          <w:rFonts w:hint="eastAsia" w:hAnsi="宋体"/>
          <w:color w:val="auto"/>
          <w:sz w:val="21"/>
          <w:szCs w:val="21"/>
          <w:highlight w:val="none"/>
        </w:rPr>
        <w:t>投标人名称（盖章）：</w:t>
      </w:r>
    </w:p>
    <w:p>
      <w:pPr>
        <w:snapToGrid w:val="0"/>
        <w:spacing w:line="360" w:lineRule="auto"/>
        <w:rPr>
          <w:rFonts w:hAnsi="宋体"/>
          <w:color w:val="auto"/>
          <w:sz w:val="21"/>
          <w:szCs w:val="21"/>
          <w:highlight w:val="none"/>
        </w:rPr>
      </w:pPr>
      <w:r>
        <w:rPr>
          <w:rFonts w:hint="eastAsia" w:hAnsi="宋体"/>
          <w:color w:val="auto"/>
          <w:sz w:val="21"/>
          <w:szCs w:val="21"/>
          <w:highlight w:val="none"/>
        </w:rPr>
        <w:t>投标人法定代表人或其授权代表（签名或盖私章）：</w:t>
      </w:r>
    </w:p>
    <w:p>
      <w:pPr>
        <w:snapToGrid w:val="0"/>
        <w:spacing w:line="360" w:lineRule="auto"/>
        <w:rPr>
          <w:rFonts w:hAnsi="宋体"/>
          <w:color w:val="auto"/>
          <w:sz w:val="21"/>
          <w:szCs w:val="21"/>
          <w:highlight w:val="none"/>
        </w:rPr>
      </w:pPr>
      <w:r>
        <w:rPr>
          <w:rFonts w:hint="eastAsia" w:hAnsi="宋体"/>
          <w:color w:val="auto"/>
          <w:sz w:val="21"/>
          <w:szCs w:val="21"/>
          <w:highlight w:val="none"/>
        </w:rPr>
        <w:t>日期：</w:t>
      </w:r>
    </w:p>
    <w:p>
      <w:pPr>
        <w:rPr>
          <w:rFonts w:hAnsi="宋体" w:cs="宋体"/>
          <w:color w:val="auto"/>
          <w:highlight w:val="none"/>
        </w:rPr>
      </w:pPr>
      <w:r>
        <w:rPr>
          <w:rFonts w:hint="eastAsia" w:hAnsi="宋体"/>
          <w:color w:val="auto"/>
          <w:sz w:val="21"/>
          <w:szCs w:val="21"/>
          <w:highlight w:val="none"/>
        </w:rPr>
        <w:br w:type="page"/>
      </w:r>
    </w:p>
    <w:p>
      <w:pPr>
        <w:pStyle w:val="8"/>
        <w:numPr>
          <w:ilvl w:val="0"/>
          <w:numId w:val="26"/>
        </w:numPr>
        <w:overflowPunct w:val="0"/>
        <w:spacing w:before="0" w:after="0" w:line="240" w:lineRule="auto"/>
        <w:rPr>
          <w:rFonts w:ascii="宋体" w:hAnsi="宋体" w:eastAsia="宋体" w:cs="宋体"/>
          <w:color w:val="auto"/>
          <w:highlight w:val="none"/>
        </w:rPr>
      </w:pPr>
      <w:r>
        <w:rPr>
          <w:rFonts w:hint="eastAsia" w:ascii="宋体" w:hAnsi="宋体" w:eastAsia="宋体" w:cs="宋体"/>
          <w:color w:val="auto"/>
          <w:sz w:val="32"/>
          <w:szCs w:val="32"/>
          <w:highlight w:val="none"/>
        </w:rPr>
        <w:t>商务文件</w:t>
      </w:r>
    </w:p>
    <w:bookmarkEnd w:id="72"/>
    <w:p>
      <w:pPr>
        <w:pStyle w:val="8"/>
        <w:numPr>
          <w:ilvl w:val="0"/>
          <w:numId w:val="28"/>
        </w:numPr>
        <w:jc w:val="center"/>
        <w:rPr>
          <w:rFonts w:ascii="宋体" w:hAnsi="宋体" w:eastAsia="宋体" w:cs="宋体"/>
          <w:color w:val="auto"/>
          <w:highlight w:val="none"/>
        </w:rPr>
      </w:pPr>
      <w:r>
        <w:rPr>
          <w:rFonts w:hint="eastAsia" w:ascii="宋体" w:hAnsi="宋体" w:eastAsia="宋体" w:cs="宋体"/>
          <w:color w:val="auto"/>
          <w:highlight w:val="none"/>
        </w:rPr>
        <w:t>投标函</w:t>
      </w:r>
    </w:p>
    <w:p>
      <w:pPr>
        <w:spacing w:line="360" w:lineRule="auto"/>
        <w:rPr>
          <w:rFonts w:hAnsi="宋体" w:cs="宋体"/>
          <w:color w:val="auto"/>
          <w:sz w:val="21"/>
          <w:szCs w:val="21"/>
          <w:highlight w:val="none"/>
        </w:rPr>
      </w:pPr>
      <w:r>
        <w:rPr>
          <w:rFonts w:hint="eastAsia" w:hAnsi="宋体" w:cs="宋体"/>
          <w:color w:val="auto"/>
          <w:sz w:val="21"/>
          <w:szCs w:val="21"/>
          <w:highlight w:val="none"/>
        </w:rPr>
        <w:t>致：广东泰通伟业工程咨询有限公司</w:t>
      </w:r>
    </w:p>
    <w:p>
      <w:pPr>
        <w:spacing w:line="360" w:lineRule="auto"/>
        <w:ind w:left="120" w:leftChars="50" w:firstLine="373" w:firstLineChars="178"/>
        <w:rPr>
          <w:rFonts w:hAnsi="宋体"/>
          <w:color w:val="auto"/>
          <w:sz w:val="21"/>
          <w:szCs w:val="21"/>
          <w:highlight w:val="none"/>
        </w:rPr>
      </w:pPr>
      <w:r>
        <w:rPr>
          <w:rFonts w:hint="eastAsia" w:hAnsi="宋体"/>
          <w:color w:val="auto"/>
          <w:sz w:val="21"/>
          <w:szCs w:val="21"/>
          <w:highlight w:val="none"/>
        </w:rPr>
        <w:t>我方确认收到贵方</w:t>
      </w:r>
      <w:r>
        <w:rPr>
          <w:rFonts w:hint="eastAsia" w:hAnsi="宋体"/>
          <w:color w:val="auto"/>
          <w:kern w:val="28"/>
          <w:sz w:val="21"/>
          <w:szCs w:val="21"/>
          <w:highlight w:val="none"/>
          <w:u w:val="single"/>
        </w:rPr>
        <w:t xml:space="preserve">      （项目名称）  </w:t>
      </w:r>
      <w:r>
        <w:rPr>
          <w:rFonts w:hint="eastAsia" w:hAnsi="宋体"/>
          <w:color w:val="auto"/>
          <w:sz w:val="21"/>
          <w:szCs w:val="21"/>
          <w:highlight w:val="none"/>
        </w:rPr>
        <w:t>的采购文件（项目编号：</w:t>
      </w:r>
      <w:r>
        <w:rPr>
          <w:rFonts w:hint="eastAsia" w:hAnsi="宋体"/>
          <w:color w:val="auto"/>
          <w:sz w:val="21"/>
          <w:szCs w:val="21"/>
          <w:highlight w:val="none"/>
          <w:u w:val="single"/>
        </w:rPr>
        <w:t xml:space="preserve">  </w:t>
      </w:r>
      <w:r>
        <w:rPr>
          <w:rFonts w:hint="eastAsia" w:hAnsi="宋体"/>
          <w:color w:val="auto"/>
          <w:sz w:val="21"/>
          <w:szCs w:val="21"/>
          <w:highlight w:val="none"/>
        </w:rPr>
        <w:t>），</w:t>
      </w:r>
      <w:r>
        <w:rPr>
          <w:rFonts w:hint="eastAsia" w:hAnsi="宋体"/>
          <w:color w:val="auto"/>
          <w:sz w:val="21"/>
          <w:szCs w:val="21"/>
          <w:highlight w:val="none"/>
          <w:u w:val="single"/>
        </w:rPr>
        <w:t xml:space="preserve"> (投标人名称、地址)。</w:t>
      </w:r>
      <w:r>
        <w:rPr>
          <w:rFonts w:hint="eastAsia" w:hAnsi="宋体"/>
          <w:color w:val="auto"/>
          <w:sz w:val="21"/>
          <w:szCs w:val="21"/>
          <w:highlight w:val="none"/>
        </w:rPr>
        <w:t>作为投标人已正式授权《法定代表人授权委托书》中的授权代表或法定代表人为我方签名代表，签名代表在此声明并同意：</w:t>
      </w:r>
    </w:p>
    <w:p>
      <w:pPr>
        <w:numPr>
          <w:ilvl w:val="0"/>
          <w:numId w:val="29"/>
        </w:numPr>
        <w:tabs>
          <w:tab w:val="clear" w:pos="780"/>
        </w:tabs>
        <w:snapToGrid w:val="0"/>
        <w:spacing w:line="360" w:lineRule="auto"/>
        <w:ind w:left="426"/>
        <w:rPr>
          <w:rFonts w:hAnsi="宋体"/>
          <w:color w:val="auto"/>
          <w:sz w:val="21"/>
          <w:szCs w:val="21"/>
          <w:highlight w:val="none"/>
        </w:rPr>
      </w:pPr>
      <w:r>
        <w:rPr>
          <w:rFonts w:hint="eastAsia" w:hAnsi="宋体"/>
          <w:color w:val="auto"/>
          <w:sz w:val="21"/>
          <w:szCs w:val="21"/>
          <w:highlight w:val="none"/>
        </w:rPr>
        <w:t>我们愿意遵守采购代理机构采购文件的各项规定，自愿参加投标，并已清楚采购文件的要求及有关文件规定，并严格按照采购文件的规定履行全部责任和义务。</w:t>
      </w:r>
    </w:p>
    <w:p>
      <w:pPr>
        <w:numPr>
          <w:ilvl w:val="0"/>
          <w:numId w:val="29"/>
        </w:numPr>
        <w:tabs>
          <w:tab w:val="clear" w:pos="780"/>
        </w:tabs>
        <w:snapToGrid w:val="0"/>
        <w:spacing w:line="360" w:lineRule="auto"/>
        <w:ind w:left="426"/>
        <w:rPr>
          <w:rFonts w:hAnsi="宋体"/>
          <w:color w:val="auto"/>
          <w:sz w:val="21"/>
          <w:szCs w:val="21"/>
          <w:highlight w:val="none"/>
        </w:rPr>
      </w:pPr>
      <w:r>
        <w:rPr>
          <w:rFonts w:hint="eastAsia" w:hAnsi="宋体"/>
          <w:color w:val="auto"/>
          <w:sz w:val="21"/>
          <w:szCs w:val="21"/>
          <w:highlight w:val="none"/>
        </w:rPr>
        <w:t>我们同意本投标文件的投标有效期从提交投标文件的截止之日起</w:t>
      </w:r>
      <w:r>
        <w:rPr>
          <w:rFonts w:hint="eastAsia" w:hAnsi="宋体"/>
          <w:bCs/>
          <w:color w:val="auto"/>
          <w:sz w:val="21"/>
          <w:szCs w:val="21"/>
          <w:highlight w:val="none"/>
          <w:u w:val="single"/>
        </w:rPr>
        <w:t>90</w:t>
      </w:r>
      <w:r>
        <w:rPr>
          <w:rFonts w:hint="eastAsia" w:hAnsi="宋体"/>
          <w:bCs/>
          <w:color w:val="auto"/>
          <w:sz w:val="21"/>
          <w:szCs w:val="21"/>
          <w:highlight w:val="none"/>
        </w:rPr>
        <w:t>日历日内有效</w:t>
      </w:r>
      <w:r>
        <w:rPr>
          <w:rFonts w:hint="eastAsia" w:hAnsi="宋体"/>
          <w:color w:val="auto"/>
          <w:sz w:val="21"/>
          <w:szCs w:val="21"/>
          <w:highlight w:val="none"/>
        </w:rPr>
        <w:t>。</w:t>
      </w:r>
    </w:p>
    <w:p>
      <w:pPr>
        <w:numPr>
          <w:ilvl w:val="0"/>
          <w:numId w:val="29"/>
        </w:numPr>
        <w:tabs>
          <w:tab w:val="clear" w:pos="780"/>
        </w:tabs>
        <w:snapToGrid w:val="0"/>
        <w:spacing w:line="360" w:lineRule="auto"/>
        <w:ind w:left="426"/>
        <w:rPr>
          <w:rFonts w:hAnsi="宋体"/>
          <w:color w:val="auto"/>
          <w:sz w:val="21"/>
          <w:szCs w:val="21"/>
          <w:highlight w:val="none"/>
        </w:rPr>
      </w:pPr>
      <w:r>
        <w:rPr>
          <w:rFonts w:hint="eastAsia" w:hAnsi="宋体"/>
          <w:color w:val="auto"/>
          <w:sz w:val="21"/>
          <w:szCs w:val="21"/>
          <w:highlight w:val="none"/>
        </w:rPr>
        <w:t>我们承诺从本项目投标截止时间起，本投标始终有效且不予撤销已递交的投标文件。</w:t>
      </w:r>
    </w:p>
    <w:p>
      <w:pPr>
        <w:numPr>
          <w:ilvl w:val="0"/>
          <w:numId w:val="29"/>
        </w:numPr>
        <w:tabs>
          <w:tab w:val="clear" w:pos="780"/>
        </w:tabs>
        <w:snapToGrid w:val="0"/>
        <w:spacing w:line="360" w:lineRule="auto"/>
        <w:ind w:left="426"/>
        <w:rPr>
          <w:rFonts w:hAnsi="宋体"/>
          <w:color w:val="auto"/>
          <w:sz w:val="21"/>
          <w:szCs w:val="21"/>
          <w:highlight w:val="none"/>
        </w:rPr>
      </w:pPr>
      <w:r>
        <w:rPr>
          <w:rFonts w:hint="eastAsia" w:hAnsi="宋体"/>
          <w:color w:val="auto"/>
          <w:sz w:val="21"/>
          <w:szCs w:val="21"/>
          <w:highlight w:val="none"/>
        </w:rPr>
        <w:t>我们已经详细地阅读并完全明白了全部采购文件及附件，包括澄清（如有）及参考文件，我们完全理解本采购文件的要求，我们同意放弃对采购文件提出不明或误解的一切权力。</w:t>
      </w:r>
    </w:p>
    <w:p>
      <w:pPr>
        <w:numPr>
          <w:ilvl w:val="0"/>
          <w:numId w:val="29"/>
        </w:numPr>
        <w:tabs>
          <w:tab w:val="clear" w:pos="780"/>
        </w:tabs>
        <w:snapToGrid w:val="0"/>
        <w:spacing w:line="360" w:lineRule="auto"/>
        <w:ind w:left="426"/>
        <w:rPr>
          <w:rFonts w:hAnsi="宋体"/>
          <w:color w:val="auto"/>
          <w:sz w:val="21"/>
          <w:szCs w:val="21"/>
          <w:highlight w:val="none"/>
        </w:rPr>
      </w:pPr>
      <w:r>
        <w:rPr>
          <w:rFonts w:hint="eastAsia" w:hAnsi="宋体"/>
          <w:color w:val="auto"/>
          <w:sz w:val="21"/>
          <w:szCs w:val="21"/>
          <w:highlight w:val="none"/>
        </w:rPr>
        <w:t>我们同意提供</w:t>
      </w:r>
      <w:r>
        <w:rPr>
          <w:rFonts w:hint="eastAsia" w:hAnsi="宋体" w:cs="宋体"/>
          <w:color w:val="auto"/>
          <w:sz w:val="21"/>
          <w:szCs w:val="21"/>
          <w:highlight w:val="none"/>
        </w:rPr>
        <w:t>采购人</w:t>
      </w:r>
      <w:r>
        <w:rPr>
          <w:rFonts w:hint="eastAsia" w:hAnsi="宋体" w:cs="宋体"/>
          <w:color w:val="auto"/>
          <w:sz w:val="21"/>
          <w:szCs w:val="21"/>
          <w:highlight w:val="none"/>
          <w:lang w:eastAsia="zh-TW"/>
        </w:rPr>
        <w:t>或者</w:t>
      </w:r>
      <w:r>
        <w:rPr>
          <w:rFonts w:hint="eastAsia" w:hAnsi="宋体" w:cs="宋体"/>
          <w:color w:val="auto"/>
          <w:sz w:val="21"/>
          <w:szCs w:val="21"/>
          <w:highlight w:val="none"/>
        </w:rPr>
        <w:t>采购代理机构</w:t>
      </w:r>
      <w:r>
        <w:rPr>
          <w:rFonts w:hint="eastAsia" w:hAnsi="宋体"/>
          <w:color w:val="auto"/>
          <w:sz w:val="21"/>
          <w:szCs w:val="21"/>
          <w:highlight w:val="none"/>
        </w:rPr>
        <w:t>与评标委员会要求的有关投标的一切数据或资料。</w:t>
      </w:r>
    </w:p>
    <w:p>
      <w:pPr>
        <w:numPr>
          <w:ilvl w:val="0"/>
          <w:numId w:val="29"/>
        </w:numPr>
        <w:tabs>
          <w:tab w:val="clear" w:pos="780"/>
        </w:tabs>
        <w:snapToGrid w:val="0"/>
        <w:spacing w:line="360" w:lineRule="auto"/>
        <w:ind w:left="426"/>
        <w:rPr>
          <w:rFonts w:hAnsi="宋体"/>
          <w:color w:val="auto"/>
          <w:sz w:val="21"/>
          <w:szCs w:val="21"/>
          <w:highlight w:val="none"/>
        </w:rPr>
      </w:pPr>
      <w:r>
        <w:rPr>
          <w:rFonts w:hint="eastAsia" w:hAnsi="宋体"/>
          <w:color w:val="auto"/>
          <w:sz w:val="21"/>
          <w:szCs w:val="21"/>
          <w:highlight w:val="none"/>
        </w:rPr>
        <w:t xml:space="preserve">如果我们未对采购文件全部要求作出实质性响应，则完全同意并接受按无效投标处理。 </w:t>
      </w:r>
    </w:p>
    <w:p>
      <w:pPr>
        <w:numPr>
          <w:ilvl w:val="0"/>
          <w:numId w:val="29"/>
        </w:numPr>
        <w:tabs>
          <w:tab w:val="clear" w:pos="780"/>
        </w:tabs>
        <w:snapToGrid w:val="0"/>
        <w:spacing w:line="360" w:lineRule="auto"/>
        <w:ind w:left="426"/>
        <w:rPr>
          <w:rFonts w:hAnsi="宋体"/>
          <w:color w:val="auto"/>
          <w:sz w:val="21"/>
          <w:szCs w:val="21"/>
          <w:highlight w:val="none"/>
        </w:rPr>
      </w:pPr>
      <w:r>
        <w:rPr>
          <w:rFonts w:hint="eastAsia" w:hAnsi="宋体"/>
          <w:color w:val="auto"/>
          <w:sz w:val="21"/>
          <w:szCs w:val="21"/>
          <w:highlight w:val="none"/>
        </w:rPr>
        <w:t>我们证明提交的一切文件，无论是原件还是复印件均为准确、真实、有效、完整的，绝无任何虚假、伪造或者夸大。我们在此郑重承诺：在本次采购活动中，如有违法、违规、弄虚作假行为，所造成的损失、不良后果及法律责任，一律由我公司（企业）承担。</w:t>
      </w:r>
    </w:p>
    <w:p>
      <w:pPr>
        <w:numPr>
          <w:ilvl w:val="0"/>
          <w:numId w:val="29"/>
        </w:numPr>
        <w:tabs>
          <w:tab w:val="clear" w:pos="780"/>
        </w:tabs>
        <w:snapToGrid w:val="0"/>
        <w:spacing w:line="360" w:lineRule="auto"/>
        <w:ind w:left="426"/>
        <w:rPr>
          <w:rFonts w:hAnsi="宋体"/>
          <w:color w:val="auto"/>
          <w:sz w:val="21"/>
          <w:szCs w:val="21"/>
          <w:highlight w:val="none"/>
        </w:rPr>
      </w:pPr>
      <w:r>
        <w:rPr>
          <w:rFonts w:hint="eastAsia" w:hAnsi="宋体"/>
          <w:color w:val="auto"/>
          <w:sz w:val="21"/>
          <w:szCs w:val="21"/>
          <w:highlight w:val="none"/>
        </w:rPr>
        <w:t>如果我们提供的声明或承诺不真实，则完全同意认定为我司提供虚假材料，并同意作相应处理。</w:t>
      </w:r>
    </w:p>
    <w:p>
      <w:pPr>
        <w:numPr>
          <w:ilvl w:val="0"/>
          <w:numId w:val="29"/>
        </w:numPr>
        <w:tabs>
          <w:tab w:val="clear" w:pos="780"/>
        </w:tabs>
        <w:snapToGrid w:val="0"/>
        <w:spacing w:line="360" w:lineRule="auto"/>
        <w:ind w:left="426"/>
        <w:rPr>
          <w:rFonts w:hAnsi="宋体"/>
          <w:color w:val="auto"/>
          <w:sz w:val="21"/>
          <w:szCs w:val="21"/>
          <w:highlight w:val="none"/>
        </w:rPr>
      </w:pPr>
      <w:r>
        <w:rPr>
          <w:rFonts w:hint="eastAsia" w:hAnsi="宋体"/>
          <w:color w:val="auto"/>
          <w:sz w:val="21"/>
          <w:szCs w:val="21"/>
          <w:highlight w:val="none"/>
        </w:rPr>
        <w:t>我们是依法注册的法人，在法律、财务及运作上完全独立于本项目采购人、用户单位（如有）和采购代理机构。</w:t>
      </w:r>
    </w:p>
    <w:p>
      <w:pPr>
        <w:numPr>
          <w:ilvl w:val="0"/>
          <w:numId w:val="29"/>
        </w:numPr>
        <w:tabs>
          <w:tab w:val="clear" w:pos="780"/>
        </w:tabs>
        <w:snapToGrid w:val="0"/>
        <w:spacing w:line="360" w:lineRule="auto"/>
        <w:ind w:left="426"/>
        <w:rPr>
          <w:rFonts w:hAnsi="宋体"/>
          <w:color w:val="auto"/>
          <w:sz w:val="21"/>
          <w:szCs w:val="21"/>
          <w:highlight w:val="none"/>
        </w:rPr>
      </w:pPr>
      <w:r>
        <w:rPr>
          <w:rFonts w:hint="eastAsia" w:hAnsi="宋体"/>
          <w:color w:val="auto"/>
          <w:sz w:val="21"/>
          <w:szCs w:val="21"/>
          <w:highlight w:val="none"/>
        </w:rPr>
        <w:t>与本投标有关的一切正式信函请寄以下地址：</w:t>
      </w:r>
      <w:r>
        <w:rPr>
          <w:rFonts w:hint="eastAsia" w:hAnsi="宋体"/>
          <w:color w:val="auto"/>
          <w:sz w:val="21"/>
          <w:szCs w:val="21"/>
          <w:highlight w:val="none"/>
          <w:u w:val="single"/>
        </w:rPr>
        <w:t xml:space="preserve">                 </w:t>
      </w:r>
    </w:p>
    <w:p>
      <w:pPr>
        <w:spacing w:line="360" w:lineRule="auto"/>
        <w:ind w:left="420"/>
        <w:rPr>
          <w:rFonts w:hAnsi="宋体"/>
          <w:color w:val="auto"/>
          <w:spacing w:val="4"/>
          <w:sz w:val="21"/>
          <w:szCs w:val="21"/>
          <w:highlight w:val="none"/>
        </w:rPr>
      </w:pPr>
      <w:r>
        <w:rPr>
          <w:rFonts w:hint="eastAsia" w:hAnsi="宋体"/>
          <w:color w:val="auto"/>
          <w:spacing w:val="4"/>
          <w:sz w:val="21"/>
          <w:szCs w:val="21"/>
          <w:highlight w:val="none"/>
        </w:rPr>
        <w:t>电话：                         传真：</w:t>
      </w:r>
    </w:p>
    <w:p>
      <w:pPr>
        <w:spacing w:line="360" w:lineRule="auto"/>
        <w:ind w:left="420"/>
        <w:rPr>
          <w:rFonts w:hAnsi="宋体"/>
          <w:color w:val="auto"/>
          <w:spacing w:val="4"/>
          <w:sz w:val="21"/>
          <w:szCs w:val="21"/>
          <w:highlight w:val="none"/>
        </w:rPr>
      </w:pPr>
      <w:r>
        <w:rPr>
          <w:rFonts w:hint="eastAsia" w:hAnsi="宋体"/>
          <w:color w:val="auto"/>
          <w:spacing w:val="4"/>
          <w:sz w:val="21"/>
          <w:szCs w:val="21"/>
          <w:highlight w:val="none"/>
        </w:rPr>
        <w:t>手机：                         邮箱：</w:t>
      </w:r>
    </w:p>
    <w:p>
      <w:pPr>
        <w:spacing w:line="360" w:lineRule="auto"/>
        <w:ind w:left="420"/>
        <w:rPr>
          <w:rFonts w:hAnsi="宋体"/>
          <w:color w:val="auto"/>
          <w:spacing w:val="4"/>
          <w:sz w:val="21"/>
          <w:szCs w:val="21"/>
          <w:highlight w:val="none"/>
        </w:rPr>
      </w:pPr>
      <w:r>
        <w:rPr>
          <w:rFonts w:hint="eastAsia" w:hAnsi="宋体"/>
          <w:color w:val="auto"/>
          <w:spacing w:val="4"/>
          <w:sz w:val="21"/>
          <w:szCs w:val="21"/>
          <w:highlight w:val="none"/>
        </w:rPr>
        <w:t>地址：</w:t>
      </w:r>
    </w:p>
    <w:p>
      <w:pPr>
        <w:spacing w:line="360" w:lineRule="auto"/>
        <w:ind w:left="420"/>
        <w:rPr>
          <w:rFonts w:hAnsi="宋体"/>
          <w:color w:val="auto"/>
          <w:spacing w:val="4"/>
          <w:sz w:val="21"/>
          <w:szCs w:val="21"/>
          <w:highlight w:val="none"/>
        </w:rPr>
      </w:pPr>
      <w:r>
        <w:rPr>
          <w:rFonts w:hint="eastAsia" w:hAnsi="宋体"/>
          <w:color w:val="auto"/>
          <w:spacing w:val="4"/>
          <w:sz w:val="21"/>
          <w:szCs w:val="21"/>
          <w:highlight w:val="none"/>
        </w:rPr>
        <w:t>日期：</w:t>
      </w:r>
    </w:p>
    <w:p>
      <w:pPr>
        <w:spacing w:line="360" w:lineRule="auto"/>
        <w:ind w:left="420"/>
        <w:rPr>
          <w:rFonts w:hAnsi="宋体"/>
          <w:color w:val="auto"/>
          <w:spacing w:val="4"/>
          <w:sz w:val="21"/>
          <w:szCs w:val="21"/>
          <w:highlight w:val="none"/>
        </w:rPr>
      </w:pPr>
      <w:r>
        <w:rPr>
          <w:rFonts w:hint="eastAsia" w:hAnsi="宋体"/>
          <w:color w:val="auto"/>
          <w:spacing w:val="4"/>
          <w:sz w:val="21"/>
          <w:szCs w:val="21"/>
          <w:highlight w:val="none"/>
        </w:rPr>
        <w:t xml:space="preserve">投标人名称（盖章）：                       </w:t>
      </w:r>
    </w:p>
    <w:p>
      <w:pPr>
        <w:spacing w:line="360" w:lineRule="auto"/>
        <w:ind w:left="420"/>
        <w:rPr>
          <w:rFonts w:hAnsi="宋体"/>
          <w:color w:val="auto"/>
          <w:spacing w:val="4"/>
          <w:sz w:val="21"/>
          <w:szCs w:val="21"/>
          <w:highlight w:val="none"/>
        </w:rPr>
      </w:pPr>
      <w:r>
        <w:rPr>
          <w:rFonts w:hint="eastAsia" w:hAnsi="宋体"/>
          <w:color w:val="auto"/>
          <w:spacing w:val="4"/>
          <w:sz w:val="21"/>
          <w:szCs w:val="21"/>
          <w:highlight w:val="none"/>
        </w:rPr>
        <w:t>法定代表人或委托代理人 (签名或盖私章):</w:t>
      </w:r>
    </w:p>
    <w:p>
      <w:pPr>
        <w:spacing w:line="360" w:lineRule="auto"/>
        <w:ind w:left="420" w:firstLine="6"/>
        <w:rPr>
          <w:rFonts w:hAnsi="宋体"/>
          <w:color w:val="auto"/>
          <w:sz w:val="21"/>
          <w:szCs w:val="21"/>
          <w:highlight w:val="none"/>
        </w:rPr>
      </w:pPr>
    </w:p>
    <w:p>
      <w:pPr>
        <w:spacing w:line="360" w:lineRule="auto"/>
        <w:ind w:left="420" w:firstLine="6"/>
        <w:rPr>
          <w:rFonts w:hAnsi="宋体"/>
          <w:color w:val="auto"/>
          <w:sz w:val="21"/>
          <w:szCs w:val="21"/>
          <w:highlight w:val="none"/>
        </w:rPr>
      </w:pPr>
      <w:r>
        <w:rPr>
          <w:rFonts w:hint="eastAsia" w:hAnsi="宋体"/>
          <w:color w:val="auto"/>
          <w:sz w:val="21"/>
          <w:szCs w:val="21"/>
          <w:highlight w:val="none"/>
        </w:rPr>
        <w:t>备注：投标函中承诺的投标有效期应当不少于采购文件中载明的投标有效期，其他内容不得擅自删改，否则视为无效投标。</w:t>
      </w:r>
    </w:p>
    <w:p>
      <w:pPr>
        <w:rPr>
          <w:color w:val="auto"/>
          <w:highlight w:val="none"/>
        </w:rPr>
      </w:pPr>
    </w:p>
    <w:p>
      <w:pPr>
        <w:pStyle w:val="8"/>
        <w:widowControl/>
        <w:numPr>
          <w:ilvl w:val="0"/>
          <w:numId w:val="28"/>
        </w:numPr>
        <w:spacing w:before="0" w:after="0" w:line="240" w:lineRule="auto"/>
        <w:jc w:val="center"/>
        <w:rPr>
          <w:rFonts w:ascii="宋体" w:hAnsi="宋体" w:eastAsia="宋体" w:cs="宋体"/>
          <w:color w:val="auto"/>
          <w:sz w:val="24"/>
          <w:szCs w:val="24"/>
          <w:highlight w:val="none"/>
        </w:rPr>
      </w:pPr>
      <w:r>
        <w:rPr>
          <w:rFonts w:hint="eastAsia" w:ascii="宋体" w:hAnsi="宋体" w:eastAsia="宋体" w:cs="宋体"/>
          <w:color w:val="auto"/>
          <w:highlight w:val="none"/>
        </w:rPr>
        <w:t>法定代表人证明书</w:t>
      </w:r>
    </w:p>
    <w:p>
      <w:pPr>
        <w:rPr>
          <w:rFonts w:hAnsi="宋体" w:cs="宋体"/>
          <w:color w:val="auto"/>
          <w:highlight w:val="none"/>
        </w:rPr>
      </w:pPr>
    </w:p>
    <w:p>
      <w:pPr>
        <w:pStyle w:val="66"/>
        <w:spacing w:line="420" w:lineRule="atLeast"/>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致：广东泰通伟业工程咨询有限公司</w:t>
      </w:r>
    </w:p>
    <w:p>
      <w:pPr>
        <w:pStyle w:val="66"/>
        <w:spacing w:line="420" w:lineRule="atLeast"/>
        <w:ind w:firstLine="433"/>
        <w:rPr>
          <w:rFonts w:ascii="宋体" w:eastAsia="宋体" w:cs="宋体"/>
          <w:color w:val="auto"/>
          <w:sz w:val="21"/>
          <w:szCs w:val="21"/>
          <w:highlight w:val="none"/>
        </w:rPr>
      </w:pPr>
    </w:p>
    <w:p>
      <w:pPr>
        <w:pStyle w:val="66"/>
        <w:spacing w:line="420" w:lineRule="atLeast"/>
        <w:ind w:firstLine="433"/>
        <w:rPr>
          <w:rFonts w:ascii="宋体" w:eastAsia="宋体" w:cs="宋体"/>
          <w:color w:val="auto"/>
          <w:sz w:val="21"/>
          <w:szCs w:val="21"/>
          <w:highlight w:val="none"/>
          <w:u w:val="single"/>
        </w:rPr>
      </w:pPr>
      <w:r>
        <w:rPr>
          <w:rFonts w:hint="eastAsia" w:ascii="宋体" w:eastAsia="宋体" w:cs="宋体"/>
          <w:color w:val="auto"/>
          <w:sz w:val="21"/>
          <w:szCs w:val="21"/>
          <w:highlight w:val="none"/>
        </w:rPr>
        <w:t>投标人名称:</w:t>
      </w:r>
    </w:p>
    <w:p>
      <w:pPr>
        <w:pStyle w:val="66"/>
        <w:spacing w:line="420" w:lineRule="atLeast"/>
        <w:ind w:firstLine="433"/>
        <w:rPr>
          <w:rFonts w:ascii="宋体" w:eastAsia="宋体" w:cs="宋体"/>
          <w:color w:val="auto"/>
          <w:sz w:val="21"/>
          <w:szCs w:val="21"/>
          <w:highlight w:val="none"/>
          <w:u w:val="single"/>
        </w:rPr>
      </w:pPr>
      <w:r>
        <w:rPr>
          <w:rFonts w:hint="eastAsia" w:ascii="宋体" w:eastAsia="宋体" w:cs="宋体"/>
          <w:color w:val="auto"/>
          <w:sz w:val="21"/>
          <w:szCs w:val="21"/>
          <w:highlight w:val="none"/>
        </w:rPr>
        <w:t>单 位 性质：</w:t>
      </w:r>
    </w:p>
    <w:p>
      <w:pPr>
        <w:pStyle w:val="66"/>
        <w:spacing w:line="420" w:lineRule="atLeast"/>
        <w:ind w:firstLine="433"/>
        <w:rPr>
          <w:rFonts w:ascii="宋体" w:eastAsia="宋体" w:cs="宋体"/>
          <w:color w:val="auto"/>
          <w:sz w:val="21"/>
          <w:szCs w:val="21"/>
          <w:highlight w:val="none"/>
          <w:u w:val="single"/>
        </w:rPr>
      </w:pPr>
      <w:r>
        <w:rPr>
          <w:rFonts w:hint="eastAsia" w:ascii="宋体" w:eastAsia="宋体" w:cs="宋体"/>
          <w:color w:val="auto"/>
          <w:sz w:val="21"/>
          <w:szCs w:val="21"/>
          <w:highlight w:val="none"/>
        </w:rPr>
        <w:t>地      址：</w:t>
      </w:r>
    </w:p>
    <w:p>
      <w:pPr>
        <w:pStyle w:val="66"/>
        <w:spacing w:line="420" w:lineRule="atLeast"/>
        <w:ind w:firstLine="433"/>
        <w:rPr>
          <w:rFonts w:ascii="宋体" w:eastAsia="宋体" w:cs="宋体"/>
          <w:color w:val="auto"/>
          <w:sz w:val="21"/>
          <w:szCs w:val="21"/>
          <w:highlight w:val="none"/>
        </w:rPr>
      </w:pPr>
      <w:r>
        <w:rPr>
          <w:rFonts w:hint="eastAsia" w:ascii="宋体" w:eastAsia="宋体" w:cs="宋体"/>
          <w:color w:val="auto"/>
          <w:sz w:val="21"/>
          <w:szCs w:val="21"/>
          <w:highlight w:val="none"/>
        </w:rPr>
        <w:t>成 立 时间：</w:t>
      </w:r>
      <w:r>
        <w:rPr>
          <w:rFonts w:hint="eastAsia" w:ascii="宋体" w:eastAsia="宋体" w:cs="宋体"/>
          <w:color w:val="auto"/>
          <w:sz w:val="21"/>
          <w:szCs w:val="21"/>
          <w:highlight w:val="none"/>
          <w:u w:val="single"/>
        </w:rPr>
        <w:t xml:space="preserve">           </w:t>
      </w:r>
      <w:r>
        <w:rPr>
          <w:rFonts w:hint="eastAsia" w:ascii="宋体" w:eastAsia="宋体" w:cs="宋体"/>
          <w:color w:val="auto"/>
          <w:sz w:val="21"/>
          <w:szCs w:val="21"/>
          <w:highlight w:val="none"/>
        </w:rPr>
        <w:t>年</w:t>
      </w:r>
      <w:r>
        <w:rPr>
          <w:rFonts w:hint="eastAsia" w:ascii="宋体" w:eastAsia="宋体" w:cs="宋体"/>
          <w:color w:val="auto"/>
          <w:sz w:val="21"/>
          <w:szCs w:val="21"/>
          <w:highlight w:val="none"/>
          <w:u w:val="single"/>
        </w:rPr>
        <w:t xml:space="preserve">           </w:t>
      </w:r>
      <w:r>
        <w:rPr>
          <w:rFonts w:hint="eastAsia" w:ascii="宋体" w:eastAsia="宋体" w:cs="宋体"/>
          <w:color w:val="auto"/>
          <w:sz w:val="21"/>
          <w:szCs w:val="21"/>
          <w:highlight w:val="none"/>
        </w:rPr>
        <w:t>月</w:t>
      </w:r>
      <w:r>
        <w:rPr>
          <w:rFonts w:hint="eastAsia" w:ascii="宋体" w:eastAsia="宋体" w:cs="宋体"/>
          <w:color w:val="auto"/>
          <w:sz w:val="21"/>
          <w:szCs w:val="21"/>
          <w:highlight w:val="none"/>
          <w:u w:val="single"/>
        </w:rPr>
        <w:t xml:space="preserve">           </w:t>
      </w:r>
      <w:r>
        <w:rPr>
          <w:rFonts w:hint="eastAsia" w:ascii="宋体" w:eastAsia="宋体" w:cs="宋体"/>
          <w:color w:val="auto"/>
          <w:sz w:val="21"/>
          <w:szCs w:val="21"/>
          <w:highlight w:val="none"/>
        </w:rPr>
        <w:t>日</w:t>
      </w:r>
    </w:p>
    <w:p>
      <w:pPr>
        <w:pStyle w:val="66"/>
        <w:spacing w:line="420" w:lineRule="atLeast"/>
        <w:ind w:firstLine="433"/>
        <w:rPr>
          <w:rFonts w:ascii="宋体" w:eastAsia="宋体" w:cs="宋体"/>
          <w:color w:val="auto"/>
          <w:sz w:val="21"/>
          <w:szCs w:val="21"/>
          <w:highlight w:val="none"/>
        </w:rPr>
      </w:pPr>
      <w:r>
        <w:rPr>
          <w:rFonts w:hint="eastAsia" w:ascii="宋体" w:eastAsia="宋体" w:cs="宋体"/>
          <w:color w:val="auto"/>
          <w:sz w:val="21"/>
          <w:szCs w:val="21"/>
          <w:highlight w:val="none"/>
        </w:rPr>
        <w:t>经 营 期限：</w:t>
      </w:r>
      <w:r>
        <w:rPr>
          <w:rFonts w:hint="eastAsia" w:ascii="宋体" w:eastAsia="宋体" w:cs="宋体"/>
          <w:color w:val="auto"/>
          <w:sz w:val="21"/>
          <w:szCs w:val="21"/>
          <w:highlight w:val="none"/>
          <w:u w:val="single"/>
        </w:rPr>
        <w:t xml:space="preserve">                                      </w:t>
      </w:r>
    </w:p>
    <w:p>
      <w:pPr>
        <w:pStyle w:val="66"/>
        <w:spacing w:line="420" w:lineRule="atLeast"/>
        <w:ind w:firstLine="433"/>
        <w:rPr>
          <w:rFonts w:ascii="宋体" w:eastAsia="宋体" w:cs="宋体"/>
          <w:color w:val="auto"/>
          <w:sz w:val="21"/>
          <w:szCs w:val="21"/>
          <w:highlight w:val="none"/>
        </w:rPr>
      </w:pPr>
      <w:r>
        <w:rPr>
          <w:rFonts w:hint="eastAsia" w:ascii="宋体" w:eastAsia="宋体" w:cs="宋体"/>
          <w:color w:val="auto"/>
          <w:sz w:val="21"/>
          <w:szCs w:val="21"/>
          <w:highlight w:val="none"/>
        </w:rPr>
        <w:t>姓名：</w:t>
      </w:r>
      <w:r>
        <w:rPr>
          <w:rFonts w:hint="eastAsia" w:ascii="宋体" w:eastAsia="宋体" w:cs="宋体"/>
          <w:color w:val="auto"/>
          <w:sz w:val="21"/>
          <w:szCs w:val="21"/>
          <w:highlight w:val="none"/>
          <w:u w:val="single"/>
        </w:rPr>
        <w:t xml:space="preserve">            </w:t>
      </w:r>
      <w:r>
        <w:rPr>
          <w:rFonts w:hint="eastAsia" w:ascii="宋体" w:eastAsia="宋体" w:cs="宋体"/>
          <w:color w:val="auto"/>
          <w:sz w:val="21"/>
          <w:szCs w:val="21"/>
          <w:highlight w:val="none"/>
        </w:rPr>
        <w:t>性别：</w:t>
      </w:r>
      <w:r>
        <w:rPr>
          <w:rFonts w:hint="eastAsia" w:ascii="宋体" w:eastAsia="宋体" w:cs="宋体"/>
          <w:color w:val="auto"/>
          <w:sz w:val="21"/>
          <w:szCs w:val="21"/>
          <w:highlight w:val="none"/>
          <w:u w:val="single"/>
        </w:rPr>
        <w:t xml:space="preserve">            </w:t>
      </w:r>
      <w:r>
        <w:rPr>
          <w:rFonts w:hint="eastAsia" w:ascii="宋体" w:eastAsia="宋体" w:cs="宋体"/>
          <w:color w:val="auto"/>
          <w:sz w:val="21"/>
          <w:szCs w:val="21"/>
          <w:highlight w:val="none"/>
        </w:rPr>
        <w:t>年龄：</w:t>
      </w:r>
      <w:r>
        <w:rPr>
          <w:rFonts w:hint="eastAsia" w:ascii="宋体" w:eastAsia="宋体" w:cs="宋体"/>
          <w:color w:val="auto"/>
          <w:sz w:val="21"/>
          <w:szCs w:val="21"/>
          <w:highlight w:val="none"/>
          <w:u w:val="single"/>
        </w:rPr>
        <w:t xml:space="preserve">            </w:t>
      </w:r>
      <w:r>
        <w:rPr>
          <w:rFonts w:hint="eastAsia" w:ascii="宋体" w:eastAsia="宋体" w:cs="宋体"/>
          <w:color w:val="auto"/>
          <w:sz w:val="21"/>
          <w:szCs w:val="21"/>
          <w:highlight w:val="none"/>
        </w:rPr>
        <w:t>职务：</w:t>
      </w:r>
      <w:r>
        <w:rPr>
          <w:rFonts w:hint="eastAsia" w:ascii="宋体" w:eastAsia="宋体" w:cs="宋体"/>
          <w:color w:val="auto"/>
          <w:sz w:val="21"/>
          <w:szCs w:val="21"/>
          <w:highlight w:val="none"/>
          <w:u w:val="single"/>
        </w:rPr>
        <w:t xml:space="preserve">            </w:t>
      </w:r>
    </w:p>
    <w:p>
      <w:pPr>
        <w:pStyle w:val="66"/>
        <w:spacing w:line="420" w:lineRule="atLeast"/>
        <w:ind w:firstLine="433"/>
        <w:rPr>
          <w:rFonts w:ascii="宋体" w:eastAsia="宋体" w:cs="宋体"/>
          <w:color w:val="auto"/>
          <w:sz w:val="21"/>
          <w:szCs w:val="21"/>
          <w:highlight w:val="none"/>
        </w:rPr>
      </w:pPr>
      <w:r>
        <w:rPr>
          <w:rFonts w:hint="eastAsia" w:ascii="宋体" w:eastAsia="宋体" w:cs="宋体"/>
          <w:color w:val="auto"/>
          <w:sz w:val="21"/>
          <w:szCs w:val="21"/>
          <w:highlight w:val="none"/>
        </w:rPr>
        <w:t>系</w:t>
      </w:r>
      <w:r>
        <w:rPr>
          <w:rFonts w:hint="eastAsia" w:ascii="宋体" w:eastAsia="宋体" w:cs="宋体"/>
          <w:color w:val="auto"/>
          <w:sz w:val="21"/>
          <w:szCs w:val="21"/>
          <w:highlight w:val="none"/>
          <w:u w:val="single"/>
        </w:rPr>
        <w:t xml:space="preserve">                                </w:t>
      </w:r>
      <w:r>
        <w:rPr>
          <w:rFonts w:hint="eastAsia" w:ascii="宋体" w:eastAsia="宋体" w:cs="宋体"/>
          <w:color w:val="auto"/>
          <w:sz w:val="21"/>
          <w:szCs w:val="21"/>
          <w:highlight w:val="none"/>
        </w:rPr>
        <w:t>（投标人名称）的法定代表人。</w:t>
      </w:r>
    </w:p>
    <w:p>
      <w:pPr>
        <w:spacing w:line="420" w:lineRule="atLeast"/>
        <w:ind w:firstLine="420" w:firstLineChars="200"/>
        <w:rPr>
          <w:rFonts w:hAnsi="宋体" w:cs="宋体"/>
          <w:color w:val="auto"/>
          <w:sz w:val="21"/>
          <w:szCs w:val="21"/>
          <w:highlight w:val="none"/>
        </w:rPr>
      </w:pPr>
      <w:r>
        <w:rPr>
          <w:rFonts w:hint="eastAsia" w:hAnsi="宋体" w:cs="宋体"/>
          <w:color w:val="auto"/>
          <w:sz w:val="21"/>
          <w:szCs w:val="21"/>
          <w:highlight w:val="none"/>
        </w:rPr>
        <w:t>特此证明。</w:t>
      </w:r>
    </w:p>
    <w:p>
      <w:pPr>
        <w:pStyle w:val="66"/>
        <w:spacing w:line="500" w:lineRule="atLeast"/>
        <w:ind w:firstLine="3517" w:firstLineChars="1675"/>
        <w:rPr>
          <w:rFonts w:ascii="宋体" w:eastAsia="宋体" w:cs="宋体"/>
          <w:color w:val="auto"/>
          <w:sz w:val="21"/>
          <w:szCs w:val="21"/>
          <w:highlight w:val="none"/>
        </w:rPr>
      </w:pPr>
    </w:p>
    <w:p>
      <w:pPr>
        <w:pStyle w:val="66"/>
        <w:spacing w:line="500" w:lineRule="atLeast"/>
        <w:ind w:firstLine="3517" w:firstLineChars="1675"/>
        <w:rPr>
          <w:rFonts w:ascii="宋体" w:eastAsia="宋体" w:cs="宋体"/>
          <w:color w:val="auto"/>
          <w:sz w:val="21"/>
          <w:szCs w:val="21"/>
          <w:highlight w:val="none"/>
        </w:rPr>
      </w:pPr>
      <w:r>
        <w:rPr>
          <w:rFonts w:hint="eastAsia" w:ascii="宋体" w:eastAsia="宋体" w:cs="宋体"/>
          <w:color w:val="auto"/>
          <w:sz w:val="21"/>
          <w:szCs w:val="21"/>
          <w:highlight w:val="none"/>
        </w:rPr>
        <w:t>投标人名称（盖章）：</w:t>
      </w:r>
      <w:r>
        <w:rPr>
          <w:rFonts w:hint="eastAsia" w:ascii="宋体" w:eastAsia="宋体" w:cs="宋体"/>
          <w:color w:val="auto"/>
          <w:sz w:val="21"/>
          <w:szCs w:val="21"/>
          <w:highlight w:val="none"/>
          <w:u w:val="single"/>
        </w:rPr>
        <w:t xml:space="preserve">                  </w:t>
      </w:r>
    </w:p>
    <w:p>
      <w:pPr>
        <w:pStyle w:val="66"/>
        <w:spacing w:line="500" w:lineRule="atLeast"/>
        <w:ind w:firstLine="3517" w:firstLineChars="1675"/>
        <w:rPr>
          <w:rFonts w:ascii="宋体" w:eastAsia="宋体" w:cs="宋体"/>
          <w:color w:val="auto"/>
          <w:sz w:val="21"/>
          <w:szCs w:val="21"/>
          <w:highlight w:val="none"/>
        </w:rPr>
      </w:pPr>
      <w:r>
        <w:rPr>
          <w:rFonts w:hint="eastAsia" w:ascii="宋体" w:eastAsia="宋体" w:cs="宋体"/>
          <w:color w:val="auto"/>
          <w:sz w:val="21"/>
          <w:szCs w:val="21"/>
          <w:highlight w:val="none"/>
        </w:rPr>
        <w:t>法定代表人（签名或盖私章）：</w:t>
      </w:r>
      <w:r>
        <w:rPr>
          <w:rFonts w:hint="eastAsia" w:ascii="宋体" w:eastAsia="宋体" w:cs="宋体"/>
          <w:color w:val="auto"/>
          <w:sz w:val="21"/>
          <w:szCs w:val="21"/>
          <w:highlight w:val="none"/>
          <w:u w:val="single"/>
        </w:rPr>
        <w:t xml:space="preserve">               </w:t>
      </w:r>
    </w:p>
    <w:p>
      <w:pPr>
        <w:pStyle w:val="66"/>
        <w:spacing w:line="500" w:lineRule="atLeast"/>
        <w:ind w:firstLine="3517" w:firstLineChars="1675"/>
        <w:rPr>
          <w:rFonts w:ascii="宋体" w:eastAsia="宋体" w:cs="宋体"/>
          <w:color w:val="auto"/>
          <w:sz w:val="21"/>
          <w:szCs w:val="21"/>
          <w:highlight w:val="none"/>
        </w:rPr>
      </w:pPr>
      <w:r>
        <w:rPr>
          <w:rFonts w:hint="eastAsia" w:ascii="宋体" w:eastAsia="宋体" w:cs="宋体"/>
          <w:color w:val="auto"/>
          <w:sz w:val="21"/>
          <w:szCs w:val="21"/>
          <w:highlight w:val="none"/>
        </w:rPr>
        <w:t>法定代表人联系方式：</w:t>
      </w:r>
    </w:p>
    <w:p>
      <w:pPr>
        <w:pStyle w:val="66"/>
        <w:spacing w:line="500" w:lineRule="atLeast"/>
        <w:ind w:firstLine="3517" w:firstLineChars="1675"/>
        <w:rPr>
          <w:rFonts w:ascii="宋体" w:eastAsia="宋体" w:cs="宋体"/>
          <w:color w:val="auto"/>
          <w:sz w:val="21"/>
          <w:szCs w:val="21"/>
          <w:highlight w:val="none"/>
          <w:u w:val="single"/>
        </w:rPr>
      </w:pPr>
      <w:r>
        <w:rPr>
          <w:rFonts w:hint="eastAsia" w:ascii="宋体" w:eastAsia="宋体" w:cs="宋体"/>
          <w:color w:val="auto"/>
          <w:sz w:val="21"/>
          <w:szCs w:val="21"/>
          <w:highlight w:val="none"/>
        </w:rPr>
        <w:t>身份证号码：</w:t>
      </w:r>
      <w:r>
        <w:rPr>
          <w:rFonts w:hint="eastAsia" w:ascii="宋体" w:eastAsia="宋体" w:cs="宋体"/>
          <w:color w:val="auto"/>
          <w:sz w:val="21"/>
          <w:szCs w:val="21"/>
          <w:highlight w:val="none"/>
          <w:u w:val="single"/>
        </w:rPr>
        <w:t xml:space="preserve">                              </w:t>
      </w:r>
    </w:p>
    <w:p>
      <w:pPr>
        <w:pStyle w:val="66"/>
        <w:spacing w:line="500" w:lineRule="atLeast"/>
        <w:ind w:firstLine="3507" w:firstLineChars="1670"/>
        <w:rPr>
          <w:rFonts w:ascii="宋体" w:eastAsia="宋体" w:cs="宋体"/>
          <w:color w:val="auto"/>
          <w:sz w:val="21"/>
          <w:szCs w:val="21"/>
          <w:highlight w:val="none"/>
        </w:rPr>
      </w:pPr>
      <w:r>
        <w:rPr>
          <w:rFonts w:hint="eastAsia" w:ascii="宋体" w:eastAsia="宋体" w:cs="宋体"/>
          <w:color w:val="auto"/>
          <w:sz w:val="21"/>
          <w:szCs w:val="21"/>
          <w:highlight w:val="none"/>
        </w:rPr>
        <w:t>日     期：</w:t>
      </w:r>
      <w:r>
        <w:rPr>
          <w:rFonts w:hint="eastAsia" w:ascii="宋体" w:eastAsia="宋体" w:cs="宋体"/>
          <w:color w:val="auto"/>
          <w:sz w:val="21"/>
          <w:szCs w:val="21"/>
          <w:highlight w:val="none"/>
          <w:u w:val="single"/>
        </w:rPr>
        <w:t xml:space="preserve">         </w:t>
      </w:r>
      <w:r>
        <w:rPr>
          <w:rFonts w:hint="eastAsia" w:ascii="宋体" w:eastAsia="宋体" w:cs="宋体"/>
          <w:color w:val="auto"/>
          <w:sz w:val="21"/>
          <w:szCs w:val="21"/>
          <w:highlight w:val="none"/>
        </w:rPr>
        <w:t>年</w:t>
      </w:r>
      <w:r>
        <w:rPr>
          <w:rFonts w:hint="eastAsia" w:ascii="宋体" w:eastAsia="宋体" w:cs="宋体"/>
          <w:color w:val="auto"/>
          <w:sz w:val="21"/>
          <w:szCs w:val="21"/>
          <w:highlight w:val="none"/>
          <w:u w:val="single"/>
        </w:rPr>
        <w:t xml:space="preserve">        </w:t>
      </w:r>
      <w:r>
        <w:rPr>
          <w:rFonts w:hint="eastAsia" w:ascii="宋体" w:eastAsia="宋体" w:cs="宋体"/>
          <w:color w:val="auto"/>
          <w:sz w:val="21"/>
          <w:szCs w:val="21"/>
          <w:highlight w:val="none"/>
        </w:rPr>
        <w:t>月</w:t>
      </w:r>
      <w:r>
        <w:rPr>
          <w:rFonts w:hint="eastAsia" w:ascii="宋体" w:eastAsia="宋体" w:cs="宋体"/>
          <w:color w:val="auto"/>
          <w:sz w:val="21"/>
          <w:szCs w:val="21"/>
          <w:highlight w:val="none"/>
          <w:u w:val="single"/>
        </w:rPr>
        <w:t xml:space="preserve">        </w:t>
      </w:r>
      <w:r>
        <w:rPr>
          <w:rFonts w:hint="eastAsia" w:ascii="宋体" w:eastAsia="宋体" w:cs="宋体"/>
          <w:color w:val="auto"/>
          <w:sz w:val="21"/>
          <w:szCs w:val="21"/>
          <w:highlight w:val="none"/>
        </w:rPr>
        <w:t>日</w:t>
      </w:r>
    </w:p>
    <w:p>
      <w:pPr>
        <w:ind w:firstLine="420" w:firstLineChars="200"/>
        <w:rPr>
          <w:rFonts w:hAnsi="宋体" w:cs="宋体"/>
          <w:color w:val="auto"/>
          <w:sz w:val="21"/>
          <w:szCs w:val="21"/>
          <w:highlight w:val="none"/>
        </w:rPr>
      </w:pPr>
    </w:p>
    <w:p>
      <w:pPr>
        <w:ind w:firstLine="420" w:firstLineChars="200"/>
        <w:rPr>
          <w:rFonts w:hAnsi="宋体" w:cs="宋体"/>
          <w:color w:val="auto"/>
          <w:sz w:val="21"/>
          <w:szCs w:val="21"/>
          <w:highlight w:val="none"/>
        </w:rPr>
      </w:pPr>
      <w:r>
        <w:rPr>
          <w:rFonts w:hint="eastAsia" w:hAnsi="宋体" w:cs="宋体"/>
          <w:color w:val="auto"/>
          <w:sz w:val="21"/>
          <w:szCs w:val="21"/>
          <w:highlight w:val="none"/>
        </w:rPr>
        <w:t>注：法定代表人身份证明书需附法人代表身份证复印件。</w:t>
      </w:r>
    </w:p>
    <w:tbl>
      <w:tblPr>
        <w:tblStyle w:val="52"/>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rPr>
          <w:trHeight w:val="2517" w:hRule="atLeast"/>
          <w:jc w:val="center"/>
        </w:trPr>
        <w:tc>
          <w:tcPr>
            <w:tcW w:w="4182" w:type="dxa"/>
            <w:vAlign w:val="center"/>
          </w:tcPr>
          <w:p>
            <w:pPr>
              <w:pStyle w:val="66"/>
              <w:spacing w:line="460" w:lineRule="exact"/>
              <w:ind w:firstLine="0" w:firstLineChars="0"/>
              <w:jc w:val="center"/>
              <w:rPr>
                <w:rFonts w:ascii="宋体" w:eastAsia="宋体" w:cs="宋体"/>
                <w:color w:val="auto"/>
                <w:sz w:val="22"/>
                <w:highlight w:val="none"/>
              </w:rPr>
            </w:pPr>
            <w:r>
              <w:rPr>
                <w:rFonts w:hint="eastAsia" w:ascii="宋体" w:eastAsia="宋体" w:cs="宋体"/>
                <w:color w:val="auto"/>
                <w:sz w:val="22"/>
                <w:highlight w:val="none"/>
              </w:rPr>
              <w:t>正面</w:t>
            </w:r>
          </w:p>
        </w:tc>
        <w:tc>
          <w:tcPr>
            <w:tcW w:w="4182" w:type="dxa"/>
            <w:vAlign w:val="center"/>
          </w:tcPr>
          <w:p>
            <w:pPr>
              <w:pStyle w:val="66"/>
              <w:spacing w:line="460" w:lineRule="exact"/>
              <w:ind w:firstLine="0" w:firstLineChars="0"/>
              <w:jc w:val="center"/>
              <w:rPr>
                <w:rFonts w:ascii="宋体" w:eastAsia="宋体" w:cs="宋体"/>
                <w:color w:val="auto"/>
                <w:sz w:val="22"/>
                <w:highlight w:val="none"/>
              </w:rPr>
            </w:pPr>
            <w:r>
              <w:rPr>
                <w:rFonts w:hint="eastAsia" w:ascii="宋体" w:eastAsia="宋体" w:cs="宋体"/>
                <w:color w:val="auto"/>
                <w:sz w:val="22"/>
                <w:highlight w:val="none"/>
              </w:rPr>
              <w:t>背面</w:t>
            </w:r>
          </w:p>
        </w:tc>
      </w:tr>
    </w:tbl>
    <w:p>
      <w:pPr>
        <w:rPr>
          <w:rFonts w:hAnsi="宋体" w:cs="宋体"/>
          <w:color w:val="auto"/>
          <w:highlight w:val="none"/>
        </w:rPr>
      </w:pPr>
    </w:p>
    <w:p>
      <w:pPr>
        <w:spacing w:line="360" w:lineRule="auto"/>
        <w:jc w:val="center"/>
        <w:rPr>
          <w:color w:val="auto"/>
          <w:sz w:val="21"/>
          <w:szCs w:val="21"/>
          <w:highlight w:val="none"/>
        </w:rPr>
      </w:pPr>
      <w:r>
        <w:rPr>
          <w:rFonts w:hint="eastAsia"/>
          <w:color w:val="auto"/>
          <w:sz w:val="21"/>
          <w:szCs w:val="21"/>
          <w:highlight w:val="none"/>
        </w:rPr>
        <w:t>（如是联合体投标，联合体各方均须分别提供）</w:t>
      </w:r>
    </w:p>
    <w:p>
      <w:pPr>
        <w:adjustRightInd/>
        <w:spacing w:line="276" w:lineRule="auto"/>
        <w:rPr>
          <w:rFonts w:hAnsi="宋体" w:cs="宋体"/>
          <w:b/>
          <w:bCs/>
          <w:color w:val="auto"/>
          <w:highlight w:val="none"/>
        </w:rPr>
      </w:pPr>
      <w:r>
        <w:rPr>
          <w:rFonts w:hint="eastAsia" w:hAnsi="宋体" w:cs="宋体"/>
          <w:color w:val="auto"/>
          <w:highlight w:val="none"/>
        </w:rPr>
        <w:br w:type="page"/>
      </w:r>
    </w:p>
    <w:p>
      <w:pPr>
        <w:pStyle w:val="8"/>
        <w:widowControl/>
        <w:numPr>
          <w:ilvl w:val="0"/>
          <w:numId w:val="28"/>
        </w:numPr>
        <w:spacing w:before="0" w:after="0" w:line="240" w:lineRule="auto"/>
        <w:jc w:val="center"/>
        <w:rPr>
          <w:rFonts w:ascii="宋体" w:hAnsi="宋体" w:eastAsia="宋体" w:cs="宋体"/>
          <w:color w:val="auto"/>
          <w:highlight w:val="none"/>
        </w:rPr>
      </w:pPr>
      <w:bookmarkStart w:id="86" w:name="_Toc31205"/>
      <w:r>
        <w:rPr>
          <w:rFonts w:hint="eastAsia" w:ascii="宋体" w:hAnsi="宋体" w:eastAsia="宋体" w:cs="宋体"/>
          <w:color w:val="auto"/>
          <w:highlight w:val="none"/>
        </w:rPr>
        <w:t>法定代表人授权书格式</w:t>
      </w:r>
      <w:bookmarkEnd w:id="86"/>
    </w:p>
    <w:p>
      <w:pPr>
        <w:rPr>
          <w:rFonts w:hAnsi="宋体" w:cs="宋体"/>
          <w:color w:val="auto"/>
          <w:highlight w:val="none"/>
        </w:rPr>
      </w:pPr>
    </w:p>
    <w:p>
      <w:pPr>
        <w:pStyle w:val="66"/>
        <w:spacing w:line="420" w:lineRule="atLeast"/>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致：广东泰通伟业工程咨询有限公司</w:t>
      </w:r>
    </w:p>
    <w:p>
      <w:pPr>
        <w:pStyle w:val="66"/>
        <w:spacing w:line="420" w:lineRule="atLeast"/>
        <w:ind w:firstLine="433"/>
        <w:rPr>
          <w:rFonts w:ascii="宋体" w:eastAsia="宋体" w:cs="宋体"/>
          <w:color w:val="auto"/>
          <w:sz w:val="21"/>
          <w:szCs w:val="21"/>
          <w:highlight w:val="none"/>
        </w:rPr>
      </w:pPr>
    </w:p>
    <w:p>
      <w:p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本授权书声明：注册于</w:t>
      </w:r>
      <w:r>
        <w:rPr>
          <w:rFonts w:hint="eastAsia" w:hAnsi="宋体" w:cs="宋体"/>
          <w:color w:val="auto"/>
          <w:sz w:val="21"/>
          <w:szCs w:val="21"/>
          <w:highlight w:val="none"/>
          <w:u w:val="single"/>
        </w:rPr>
        <w:t>（国家或地区的名称）</w:t>
      </w:r>
      <w:r>
        <w:rPr>
          <w:rFonts w:hint="eastAsia" w:hAnsi="宋体" w:cs="宋体"/>
          <w:color w:val="auto"/>
          <w:sz w:val="21"/>
          <w:szCs w:val="21"/>
          <w:highlight w:val="none"/>
        </w:rPr>
        <w:t>的</w:t>
      </w:r>
      <w:r>
        <w:rPr>
          <w:rFonts w:hint="eastAsia" w:hAnsi="宋体" w:cs="宋体"/>
          <w:color w:val="auto"/>
          <w:sz w:val="21"/>
          <w:szCs w:val="21"/>
          <w:highlight w:val="none"/>
          <w:u w:val="single"/>
        </w:rPr>
        <w:t>（单位名称）</w:t>
      </w:r>
      <w:r>
        <w:rPr>
          <w:rFonts w:hint="eastAsia" w:hAnsi="宋体" w:cs="宋体"/>
          <w:color w:val="auto"/>
          <w:sz w:val="21"/>
          <w:szCs w:val="21"/>
          <w:highlight w:val="none"/>
        </w:rPr>
        <w:t>的在下面签字的</w:t>
      </w:r>
      <w:r>
        <w:rPr>
          <w:rFonts w:hint="eastAsia" w:hAnsi="宋体" w:cs="宋体"/>
          <w:color w:val="auto"/>
          <w:sz w:val="21"/>
          <w:szCs w:val="21"/>
          <w:highlight w:val="none"/>
          <w:u w:val="single"/>
        </w:rPr>
        <w:t>（法定代表人姓名、职务）</w:t>
      </w:r>
      <w:r>
        <w:rPr>
          <w:rFonts w:hint="eastAsia" w:hAnsi="宋体" w:cs="宋体"/>
          <w:color w:val="auto"/>
          <w:sz w:val="21"/>
          <w:szCs w:val="21"/>
          <w:highlight w:val="none"/>
        </w:rPr>
        <w:t>代表本单位授权</w:t>
      </w:r>
      <w:r>
        <w:rPr>
          <w:rFonts w:hint="eastAsia" w:hAnsi="宋体" w:cs="宋体"/>
          <w:color w:val="auto"/>
          <w:sz w:val="21"/>
          <w:szCs w:val="21"/>
          <w:highlight w:val="none"/>
          <w:u w:val="single"/>
        </w:rPr>
        <w:t>（单位名称）</w:t>
      </w:r>
      <w:r>
        <w:rPr>
          <w:rFonts w:hint="eastAsia" w:hAnsi="宋体" w:cs="宋体"/>
          <w:color w:val="auto"/>
          <w:sz w:val="21"/>
          <w:szCs w:val="21"/>
          <w:highlight w:val="none"/>
        </w:rPr>
        <w:t>的在下面签字的</w:t>
      </w:r>
      <w:r>
        <w:rPr>
          <w:rFonts w:hint="eastAsia" w:hAnsi="宋体" w:cs="宋体"/>
          <w:color w:val="auto"/>
          <w:sz w:val="21"/>
          <w:szCs w:val="21"/>
          <w:highlight w:val="none"/>
          <w:u w:val="single"/>
        </w:rPr>
        <w:t>（被授权人的姓名、职务）</w:t>
      </w:r>
      <w:r>
        <w:rPr>
          <w:rFonts w:hint="eastAsia" w:hAnsi="宋体" w:cs="宋体"/>
          <w:color w:val="auto"/>
          <w:sz w:val="21"/>
          <w:szCs w:val="21"/>
          <w:highlight w:val="none"/>
        </w:rPr>
        <w:t>为本单位的合法代理人，就</w:t>
      </w:r>
      <w:r>
        <w:rPr>
          <w:rFonts w:hint="eastAsia" w:hAnsi="宋体" w:cs="宋体"/>
          <w:color w:val="auto"/>
          <w:sz w:val="21"/>
          <w:szCs w:val="21"/>
          <w:highlight w:val="none"/>
          <w:u w:val="single"/>
        </w:rPr>
        <w:t>（项目名称）</w:t>
      </w:r>
      <w:r>
        <w:rPr>
          <w:rFonts w:hint="eastAsia" w:hAnsi="宋体" w:cs="宋体"/>
          <w:color w:val="auto"/>
          <w:sz w:val="21"/>
          <w:szCs w:val="21"/>
          <w:highlight w:val="none"/>
        </w:rPr>
        <w:t>投标及参加项目谈判，以本单位名义处理一切与之有关的事务。</w:t>
      </w:r>
    </w:p>
    <w:p>
      <w:pPr>
        <w:spacing w:line="360" w:lineRule="auto"/>
        <w:ind w:firstLine="315" w:firstLineChars="150"/>
        <w:rPr>
          <w:rFonts w:hAnsi="宋体" w:cs="宋体"/>
          <w:color w:val="auto"/>
          <w:sz w:val="21"/>
          <w:szCs w:val="21"/>
          <w:highlight w:val="none"/>
        </w:rPr>
      </w:pPr>
      <w:r>
        <w:rPr>
          <w:rFonts w:hint="eastAsia" w:hAnsi="宋体" w:cs="宋体"/>
          <w:color w:val="auto"/>
          <w:sz w:val="21"/>
          <w:szCs w:val="21"/>
          <w:highlight w:val="none"/>
        </w:rPr>
        <w:t>本授权书于</w:t>
      </w:r>
      <w:r>
        <w:rPr>
          <w:rFonts w:hint="eastAsia" w:hAnsi="宋体" w:cs="宋体"/>
          <w:color w:val="auto"/>
          <w:sz w:val="21"/>
          <w:szCs w:val="21"/>
          <w:highlight w:val="none"/>
          <w:u w:val="single"/>
        </w:rPr>
        <w:t>　　</w:t>
      </w:r>
      <w:r>
        <w:rPr>
          <w:rFonts w:hint="eastAsia" w:hAnsi="宋体" w:cs="宋体"/>
          <w:color w:val="auto"/>
          <w:sz w:val="21"/>
          <w:szCs w:val="21"/>
          <w:highlight w:val="none"/>
        </w:rPr>
        <w:t>年</w:t>
      </w:r>
      <w:r>
        <w:rPr>
          <w:rFonts w:hint="eastAsia" w:hAnsi="宋体" w:cs="宋体"/>
          <w:color w:val="auto"/>
          <w:sz w:val="21"/>
          <w:szCs w:val="21"/>
          <w:highlight w:val="none"/>
          <w:u w:val="single"/>
        </w:rPr>
        <w:t>　　</w:t>
      </w:r>
      <w:r>
        <w:rPr>
          <w:rFonts w:hint="eastAsia" w:hAnsi="宋体" w:cs="宋体"/>
          <w:color w:val="auto"/>
          <w:sz w:val="21"/>
          <w:szCs w:val="21"/>
          <w:highlight w:val="none"/>
        </w:rPr>
        <w:t>月</w:t>
      </w:r>
      <w:r>
        <w:rPr>
          <w:rFonts w:hint="eastAsia" w:hAnsi="宋体" w:cs="宋体"/>
          <w:color w:val="auto"/>
          <w:sz w:val="21"/>
          <w:szCs w:val="21"/>
          <w:highlight w:val="none"/>
          <w:u w:val="single"/>
        </w:rPr>
        <w:t>　　</w:t>
      </w:r>
      <w:r>
        <w:rPr>
          <w:rFonts w:hint="eastAsia" w:hAnsi="宋体" w:cs="宋体"/>
          <w:color w:val="auto"/>
          <w:sz w:val="21"/>
          <w:szCs w:val="21"/>
          <w:highlight w:val="none"/>
        </w:rPr>
        <w:t>日签字生效，特此声明。</w:t>
      </w:r>
    </w:p>
    <w:p>
      <w:pPr>
        <w:pStyle w:val="66"/>
        <w:spacing w:line="500" w:lineRule="atLeast"/>
        <w:ind w:firstLine="3517" w:firstLineChars="1675"/>
        <w:rPr>
          <w:rFonts w:ascii="宋体" w:eastAsia="宋体" w:cs="宋体"/>
          <w:color w:val="auto"/>
          <w:sz w:val="21"/>
          <w:szCs w:val="21"/>
          <w:highlight w:val="none"/>
        </w:rPr>
      </w:pPr>
    </w:p>
    <w:p>
      <w:pPr>
        <w:pStyle w:val="66"/>
        <w:spacing w:line="500" w:lineRule="atLeast"/>
        <w:ind w:firstLine="3517" w:firstLineChars="1675"/>
        <w:rPr>
          <w:rFonts w:ascii="宋体" w:eastAsia="宋体" w:cs="宋体"/>
          <w:color w:val="auto"/>
          <w:sz w:val="21"/>
          <w:szCs w:val="21"/>
          <w:highlight w:val="none"/>
        </w:rPr>
      </w:pPr>
      <w:r>
        <w:rPr>
          <w:rFonts w:hint="eastAsia" w:ascii="宋体" w:eastAsia="宋体" w:cs="宋体"/>
          <w:color w:val="auto"/>
          <w:sz w:val="21"/>
          <w:szCs w:val="21"/>
          <w:highlight w:val="none"/>
        </w:rPr>
        <w:t>投标人名称（盖章）：</w:t>
      </w:r>
      <w:r>
        <w:rPr>
          <w:rFonts w:hint="eastAsia" w:ascii="宋体" w:eastAsia="宋体" w:cs="宋体"/>
          <w:color w:val="auto"/>
          <w:sz w:val="21"/>
          <w:szCs w:val="21"/>
          <w:highlight w:val="none"/>
          <w:u w:val="single"/>
        </w:rPr>
        <w:t xml:space="preserve">                 </w:t>
      </w:r>
    </w:p>
    <w:p>
      <w:pPr>
        <w:pStyle w:val="66"/>
        <w:spacing w:line="500" w:lineRule="atLeast"/>
        <w:ind w:firstLine="3517" w:firstLineChars="1675"/>
        <w:rPr>
          <w:rFonts w:ascii="宋体" w:eastAsia="宋体" w:cs="宋体"/>
          <w:color w:val="auto"/>
          <w:sz w:val="21"/>
          <w:szCs w:val="21"/>
          <w:highlight w:val="none"/>
          <w:u w:val="single"/>
        </w:rPr>
      </w:pPr>
      <w:r>
        <w:rPr>
          <w:rFonts w:hint="eastAsia" w:ascii="宋体" w:eastAsia="宋体" w:cs="宋体"/>
          <w:color w:val="auto"/>
          <w:sz w:val="21"/>
          <w:szCs w:val="21"/>
          <w:highlight w:val="none"/>
        </w:rPr>
        <w:t>法定代表人（签名或盖私章）：</w:t>
      </w:r>
      <w:r>
        <w:rPr>
          <w:rFonts w:hint="eastAsia" w:ascii="宋体" w:eastAsia="宋体" w:cs="宋体"/>
          <w:color w:val="auto"/>
          <w:sz w:val="21"/>
          <w:szCs w:val="21"/>
          <w:highlight w:val="none"/>
          <w:u w:val="single"/>
        </w:rPr>
        <w:t xml:space="preserve">               </w:t>
      </w:r>
    </w:p>
    <w:p>
      <w:pPr>
        <w:pStyle w:val="66"/>
        <w:spacing w:line="500" w:lineRule="atLeast"/>
        <w:ind w:firstLine="3517" w:firstLineChars="1675"/>
        <w:rPr>
          <w:rFonts w:ascii="宋体" w:eastAsia="宋体" w:cs="宋体"/>
          <w:color w:val="auto"/>
          <w:sz w:val="21"/>
          <w:szCs w:val="21"/>
          <w:highlight w:val="none"/>
        </w:rPr>
      </w:pPr>
      <w:r>
        <w:rPr>
          <w:rFonts w:hint="eastAsia" w:ascii="宋体" w:eastAsia="宋体" w:cs="宋体"/>
          <w:color w:val="auto"/>
          <w:sz w:val="21"/>
          <w:szCs w:val="21"/>
          <w:highlight w:val="none"/>
        </w:rPr>
        <w:t>被授权人（签名或盖私章）：</w:t>
      </w:r>
    </w:p>
    <w:p>
      <w:pPr>
        <w:pStyle w:val="66"/>
        <w:spacing w:line="500" w:lineRule="atLeast"/>
        <w:ind w:firstLine="3517" w:firstLineChars="1675"/>
        <w:rPr>
          <w:rFonts w:ascii="宋体" w:eastAsia="宋体" w:cs="宋体"/>
          <w:color w:val="auto"/>
          <w:sz w:val="21"/>
          <w:szCs w:val="21"/>
          <w:highlight w:val="none"/>
          <w:u w:val="single"/>
        </w:rPr>
      </w:pPr>
      <w:r>
        <w:rPr>
          <w:rFonts w:hint="eastAsia" w:ascii="宋体" w:eastAsia="宋体" w:cs="宋体"/>
          <w:color w:val="auto"/>
          <w:sz w:val="21"/>
          <w:szCs w:val="21"/>
          <w:highlight w:val="none"/>
        </w:rPr>
        <w:t>职务：</w:t>
      </w:r>
      <w:r>
        <w:rPr>
          <w:rFonts w:hint="eastAsia" w:ascii="宋体" w:eastAsia="宋体" w:cs="宋体"/>
          <w:color w:val="auto"/>
          <w:sz w:val="21"/>
          <w:szCs w:val="21"/>
          <w:highlight w:val="none"/>
          <w:u w:val="single"/>
        </w:rPr>
        <w:t xml:space="preserve">   </w:t>
      </w:r>
    </w:p>
    <w:p>
      <w:pPr>
        <w:pStyle w:val="66"/>
        <w:spacing w:line="500" w:lineRule="atLeast"/>
        <w:ind w:firstLine="3517" w:firstLineChars="1675"/>
        <w:rPr>
          <w:rFonts w:ascii="宋体" w:eastAsia="宋体" w:cs="宋体"/>
          <w:color w:val="auto"/>
          <w:sz w:val="21"/>
          <w:szCs w:val="21"/>
          <w:highlight w:val="none"/>
        </w:rPr>
      </w:pPr>
      <w:r>
        <w:rPr>
          <w:rFonts w:hint="eastAsia" w:ascii="宋体" w:eastAsia="宋体" w:cs="宋体"/>
          <w:color w:val="auto"/>
          <w:sz w:val="21"/>
          <w:szCs w:val="21"/>
          <w:highlight w:val="none"/>
        </w:rPr>
        <w:t xml:space="preserve">移动电话： </w:t>
      </w:r>
    </w:p>
    <w:p>
      <w:pPr>
        <w:pStyle w:val="66"/>
        <w:spacing w:line="500" w:lineRule="atLeast"/>
        <w:ind w:firstLine="3517" w:firstLineChars="1675"/>
        <w:rPr>
          <w:rFonts w:ascii="宋体" w:eastAsia="宋体" w:cs="宋体"/>
          <w:color w:val="auto"/>
          <w:sz w:val="21"/>
          <w:szCs w:val="21"/>
          <w:highlight w:val="none"/>
        </w:rPr>
      </w:pPr>
      <w:r>
        <w:rPr>
          <w:rFonts w:hint="eastAsia" w:ascii="宋体" w:eastAsia="宋体" w:cs="宋体"/>
          <w:color w:val="auto"/>
          <w:sz w:val="21"/>
          <w:szCs w:val="21"/>
          <w:highlight w:val="none"/>
        </w:rPr>
        <w:t>详细通讯地址：</w:t>
      </w:r>
    </w:p>
    <w:p>
      <w:pPr>
        <w:pStyle w:val="66"/>
        <w:spacing w:line="500" w:lineRule="atLeast"/>
        <w:ind w:firstLine="3517" w:firstLineChars="1675"/>
        <w:rPr>
          <w:rFonts w:ascii="宋体" w:eastAsia="宋体" w:cs="宋体"/>
          <w:color w:val="auto"/>
          <w:sz w:val="21"/>
          <w:szCs w:val="21"/>
          <w:highlight w:val="none"/>
        </w:rPr>
      </w:pPr>
      <w:r>
        <w:rPr>
          <w:rFonts w:hint="eastAsia" w:ascii="宋体" w:eastAsia="宋体" w:cs="宋体"/>
          <w:color w:val="auto"/>
          <w:sz w:val="21"/>
          <w:szCs w:val="21"/>
          <w:highlight w:val="none"/>
        </w:rPr>
        <w:t xml:space="preserve">邮箱：                          </w:t>
      </w:r>
    </w:p>
    <w:p>
      <w:pPr>
        <w:pStyle w:val="66"/>
        <w:spacing w:line="500" w:lineRule="atLeast"/>
        <w:ind w:firstLine="3507" w:firstLineChars="1670"/>
        <w:rPr>
          <w:rFonts w:ascii="宋体" w:eastAsia="宋体" w:cs="宋体"/>
          <w:color w:val="auto"/>
          <w:sz w:val="21"/>
          <w:szCs w:val="21"/>
          <w:highlight w:val="none"/>
        </w:rPr>
      </w:pPr>
      <w:r>
        <w:rPr>
          <w:rFonts w:hint="eastAsia" w:ascii="宋体" w:eastAsia="宋体" w:cs="宋体"/>
          <w:color w:val="auto"/>
          <w:sz w:val="21"/>
          <w:szCs w:val="21"/>
          <w:highlight w:val="none"/>
        </w:rPr>
        <w:t>日     期：</w:t>
      </w:r>
      <w:r>
        <w:rPr>
          <w:rFonts w:hint="eastAsia" w:ascii="宋体" w:eastAsia="宋体" w:cs="宋体"/>
          <w:color w:val="auto"/>
          <w:sz w:val="21"/>
          <w:szCs w:val="21"/>
          <w:highlight w:val="none"/>
          <w:u w:val="single"/>
        </w:rPr>
        <w:t xml:space="preserve">         </w:t>
      </w:r>
      <w:r>
        <w:rPr>
          <w:rFonts w:hint="eastAsia" w:ascii="宋体" w:eastAsia="宋体" w:cs="宋体"/>
          <w:color w:val="auto"/>
          <w:sz w:val="21"/>
          <w:szCs w:val="21"/>
          <w:highlight w:val="none"/>
        </w:rPr>
        <w:t>年</w:t>
      </w:r>
      <w:r>
        <w:rPr>
          <w:rFonts w:hint="eastAsia" w:ascii="宋体" w:eastAsia="宋体" w:cs="宋体"/>
          <w:color w:val="auto"/>
          <w:sz w:val="21"/>
          <w:szCs w:val="21"/>
          <w:highlight w:val="none"/>
          <w:u w:val="single"/>
        </w:rPr>
        <w:t xml:space="preserve">        </w:t>
      </w:r>
      <w:r>
        <w:rPr>
          <w:rFonts w:hint="eastAsia" w:ascii="宋体" w:eastAsia="宋体" w:cs="宋体"/>
          <w:color w:val="auto"/>
          <w:sz w:val="21"/>
          <w:szCs w:val="21"/>
          <w:highlight w:val="none"/>
        </w:rPr>
        <w:t>月</w:t>
      </w:r>
      <w:r>
        <w:rPr>
          <w:rFonts w:hint="eastAsia" w:ascii="宋体" w:eastAsia="宋体" w:cs="宋体"/>
          <w:color w:val="auto"/>
          <w:sz w:val="21"/>
          <w:szCs w:val="21"/>
          <w:highlight w:val="none"/>
          <w:u w:val="single"/>
        </w:rPr>
        <w:t xml:space="preserve">        </w:t>
      </w:r>
      <w:r>
        <w:rPr>
          <w:rFonts w:hint="eastAsia" w:ascii="宋体" w:eastAsia="宋体" w:cs="宋体"/>
          <w:color w:val="auto"/>
          <w:sz w:val="21"/>
          <w:szCs w:val="21"/>
          <w:highlight w:val="none"/>
        </w:rPr>
        <w:t>日</w:t>
      </w:r>
    </w:p>
    <w:p>
      <w:pPr>
        <w:pStyle w:val="66"/>
        <w:spacing w:line="460" w:lineRule="exact"/>
        <w:ind w:firstLine="433"/>
        <w:rPr>
          <w:rFonts w:ascii="宋体" w:eastAsia="宋体" w:cs="宋体"/>
          <w:color w:val="auto"/>
          <w:sz w:val="21"/>
          <w:szCs w:val="21"/>
          <w:highlight w:val="none"/>
        </w:rPr>
      </w:pPr>
    </w:p>
    <w:p>
      <w:pPr>
        <w:ind w:firstLine="420" w:firstLineChars="200"/>
        <w:rPr>
          <w:rFonts w:hAnsi="宋体" w:cs="宋体"/>
          <w:color w:val="auto"/>
          <w:highlight w:val="none"/>
        </w:rPr>
      </w:pPr>
      <w:r>
        <w:rPr>
          <w:rFonts w:hint="eastAsia" w:hAnsi="宋体" w:cs="宋体"/>
          <w:color w:val="auto"/>
          <w:sz w:val="21"/>
          <w:szCs w:val="21"/>
          <w:highlight w:val="none"/>
        </w:rPr>
        <w:t>须附：被授权人身份证复印件。</w:t>
      </w:r>
    </w:p>
    <w:tbl>
      <w:tblPr>
        <w:tblStyle w:val="52"/>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pPr>
              <w:pStyle w:val="66"/>
              <w:spacing w:line="460" w:lineRule="exact"/>
              <w:ind w:firstLine="0" w:firstLineChars="0"/>
              <w:jc w:val="center"/>
              <w:rPr>
                <w:rFonts w:ascii="宋体" w:eastAsia="宋体" w:cs="宋体"/>
                <w:color w:val="auto"/>
                <w:sz w:val="22"/>
                <w:highlight w:val="none"/>
              </w:rPr>
            </w:pPr>
            <w:r>
              <w:rPr>
                <w:rFonts w:hint="eastAsia" w:ascii="宋体" w:eastAsia="宋体" w:cs="宋体"/>
                <w:color w:val="auto"/>
                <w:sz w:val="22"/>
                <w:highlight w:val="none"/>
              </w:rPr>
              <w:t>正面</w:t>
            </w:r>
          </w:p>
        </w:tc>
        <w:tc>
          <w:tcPr>
            <w:tcW w:w="4232" w:type="dxa"/>
            <w:vAlign w:val="center"/>
          </w:tcPr>
          <w:p>
            <w:pPr>
              <w:pStyle w:val="66"/>
              <w:spacing w:line="460" w:lineRule="exact"/>
              <w:ind w:firstLine="0" w:firstLineChars="0"/>
              <w:jc w:val="center"/>
              <w:rPr>
                <w:rFonts w:ascii="宋体" w:eastAsia="宋体" w:cs="宋体"/>
                <w:color w:val="auto"/>
                <w:sz w:val="22"/>
                <w:highlight w:val="none"/>
              </w:rPr>
            </w:pPr>
            <w:r>
              <w:rPr>
                <w:rFonts w:hint="eastAsia" w:ascii="宋体" w:eastAsia="宋体" w:cs="宋体"/>
                <w:color w:val="auto"/>
                <w:sz w:val="22"/>
                <w:highlight w:val="none"/>
              </w:rPr>
              <w:t>背面</w:t>
            </w:r>
          </w:p>
        </w:tc>
      </w:tr>
    </w:tbl>
    <w:p>
      <w:pPr>
        <w:snapToGrid w:val="0"/>
        <w:spacing w:line="360" w:lineRule="auto"/>
        <w:rPr>
          <w:rFonts w:hAnsi="宋体" w:cs="宋体"/>
          <w:color w:val="auto"/>
          <w:kern w:val="2"/>
          <w:sz w:val="21"/>
          <w:szCs w:val="21"/>
          <w:highlight w:val="none"/>
        </w:rPr>
      </w:pPr>
      <w:bookmarkStart w:id="87" w:name="_Toc17618"/>
    </w:p>
    <w:p>
      <w:pPr>
        <w:widowControl/>
        <w:adjustRightInd/>
        <w:spacing w:line="360" w:lineRule="auto"/>
        <w:ind w:right="53"/>
        <w:textAlignment w:val="bottom"/>
        <w:rPr>
          <w:rFonts w:hAnsi="宋体" w:cs="宋体"/>
          <w:color w:val="auto"/>
          <w:kern w:val="2"/>
          <w:sz w:val="21"/>
          <w:szCs w:val="21"/>
          <w:highlight w:val="none"/>
        </w:rPr>
      </w:pPr>
    </w:p>
    <w:p>
      <w:pPr>
        <w:pStyle w:val="8"/>
        <w:widowControl/>
        <w:numPr>
          <w:ilvl w:val="0"/>
          <w:numId w:val="28"/>
        </w:numPr>
        <w:spacing w:before="0" w:after="0" w:line="24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highlight w:val="none"/>
        </w:rPr>
        <w:t>投标人资格性证明文件</w:t>
      </w:r>
    </w:p>
    <w:p>
      <w:pPr>
        <w:spacing w:line="360" w:lineRule="auto"/>
        <w:jc w:val="center"/>
        <w:rPr>
          <w:color w:val="auto"/>
          <w:sz w:val="21"/>
          <w:szCs w:val="21"/>
          <w:highlight w:val="none"/>
        </w:rPr>
      </w:pPr>
      <w:r>
        <w:rPr>
          <w:rFonts w:hint="eastAsia"/>
          <w:color w:val="auto"/>
          <w:sz w:val="21"/>
          <w:szCs w:val="21"/>
          <w:highlight w:val="none"/>
        </w:rPr>
        <w:t>（如是联合体投标，联合体各方均须分别提供）</w:t>
      </w:r>
    </w:p>
    <w:p>
      <w:pPr>
        <w:widowControl/>
        <w:adjustRightInd/>
        <w:spacing w:line="360" w:lineRule="auto"/>
        <w:ind w:right="51" w:firstLine="420" w:firstLineChars="200"/>
        <w:textAlignment w:val="bottom"/>
        <w:outlineLvl w:val="4"/>
        <w:rPr>
          <w:rFonts w:hAnsi="宋体" w:cs="宋体"/>
          <w:color w:val="auto"/>
          <w:kern w:val="2"/>
          <w:sz w:val="21"/>
          <w:szCs w:val="21"/>
          <w:highlight w:val="none"/>
        </w:rPr>
      </w:pPr>
      <w:r>
        <w:rPr>
          <w:rFonts w:hint="eastAsia" w:hAnsi="宋体" w:cs="宋体"/>
          <w:color w:val="auto"/>
          <w:kern w:val="2"/>
          <w:sz w:val="21"/>
          <w:szCs w:val="21"/>
          <w:highlight w:val="none"/>
        </w:rPr>
        <w:t>1、具有独立承担民事责任的能力证明文件。【</w:t>
      </w:r>
      <w:r>
        <w:rPr>
          <w:rFonts w:hint="eastAsia" w:hAnsi="宋体" w:cs="宋体"/>
          <w:bCs/>
          <w:color w:val="auto"/>
          <w:sz w:val="21"/>
          <w:szCs w:val="21"/>
          <w:highlight w:val="none"/>
        </w:rPr>
        <w:t>提交有效的营业执照（或事业法人登记证或身份证等相关证明） 副本复印件</w:t>
      </w:r>
      <w:r>
        <w:rPr>
          <w:rFonts w:hint="eastAsia" w:hAnsi="宋体" w:cs="宋体"/>
          <w:color w:val="auto"/>
          <w:kern w:val="2"/>
          <w:sz w:val="21"/>
          <w:szCs w:val="21"/>
          <w:highlight w:val="none"/>
        </w:rPr>
        <w:t>】；</w:t>
      </w:r>
    </w:p>
    <w:p>
      <w:pPr>
        <w:widowControl/>
        <w:tabs>
          <w:tab w:val="left" w:pos="709"/>
        </w:tabs>
        <w:adjustRightInd/>
        <w:spacing w:line="360" w:lineRule="auto"/>
        <w:ind w:firstLine="420" w:firstLineChars="200"/>
        <w:rPr>
          <w:rFonts w:hAnsi="宋体" w:cs="宋体"/>
          <w:color w:val="auto"/>
          <w:kern w:val="2"/>
          <w:sz w:val="21"/>
          <w:szCs w:val="21"/>
          <w:highlight w:val="none"/>
        </w:rPr>
      </w:pPr>
    </w:p>
    <w:p>
      <w:pPr>
        <w:widowControl/>
        <w:adjustRightInd/>
        <w:spacing w:line="360" w:lineRule="auto"/>
        <w:ind w:right="51" w:firstLine="420" w:firstLineChars="200"/>
        <w:textAlignment w:val="bottom"/>
        <w:outlineLvl w:val="4"/>
        <w:rPr>
          <w:rFonts w:hAnsi="宋体" w:cs="宋体"/>
          <w:color w:val="auto"/>
          <w:sz w:val="21"/>
          <w:szCs w:val="21"/>
          <w:highlight w:val="none"/>
        </w:rPr>
      </w:pPr>
      <w:r>
        <w:rPr>
          <w:rFonts w:hint="eastAsia" w:hAnsi="宋体" w:cs="宋体"/>
          <w:color w:val="auto"/>
          <w:sz w:val="21"/>
          <w:szCs w:val="21"/>
          <w:highlight w:val="none"/>
        </w:rPr>
        <w:t>2、投标人的单位负责人为同一人或者存在直接控股、管理关系的不同投标人，不得参加同一合同项下的采购活动</w:t>
      </w:r>
      <w:r>
        <w:rPr>
          <w:rFonts w:hint="eastAsia" w:hAnsi="宋体" w:cs="宋体"/>
          <w:color w:val="auto"/>
          <w:kern w:val="2"/>
          <w:sz w:val="21"/>
          <w:szCs w:val="21"/>
          <w:highlight w:val="none"/>
        </w:rPr>
        <w:t>（提供承诺函，格式自拟）</w:t>
      </w:r>
      <w:r>
        <w:rPr>
          <w:rFonts w:hint="eastAsia" w:hAnsi="宋体" w:cs="宋体"/>
          <w:color w:val="auto"/>
          <w:sz w:val="21"/>
          <w:szCs w:val="21"/>
          <w:highlight w:val="none"/>
        </w:rPr>
        <w:t>；</w:t>
      </w:r>
    </w:p>
    <w:p>
      <w:pPr>
        <w:rPr>
          <w:color w:val="auto"/>
          <w:highlight w:val="none"/>
        </w:rPr>
      </w:pPr>
    </w:p>
    <w:p>
      <w:pPr>
        <w:widowControl/>
        <w:adjustRightInd/>
        <w:spacing w:line="360" w:lineRule="auto"/>
        <w:ind w:right="51" w:firstLine="420" w:firstLineChars="200"/>
        <w:textAlignment w:val="bottom"/>
        <w:outlineLvl w:val="4"/>
        <w:rPr>
          <w:rFonts w:hAnsi="宋体" w:cs="宋体"/>
          <w:color w:val="auto"/>
          <w:kern w:val="2"/>
          <w:sz w:val="21"/>
          <w:szCs w:val="21"/>
          <w:highlight w:val="none"/>
        </w:rPr>
      </w:pPr>
      <w:r>
        <w:rPr>
          <w:rFonts w:hint="eastAsia" w:hAnsi="宋体" w:cs="宋体"/>
          <w:color w:val="auto"/>
          <w:kern w:val="2"/>
          <w:sz w:val="21"/>
          <w:szCs w:val="21"/>
          <w:highlight w:val="none"/>
        </w:rPr>
        <w:t>3、参加采购活动前三年内，在经营活动中没有重大违法记录（格式如下）；</w:t>
      </w:r>
    </w:p>
    <w:p>
      <w:pPr>
        <w:widowControl/>
        <w:autoSpaceDE/>
        <w:autoSpaceDN/>
        <w:adjustRightInd/>
        <w:snapToGrid w:val="0"/>
        <w:spacing w:line="360" w:lineRule="auto"/>
        <w:ind w:firstLine="2530" w:firstLineChars="1200"/>
        <w:rPr>
          <w:rFonts w:hAnsi="宋体" w:cs="宋体"/>
          <w:b/>
          <w:bCs/>
          <w:color w:val="auto"/>
          <w:sz w:val="21"/>
          <w:szCs w:val="21"/>
          <w:highlight w:val="none"/>
        </w:rPr>
      </w:pPr>
      <w:r>
        <w:rPr>
          <w:rFonts w:hint="eastAsia" w:hAnsi="宋体" w:cs="宋体"/>
          <w:b/>
          <w:bCs/>
          <w:color w:val="auto"/>
          <w:sz w:val="21"/>
          <w:szCs w:val="21"/>
          <w:highlight w:val="none"/>
        </w:rPr>
        <w:t>在经营活动中没有重大违法记录的书面声明</w:t>
      </w:r>
    </w:p>
    <w:p>
      <w:pPr>
        <w:snapToGrid w:val="0"/>
        <w:spacing w:line="300" w:lineRule="auto"/>
        <w:ind w:left="480" w:leftChars="200"/>
        <w:rPr>
          <w:rFonts w:hAnsi="宋体" w:cs="宋体"/>
          <w:color w:val="auto"/>
          <w:sz w:val="21"/>
          <w:szCs w:val="21"/>
          <w:highlight w:val="none"/>
        </w:rPr>
      </w:pPr>
      <w:r>
        <w:rPr>
          <w:rFonts w:hint="eastAsia" w:hAnsi="宋体" w:cs="宋体"/>
          <w:color w:val="auto"/>
          <w:sz w:val="21"/>
          <w:szCs w:val="21"/>
          <w:highlight w:val="none"/>
        </w:rPr>
        <w:t>致：广东泰通伟业工程咨询有限公司</w:t>
      </w:r>
    </w:p>
    <w:p>
      <w:pPr>
        <w:snapToGrid w:val="0"/>
        <w:spacing w:line="300" w:lineRule="auto"/>
        <w:ind w:left="480" w:leftChars="200"/>
        <w:rPr>
          <w:rFonts w:hAnsi="宋体" w:cs="宋体"/>
          <w:color w:val="auto"/>
          <w:sz w:val="21"/>
          <w:szCs w:val="21"/>
          <w:highlight w:val="none"/>
        </w:rPr>
      </w:pPr>
      <w:r>
        <w:rPr>
          <w:rFonts w:hint="eastAsia" w:hAnsi="宋体" w:cs="宋体"/>
          <w:color w:val="auto"/>
          <w:sz w:val="21"/>
          <w:szCs w:val="21"/>
          <w:highlight w:val="none"/>
        </w:rPr>
        <w:t>      本公司参加</w:t>
      </w:r>
      <w:r>
        <w:rPr>
          <w:rFonts w:hint="eastAsia" w:hAnsi="宋体" w:cs="宋体"/>
          <w:color w:val="auto"/>
          <w:sz w:val="21"/>
          <w:szCs w:val="21"/>
          <w:highlight w:val="none"/>
          <w:u w:val="single"/>
        </w:rPr>
        <w:t>          </w:t>
      </w:r>
      <w:r>
        <w:rPr>
          <w:rFonts w:hint="eastAsia" w:hAnsi="宋体" w:cs="宋体"/>
          <w:color w:val="auto"/>
          <w:sz w:val="21"/>
          <w:szCs w:val="21"/>
          <w:highlight w:val="none"/>
        </w:rPr>
        <w:t>项目（项目编号：</w:t>
      </w:r>
      <w:r>
        <w:rPr>
          <w:rFonts w:hint="eastAsia" w:hAnsi="宋体" w:cs="宋体"/>
          <w:color w:val="auto"/>
          <w:sz w:val="21"/>
          <w:szCs w:val="21"/>
          <w:highlight w:val="none"/>
          <w:u w:val="single"/>
        </w:rPr>
        <w:t>　　　　</w:t>
      </w:r>
      <w:r>
        <w:rPr>
          <w:rFonts w:hint="eastAsia" w:hAnsi="宋体" w:cs="宋体"/>
          <w:color w:val="auto"/>
          <w:sz w:val="21"/>
          <w:szCs w:val="21"/>
          <w:highlight w:val="none"/>
        </w:rPr>
        <w:t>）的采购活动，并声明：</w:t>
      </w:r>
    </w:p>
    <w:p>
      <w:pPr>
        <w:snapToGrid w:val="0"/>
        <w:spacing w:line="300" w:lineRule="auto"/>
        <w:ind w:left="480" w:leftChars="200"/>
        <w:rPr>
          <w:rFonts w:hAnsi="宋体" w:cs="宋体"/>
          <w:color w:val="auto"/>
          <w:sz w:val="21"/>
          <w:szCs w:val="21"/>
          <w:highlight w:val="none"/>
        </w:rPr>
      </w:pPr>
      <w:r>
        <w:rPr>
          <w:rFonts w:hint="eastAsia" w:hAnsi="宋体" w:cs="宋体"/>
          <w:color w:val="auto"/>
          <w:sz w:val="21"/>
          <w:szCs w:val="21"/>
          <w:highlight w:val="none"/>
        </w:rPr>
        <w:t xml:space="preserve">    本公司参加本采购项目采购投标前3年内在经营活动中没有因违法经营受到刑事处罚或者责令停产停业、吊销许可证或者执照、较大数额罚款等行政处罚。</w:t>
      </w:r>
    </w:p>
    <w:p>
      <w:pPr>
        <w:snapToGrid w:val="0"/>
        <w:spacing w:line="300" w:lineRule="auto"/>
        <w:ind w:left="480" w:leftChars="200"/>
        <w:rPr>
          <w:rFonts w:hAnsi="宋体" w:cs="宋体"/>
          <w:color w:val="auto"/>
          <w:sz w:val="21"/>
          <w:szCs w:val="21"/>
          <w:highlight w:val="none"/>
        </w:rPr>
      </w:pPr>
      <w:r>
        <w:rPr>
          <w:rFonts w:hint="eastAsia" w:hAnsi="宋体" w:cs="宋体"/>
          <w:color w:val="auto"/>
          <w:sz w:val="21"/>
          <w:szCs w:val="21"/>
          <w:highlight w:val="none"/>
        </w:rPr>
        <w:t>    特此声明！</w:t>
      </w:r>
    </w:p>
    <w:p>
      <w:pPr>
        <w:pStyle w:val="51"/>
        <w:ind w:left="648"/>
        <w:rPr>
          <w:color w:val="auto"/>
          <w:highlight w:val="none"/>
        </w:rPr>
      </w:pPr>
    </w:p>
    <w:p>
      <w:pPr>
        <w:snapToGrid w:val="0"/>
        <w:spacing w:line="300" w:lineRule="auto"/>
        <w:ind w:left="480" w:leftChars="200"/>
        <w:rPr>
          <w:rFonts w:hAnsi="宋体" w:cs="宋体"/>
          <w:color w:val="auto"/>
          <w:sz w:val="21"/>
          <w:szCs w:val="21"/>
          <w:highlight w:val="none"/>
        </w:rPr>
      </w:pPr>
      <w:r>
        <w:rPr>
          <w:rFonts w:hint="eastAsia" w:hAnsi="宋体" w:cs="宋体"/>
          <w:color w:val="auto"/>
          <w:sz w:val="21"/>
          <w:szCs w:val="21"/>
          <w:highlight w:val="none"/>
          <w:u w:val="single"/>
        </w:rPr>
        <w:t xml:space="preserve">                  </w:t>
      </w:r>
    </w:p>
    <w:p>
      <w:pPr>
        <w:snapToGrid w:val="0"/>
        <w:spacing w:line="300" w:lineRule="auto"/>
        <w:ind w:left="480" w:leftChars="200"/>
        <w:rPr>
          <w:rFonts w:hAnsi="宋体" w:cs="宋体"/>
          <w:color w:val="auto"/>
          <w:sz w:val="21"/>
          <w:szCs w:val="21"/>
          <w:highlight w:val="none"/>
          <w:u w:val="single"/>
        </w:rPr>
      </w:pPr>
      <w:r>
        <w:rPr>
          <w:rFonts w:hint="eastAsia" w:hAnsi="宋体" w:cs="宋体"/>
          <w:color w:val="auto"/>
          <w:sz w:val="21"/>
          <w:szCs w:val="21"/>
          <w:highlight w:val="none"/>
        </w:rPr>
        <w:t>投标人名称（盖章）：</w:t>
      </w:r>
      <w:r>
        <w:rPr>
          <w:rFonts w:hint="eastAsia" w:hAnsi="宋体" w:cs="宋体"/>
          <w:color w:val="auto"/>
          <w:sz w:val="21"/>
          <w:szCs w:val="21"/>
          <w:highlight w:val="none"/>
          <w:u w:val="single"/>
        </w:rPr>
        <w:t xml:space="preserve">                        </w:t>
      </w:r>
    </w:p>
    <w:p>
      <w:pPr>
        <w:widowControl/>
        <w:adjustRightInd/>
        <w:spacing w:line="360" w:lineRule="auto"/>
        <w:ind w:left="480" w:leftChars="200" w:right="53"/>
        <w:textAlignment w:val="bottom"/>
        <w:rPr>
          <w:rFonts w:hAnsi="宋体" w:cs="宋体"/>
          <w:color w:val="auto"/>
          <w:sz w:val="21"/>
          <w:szCs w:val="21"/>
          <w:highlight w:val="none"/>
        </w:rPr>
      </w:pPr>
      <w:r>
        <w:rPr>
          <w:rFonts w:hint="eastAsia" w:hAnsi="宋体" w:cs="宋体"/>
          <w:color w:val="auto"/>
          <w:sz w:val="21"/>
          <w:szCs w:val="21"/>
          <w:highlight w:val="none"/>
        </w:rPr>
        <w:t>日期：</w:t>
      </w:r>
    </w:p>
    <w:p>
      <w:pPr>
        <w:widowControl/>
        <w:adjustRightInd/>
        <w:spacing w:line="360" w:lineRule="auto"/>
        <w:ind w:right="53"/>
        <w:textAlignment w:val="bottom"/>
        <w:rPr>
          <w:rFonts w:hAnsi="宋体" w:cs="宋体"/>
          <w:color w:val="auto"/>
          <w:sz w:val="21"/>
          <w:szCs w:val="21"/>
          <w:highlight w:val="none"/>
        </w:rPr>
      </w:pPr>
    </w:p>
    <w:p>
      <w:pPr>
        <w:widowControl/>
        <w:adjustRightInd/>
        <w:spacing w:line="360" w:lineRule="auto"/>
        <w:ind w:right="51" w:firstLine="420" w:firstLineChars="200"/>
        <w:textAlignment w:val="bottom"/>
        <w:outlineLvl w:val="4"/>
        <w:rPr>
          <w:rFonts w:hAnsi="宋体" w:cs="宋体"/>
          <w:color w:val="auto"/>
          <w:kern w:val="2"/>
          <w:sz w:val="21"/>
          <w:szCs w:val="21"/>
          <w:highlight w:val="none"/>
        </w:rPr>
      </w:pPr>
      <w:r>
        <w:rPr>
          <w:rFonts w:hint="eastAsia" w:hAnsi="宋体" w:cs="宋体"/>
          <w:color w:val="auto"/>
          <w:kern w:val="2"/>
          <w:sz w:val="21"/>
          <w:szCs w:val="21"/>
          <w:highlight w:val="none"/>
        </w:rPr>
        <w:t>4、</w:t>
      </w:r>
      <w:r>
        <w:rPr>
          <w:rFonts w:hint="eastAsia" w:hAnsi="宋体" w:cs="宋体"/>
          <w:bCs/>
          <w:color w:val="auto"/>
          <w:sz w:val="21"/>
          <w:szCs w:val="21"/>
          <w:highlight w:val="none"/>
        </w:rPr>
        <w:t>投标人认为必要的文件。</w:t>
      </w:r>
    </w:p>
    <w:p>
      <w:pPr>
        <w:keepNext/>
        <w:keepLines/>
        <w:rPr>
          <w:rFonts w:hAnsi="宋体" w:cs="宋体"/>
          <w:color w:val="auto"/>
          <w:sz w:val="21"/>
          <w:szCs w:val="21"/>
          <w:highlight w:val="none"/>
        </w:rPr>
      </w:pPr>
    </w:p>
    <w:p>
      <w:pPr>
        <w:jc w:val="center"/>
        <w:rPr>
          <w:rFonts w:hAnsi="宋体" w:cs="宋体"/>
          <w:color w:val="auto"/>
          <w:sz w:val="21"/>
          <w:szCs w:val="21"/>
          <w:highlight w:val="none"/>
        </w:rPr>
      </w:pPr>
    </w:p>
    <w:p>
      <w:pPr>
        <w:pStyle w:val="8"/>
        <w:widowControl/>
        <w:numPr>
          <w:ilvl w:val="0"/>
          <w:numId w:val="28"/>
        </w:numPr>
        <w:spacing w:before="0" w:after="0" w:line="240" w:lineRule="auto"/>
        <w:jc w:val="center"/>
        <w:rPr>
          <w:rFonts w:ascii="宋体" w:hAnsi="宋体" w:eastAsia="宋体" w:cs="宋体"/>
          <w:color w:val="auto"/>
          <w:sz w:val="24"/>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highlight w:val="none"/>
        </w:rPr>
        <w:t>联合体共同投标协议书（如有）</w:t>
      </w:r>
    </w:p>
    <w:p>
      <w:pPr>
        <w:rPr>
          <w:rFonts w:hAnsi="宋体" w:cs="宋体"/>
          <w:color w:val="auto"/>
          <w:highlight w:val="none"/>
        </w:rPr>
      </w:pPr>
    </w:p>
    <w:p>
      <w:pPr>
        <w:jc w:val="center"/>
        <w:rPr>
          <w:rFonts w:hAnsi="宋体" w:cs="宋体"/>
          <w:color w:val="auto"/>
          <w:highlight w:val="none"/>
        </w:rPr>
      </w:pPr>
      <w:r>
        <w:rPr>
          <w:rFonts w:hint="eastAsia" w:hAnsi="宋体" w:cs="宋体"/>
          <w:b/>
          <w:bCs/>
          <w:color w:val="auto"/>
          <w:highlight w:val="none"/>
        </w:rPr>
        <w:t>联合体共同投标协议书</w:t>
      </w:r>
    </w:p>
    <w:p>
      <w:pPr>
        <w:jc w:val="center"/>
        <w:rPr>
          <w:rFonts w:hAnsi="宋体" w:cs="宋体"/>
          <w:color w:val="auto"/>
          <w:highlight w:val="none"/>
        </w:rPr>
      </w:pPr>
    </w:p>
    <w:p>
      <w:pPr>
        <w:spacing w:line="360" w:lineRule="auto"/>
        <w:rPr>
          <w:rFonts w:hAnsi="宋体" w:cs="宋体"/>
          <w:color w:val="auto"/>
          <w:sz w:val="21"/>
          <w:szCs w:val="21"/>
          <w:highlight w:val="none"/>
        </w:rPr>
      </w:pPr>
      <w:r>
        <w:rPr>
          <w:rFonts w:hint="eastAsia" w:hAnsi="宋体" w:cs="宋体"/>
          <w:color w:val="auto"/>
          <w:sz w:val="21"/>
          <w:szCs w:val="21"/>
          <w:highlight w:val="none"/>
        </w:rPr>
        <w:t>立约方：（甲公司全称）</w:t>
      </w:r>
    </w:p>
    <w:p>
      <w:pPr>
        <w:spacing w:line="360" w:lineRule="auto"/>
        <w:rPr>
          <w:rFonts w:hAnsi="宋体" w:cs="宋体"/>
          <w:color w:val="auto"/>
          <w:sz w:val="21"/>
          <w:szCs w:val="21"/>
          <w:highlight w:val="none"/>
        </w:rPr>
      </w:pPr>
      <w:r>
        <w:rPr>
          <w:rFonts w:hint="eastAsia" w:hAnsi="宋体" w:cs="宋体"/>
          <w:color w:val="auto"/>
          <w:sz w:val="21"/>
          <w:szCs w:val="21"/>
          <w:highlight w:val="none"/>
        </w:rPr>
        <w:t>（乙公司全称）</w:t>
      </w:r>
    </w:p>
    <w:p>
      <w:pPr>
        <w:spacing w:line="360" w:lineRule="auto"/>
        <w:rPr>
          <w:rFonts w:hAnsi="宋体" w:cs="宋体"/>
          <w:color w:val="auto"/>
          <w:sz w:val="21"/>
          <w:szCs w:val="21"/>
          <w:highlight w:val="none"/>
        </w:rPr>
      </w:pPr>
      <w:r>
        <w:rPr>
          <w:rFonts w:hint="eastAsia" w:hAnsi="宋体" w:cs="宋体"/>
          <w:color w:val="auto"/>
          <w:sz w:val="21"/>
          <w:szCs w:val="21"/>
          <w:highlight w:val="none"/>
        </w:rPr>
        <w:t>（……公司全称）</w:t>
      </w:r>
    </w:p>
    <w:p>
      <w:pPr>
        <w:spacing w:line="360" w:lineRule="auto"/>
        <w:rPr>
          <w:rFonts w:hAnsi="宋体" w:cs="宋体"/>
          <w:color w:val="auto"/>
          <w:sz w:val="21"/>
          <w:szCs w:val="21"/>
          <w:highlight w:val="none"/>
        </w:rPr>
      </w:pPr>
      <w:r>
        <w:rPr>
          <w:rFonts w:hint="eastAsia" w:hAnsi="宋体" w:cs="宋体"/>
          <w:color w:val="auto"/>
          <w:sz w:val="21"/>
          <w:szCs w:val="21"/>
          <w:highlight w:val="none"/>
          <w:u w:val="single"/>
        </w:rPr>
        <w:t>（甲公司全称）、（乙公司全称）、（……公司全称）</w:t>
      </w:r>
      <w:r>
        <w:rPr>
          <w:rFonts w:hint="eastAsia" w:hAnsi="宋体" w:cs="宋体"/>
          <w:color w:val="auto"/>
          <w:sz w:val="21"/>
          <w:szCs w:val="21"/>
          <w:highlight w:val="none"/>
        </w:rPr>
        <w:t>自愿组成联合体，以一个投标人的身份共同参加</w:t>
      </w:r>
      <w:r>
        <w:rPr>
          <w:rFonts w:hint="eastAsia" w:hAnsi="宋体" w:cs="宋体"/>
          <w:color w:val="auto"/>
          <w:sz w:val="21"/>
          <w:szCs w:val="21"/>
          <w:highlight w:val="none"/>
          <w:u w:val="single"/>
        </w:rPr>
        <w:t>（项目名称） （项目编号）</w:t>
      </w:r>
      <w:r>
        <w:rPr>
          <w:rFonts w:hint="eastAsia" w:hAnsi="宋体" w:cs="宋体"/>
          <w:color w:val="auto"/>
          <w:sz w:val="21"/>
          <w:szCs w:val="21"/>
          <w:highlight w:val="none"/>
        </w:rPr>
        <w:t>的采购活动。经各方充分协商一致，就项目的投标和合同实施阶段的有关事务协商一致订立协议如下：</w:t>
      </w:r>
    </w:p>
    <w:p>
      <w:pPr>
        <w:spacing w:line="360" w:lineRule="auto"/>
        <w:rPr>
          <w:rFonts w:hAnsi="宋体" w:cs="宋体"/>
          <w:color w:val="auto"/>
          <w:sz w:val="21"/>
          <w:szCs w:val="21"/>
          <w:highlight w:val="none"/>
        </w:rPr>
      </w:pPr>
      <w:r>
        <w:rPr>
          <w:rFonts w:hint="eastAsia" w:hAnsi="宋体" w:cs="宋体"/>
          <w:color w:val="auto"/>
          <w:sz w:val="21"/>
          <w:szCs w:val="21"/>
          <w:highlight w:val="none"/>
        </w:rPr>
        <w:t>一、联合体各方关系</w:t>
      </w:r>
    </w:p>
    <w:p>
      <w:pPr>
        <w:spacing w:line="360" w:lineRule="auto"/>
        <w:rPr>
          <w:rFonts w:hAnsi="宋体" w:cs="宋体"/>
          <w:color w:val="auto"/>
          <w:sz w:val="21"/>
          <w:szCs w:val="21"/>
          <w:highlight w:val="none"/>
        </w:rPr>
      </w:pPr>
      <w:r>
        <w:rPr>
          <w:rFonts w:hint="eastAsia" w:hAnsi="宋体" w:cs="宋体"/>
          <w:color w:val="auto"/>
          <w:sz w:val="21"/>
          <w:szCs w:val="21"/>
          <w:highlight w:val="none"/>
          <w:u w:val="single"/>
        </w:rPr>
        <w:t>（甲公司全称）、（乙公司全称）、（……公司全称）</w:t>
      </w:r>
      <w:r>
        <w:rPr>
          <w:rFonts w:hint="eastAsia" w:hAnsi="宋体" w:cs="宋体"/>
          <w:color w:val="auto"/>
          <w:sz w:val="21"/>
          <w:szCs w:val="21"/>
          <w:highlight w:val="none"/>
        </w:rPr>
        <w:t>共同组成一个联合体，以一个投标人的身份共同参加本项目的投标。</w:t>
      </w:r>
      <w:r>
        <w:rPr>
          <w:rFonts w:hint="eastAsia" w:hAnsi="宋体" w:cs="宋体"/>
          <w:color w:val="auto"/>
          <w:sz w:val="21"/>
          <w:szCs w:val="21"/>
          <w:highlight w:val="none"/>
          <w:u w:val="single"/>
        </w:rPr>
        <w:t>（甲公司全称）、（乙公司全称）、（……公司全称）</w:t>
      </w:r>
      <w:r>
        <w:rPr>
          <w:rFonts w:hint="eastAsia" w:hAnsi="宋体" w:cs="宋体"/>
          <w:color w:val="auto"/>
          <w:sz w:val="21"/>
          <w:szCs w:val="21"/>
          <w:highlight w:val="none"/>
        </w:rPr>
        <w:t>作为联合体成员，若中标，联合体各方共同与</w:t>
      </w:r>
      <w:r>
        <w:rPr>
          <w:rFonts w:hint="eastAsia" w:hAnsi="宋体" w:cs="宋体"/>
          <w:color w:val="auto"/>
          <w:sz w:val="21"/>
          <w:szCs w:val="21"/>
          <w:highlight w:val="none"/>
          <w:u w:val="single"/>
        </w:rPr>
        <w:t>（采购人）</w:t>
      </w:r>
      <w:r>
        <w:rPr>
          <w:rFonts w:hint="eastAsia" w:hAnsi="宋体" w:cs="宋体"/>
          <w:color w:val="auto"/>
          <w:sz w:val="21"/>
          <w:szCs w:val="21"/>
          <w:highlight w:val="none"/>
        </w:rPr>
        <w:t>签订合同。</w:t>
      </w:r>
    </w:p>
    <w:p>
      <w:pPr>
        <w:spacing w:line="360" w:lineRule="auto"/>
        <w:ind w:firstLine="105" w:firstLineChars="50"/>
        <w:rPr>
          <w:rFonts w:hAnsi="宋体" w:cs="宋体"/>
          <w:color w:val="auto"/>
          <w:sz w:val="21"/>
          <w:szCs w:val="21"/>
          <w:highlight w:val="none"/>
        </w:rPr>
      </w:pPr>
      <w:r>
        <w:rPr>
          <w:rFonts w:hint="eastAsia" w:hAnsi="宋体" w:cs="宋体"/>
          <w:color w:val="auto"/>
          <w:sz w:val="21"/>
          <w:szCs w:val="21"/>
          <w:highlight w:val="none"/>
        </w:rPr>
        <w:t>本次投标中，以</w:t>
      </w:r>
      <w:r>
        <w:rPr>
          <w:rFonts w:hint="eastAsia" w:hAnsi="宋体" w:cs="宋体"/>
          <w:color w:val="auto"/>
          <w:sz w:val="21"/>
          <w:szCs w:val="21"/>
          <w:highlight w:val="none"/>
          <w:u w:val="single"/>
        </w:rPr>
        <w:t>（公司全称）</w:t>
      </w:r>
      <w:r>
        <w:rPr>
          <w:rFonts w:hint="eastAsia" w:hAnsi="宋体" w:cs="宋体"/>
          <w:color w:val="auto"/>
          <w:sz w:val="21"/>
          <w:szCs w:val="21"/>
          <w:highlight w:val="none"/>
        </w:rPr>
        <w:t>为联合体主体，其余公司为客体。</w:t>
      </w:r>
    </w:p>
    <w:p>
      <w:pPr>
        <w:spacing w:line="360" w:lineRule="auto"/>
        <w:rPr>
          <w:rFonts w:hAnsi="宋体" w:cs="宋体"/>
          <w:color w:val="auto"/>
          <w:sz w:val="21"/>
          <w:szCs w:val="21"/>
          <w:highlight w:val="none"/>
        </w:rPr>
      </w:pPr>
      <w:r>
        <w:rPr>
          <w:rFonts w:hint="eastAsia" w:hAnsi="宋体" w:cs="宋体"/>
          <w:color w:val="auto"/>
          <w:sz w:val="21"/>
          <w:szCs w:val="21"/>
          <w:highlight w:val="none"/>
        </w:rPr>
        <w:t>二、联合体内部有关事项约定如下：</w:t>
      </w:r>
    </w:p>
    <w:p>
      <w:pPr>
        <w:spacing w:line="360" w:lineRule="auto"/>
        <w:rPr>
          <w:rFonts w:hAnsi="宋体" w:cs="宋体"/>
          <w:color w:val="auto"/>
          <w:sz w:val="21"/>
          <w:szCs w:val="21"/>
          <w:highlight w:val="none"/>
        </w:rPr>
      </w:pPr>
      <w:r>
        <w:rPr>
          <w:rFonts w:hint="eastAsia" w:hAnsi="宋体" w:cs="宋体"/>
          <w:color w:val="auto"/>
          <w:sz w:val="21"/>
          <w:szCs w:val="21"/>
          <w:highlight w:val="none"/>
        </w:rPr>
        <w:t>1.联合体由联合体共同授权人员负责与采购人联系。</w:t>
      </w:r>
    </w:p>
    <w:p>
      <w:pPr>
        <w:spacing w:line="360" w:lineRule="auto"/>
        <w:rPr>
          <w:rFonts w:hAnsi="宋体" w:cs="宋体"/>
          <w:color w:val="auto"/>
          <w:sz w:val="21"/>
          <w:szCs w:val="21"/>
          <w:highlight w:val="none"/>
        </w:rPr>
      </w:pPr>
      <w:r>
        <w:rPr>
          <w:rFonts w:hint="eastAsia" w:hAnsi="宋体" w:cs="宋体"/>
          <w:color w:val="auto"/>
          <w:sz w:val="21"/>
          <w:szCs w:val="21"/>
          <w:highlight w:val="none"/>
        </w:rPr>
        <w:t>2.联合体投标工作由联合体共同负责，由联合体各方组成的投标小组具体实施。</w:t>
      </w:r>
    </w:p>
    <w:p>
      <w:pPr>
        <w:spacing w:line="360" w:lineRule="auto"/>
        <w:rPr>
          <w:rFonts w:hAnsi="宋体" w:cs="宋体"/>
          <w:color w:val="auto"/>
          <w:sz w:val="21"/>
          <w:szCs w:val="21"/>
          <w:highlight w:val="none"/>
        </w:rPr>
      </w:pPr>
      <w:r>
        <w:rPr>
          <w:rFonts w:hint="eastAsia" w:hAnsi="宋体" w:cs="宋体"/>
          <w:color w:val="auto"/>
          <w:sz w:val="21"/>
          <w:szCs w:val="21"/>
          <w:highlight w:val="none"/>
        </w:rPr>
        <w:t>3.联合体将严格按照文件的各项要求，递交投标文件，切实执行一切合同文件，共同承担合同规定的一切义务和责任，同时按照内部职责的划分，承担自身所负的责任和风险，在法律上承担连带责任。</w:t>
      </w:r>
    </w:p>
    <w:p>
      <w:pPr>
        <w:spacing w:line="360" w:lineRule="auto"/>
        <w:rPr>
          <w:rFonts w:hAnsi="宋体" w:cs="宋体"/>
          <w:color w:val="auto"/>
          <w:sz w:val="21"/>
          <w:szCs w:val="21"/>
          <w:highlight w:val="none"/>
        </w:rPr>
      </w:pPr>
      <w:r>
        <w:rPr>
          <w:rFonts w:hint="eastAsia" w:hAnsi="宋体" w:cs="宋体"/>
          <w:color w:val="auto"/>
          <w:sz w:val="21"/>
          <w:szCs w:val="21"/>
          <w:highlight w:val="none"/>
        </w:rPr>
        <w:t>4.如中标，联合体各方共同与（采购人）签订合同书，并就中标项目向采购人负有连带的和各自的法律责任；</w:t>
      </w:r>
    </w:p>
    <w:p>
      <w:pPr>
        <w:spacing w:line="360" w:lineRule="auto"/>
        <w:rPr>
          <w:rFonts w:hAnsi="宋体" w:cs="宋体"/>
          <w:color w:val="auto"/>
          <w:sz w:val="21"/>
          <w:szCs w:val="21"/>
          <w:highlight w:val="none"/>
        </w:rPr>
      </w:pPr>
      <w:r>
        <w:rPr>
          <w:rFonts w:hint="eastAsia" w:hAnsi="宋体" w:cs="宋体"/>
          <w:color w:val="auto"/>
          <w:sz w:val="21"/>
          <w:szCs w:val="21"/>
          <w:highlight w:val="none"/>
        </w:rPr>
        <w:t>三、联合体各方不得再以自己名义参与本项目投标，联合体各方不能作为其它联合体或单独投标单位的项目组成员参加本项目投标。因发生上述问题导致联合体成为无效投标，联合体的其他成员可追究其违约责任和经济损失。</w:t>
      </w:r>
    </w:p>
    <w:p>
      <w:pPr>
        <w:spacing w:line="360" w:lineRule="auto"/>
        <w:rPr>
          <w:rFonts w:hAnsi="宋体" w:cs="宋体"/>
          <w:color w:val="auto"/>
          <w:sz w:val="21"/>
          <w:szCs w:val="21"/>
          <w:highlight w:val="none"/>
        </w:rPr>
      </w:pPr>
      <w:r>
        <w:rPr>
          <w:rFonts w:hint="eastAsia" w:hAnsi="宋体" w:cs="宋体"/>
          <w:color w:val="auto"/>
          <w:sz w:val="21"/>
          <w:szCs w:val="21"/>
          <w:highlight w:val="none"/>
        </w:rPr>
        <w:t>四、联合体如因违约过失责任而导致采购人经济损失或被索赔时，本联合体任何一方均同意无条件优先清偿采购人的一切债务和经济赔偿。</w:t>
      </w:r>
    </w:p>
    <w:p>
      <w:pPr>
        <w:spacing w:line="360" w:lineRule="auto"/>
        <w:rPr>
          <w:rFonts w:hAnsi="宋体" w:cs="宋体"/>
          <w:color w:val="auto"/>
          <w:sz w:val="21"/>
          <w:szCs w:val="21"/>
          <w:highlight w:val="none"/>
        </w:rPr>
      </w:pPr>
      <w:r>
        <w:rPr>
          <w:rFonts w:hint="eastAsia" w:hAnsi="宋体" w:cs="宋体"/>
          <w:color w:val="auto"/>
          <w:sz w:val="21"/>
          <w:szCs w:val="21"/>
          <w:highlight w:val="none"/>
        </w:rPr>
        <w:t>五、本协议在自签署之日起生效，有效期内有效，如获中标资格，合同有效期延续至合同履行完毕之日。</w:t>
      </w:r>
    </w:p>
    <w:p>
      <w:pPr>
        <w:spacing w:line="360" w:lineRule="auto"/>
        <w:rPr>
          <w:rFonts w:hAnsi="宋体" w:cs="宋体"/>
          <w:color w:val="auto"/>
          <w:sz w:val="21"/>
          <w:szCs w:val="21"/>
          <w:highlight w:val="none"/>
        </w:rPr>
      </w:pPr>
      <w:r>
        <w:rPr>
          <w:rFonts w:hint="eastAsia" w:hAnsi="宋体" w:cs="宋体"/>
          <w:color w:val="auto"/>
          <w:sz w:val="21"/>
          <w:szCs w:val="21"/>
          <w:highlight w:val="none"/>
        </w:rPr>
        <w:t>六、本协议书正本一式</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份，随投标文件装订</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份。 </w:t>
      </w:r>
    </w:p>
    <w:p>
      <w:pPr>
        <w:spacing w:line="360" w:lineRule="auto"/>
        <w:rPr>
          <w:rFonts w:hAnsi="宋体" w:cs="宋体"/>
          <w:color w:val="auto"/>
          <w:sz w:val="21"/>
          <w:szCs w:val="21"/>
          <w:highlight w:val="none"/>
        </w:rPr>
      </w:pPr>
    </w:p>
    <w:p>
      <w:pPr>
        <w:spacing w:line="360" w:lineRule="auto"/>
        <w:rPr>
          <w:rFonts w:hAnsi="宋体" w:cs="宋体"/>
          <w:color w:val="auto"/>
          <w:sz w:val="21"/>
          <w:szCs w:val="21"/>
          <w:highlight w:val="none"/>
        </w:rPr>
      </w:pPr>
    </w:p>
    <w:p>
      <w:pPr>
        <w:spacing w:line="360" w:lineRule="auto"/>
        <w:rPr>
          <w:rFonts w:hAnsi="宋体" w:cs="宋体"/>
          <w:color w:val="auto"/>
          <w:sz w:val="21"/>
          <w:szCs w:val="21"/>
          <w:highlight w:val="none"/>
        </w:rPr>
      </w:pPr>
      <w:r>
        <w:rPr>
          <w:rFonts w:hint="eastAsia" w:hAnsi="宋体" w:cs="宋体"/>
          <w:color w:val="auto"/>
          <w:sz w:val="21"/>
          <w:szCs w:val="21"/>
          <w:highlight w:val="none"/>
        </w:rPr>
        <w:t xml:space="preserve">甲公司全称：（盖章） </w:t>
      </w:r>
      <w:r>
        <w:rPr>
          <w:rFonts w:hint="eastAsia" w:hAnsi="宋体" w:cs="宋体"/>
          <w:color w:val="auto"/>
          <w:sz w:val="21"/>
          <w:szCs w:val="21"/>
          <w:highlight w:val="none"/>
        </w:rPr>
        <w:tab/>
      </w:r>
      <w:r>
        <w:rPr>
          <w:rFonts w:hint="eastAsia" w:hAnsi="宋体" w:cs="宋体"/>
          <w:color w:val="auto"/>
          <w:sz w:val="21"/>
          <w:szCs w:val="21"/>
          <w:highlight w:val="none"/>
        </w:rPr>
        <w:t>乙公司全称：（盖章）</w:t>
      </w:r>
      <w:r>
        <w:rPr>
          <w:rFonts w:hint="eastAsia" w:hAnsi="宋体" w:cs="宋体"/>
          <w:color w:val="auto"/>
          <w:sz w:val="21"/>
          <w:szCs w:val="21"/>
          <w:highlight w:val="none"/>
        </w:rPr>
        <w:tab/>
      </w:r>
      <w:r>
        <w:rPr>
          <w:rFonts w:hint="eastAsia" w:hAnsi="宋体" w:cs="宋体"/>
          <w:color w:val="auto"/>
          <w:sz w:val="21"/>
          <w:szCs w:val="21"/>
          <w:highlight w:val="none"/>
        </w:rPr>
        <w:t>……公司全称（盖章）</w:t>
      </w:r>
    </w:p>
    <w:p>
      <w:pPr>
        <w:spacing w:line="360" w:lineRule="auto"/>
        <w:rPr>
          <w:rFonts w:hAnsi="宋体" w:cs="宋体"/>
          <w:color w:val="auto"/>
          <w:sz w:val="21"/>
          <w:szCs w:val="21"/>
          <w:highlight w:val="none"/>
        </w:rPr>
      </w:pPr>
      <w:r>
        <w:rPr>
          <w:rFonts w:hint="eastAsia" w:hAnsi="宋体" w:cs="宋体"/>
          <w:color w:val="auto"/>
          <w:sz w:val="21"/>
          <w:szCs w:val="21"/>
          <w:highlight w:val="none"/>
        </w:rPr>
        <w:t xml:space="preserve">法定代表人：（签字或盖章） </w:t>
      </w:r>
      <w:r>
        <w:rPr>
          <w:rFonts w:hint="eastAsia" w:hAnsi="宋体" w:cs="宋体"/>
          <w:color w:val="auto"/>
          <w:sz w:val="21"/>
          <w:szCs w:val="21"/>
          <w:highlight w:val="none"/>
        </w:rPr>
        <w:tab/>
      </w:r>
      <w:r>
        <w:rPr>
          <w:rFonts w:hint="eastAsia" w:hAnsi="宋体" w:cs="宋体"/>
          <w:color w:val="auto"/>
          <w:sz w:val="21"/>
          <w:szCs w:val="21"/>
          <w:highlight w:val="none"/>
        </w:rPr>
        <w:t>法定代表人（签字或盖章）</w:t>
      </w:r>
      <w:r>
        <w:rPr>
          <w:rFonts w:hint="eastAsia" w:hAnsi="宋体" w:cs="宋体"/>
          <w:color w:val="auto"/>
          <w:sz w:val="21"/>
          <w:szCs w:val="21"/>
          <w:highlight w:val="none"/>
        </w:rPr>
        <w:tab/>
      </w:r>
      <w:r>
        <w:rPr>
          <w:rFonts w:hint="eastAsia" w:hAnsi="宋体" w:cs="宋体"/>
          <w:color w:val="auto"/>
          <w:sz w:val="21"/>
          <w:szCs w:val="21"/>
          <w:highlight w:val="none"/>
        </w:rPr>
        <w:t xml:space="preserve"> 法定代表人（签字或盖章）</w:t>
      </w:r>
    </w:p>
    <w:p>
      <w:pPr>
        <w:spacing w:line="360" w:lineRule="auto"/>
        <w:rPr>
          <w:rFonts w:hAnsi="宋体" w:cs="宋体"/>
          <w:color w:val="auto"/>
          <w:sz w:val="21"/>
          <w:szCs w:val="21"/>
          <w:highlight w:val="none"/>
        </w:rPr>
      </w:pPr>
      <w:r>
        <w:rPr>
          <w:rFonts w:hint="eastAsia" w:hAnsi="宋体" w:cs="宋体"/>
          <w:color w:val="auto"/>
          <w:sz w:val="21"/>
          <w:szCs w:val="21"/>
          <w:highlight w:val="none"/>
        </w:rPr>
        <w:t>　　年　　月　　日</w:t>
      </w:r>
      <w:r>
        <w:rPr>
          <w:rFonts w:hint="eastAsia" w:hAnsi="宋体" w:cs="宋体"/>
          <w:color w:val="auto"/>
          <w:sz w:val="21"/>
          <w:szCs w:val="21"/>
          <w:highlight w:val="none"/>
        </w:rPr>
        <w:tab/>
      </w:r>
      <w:r>
        <w:rPr>
          <w:rFonts w:hint="eastAsia" w:hAnsi="宋体" w:cs="宋体"/>
          <w:color w:val="auto"/>
          <w:sz w:val="21"/>
          <w:szCs w:val="21"/>
          <w:highlight w:val="none"/>
        </w:rPr>
        <w:t>　　年　　月　　日</w:t>
      </w:r>
      <w:r>
        <w:rPr>
          <w:rFonts w:hint="eastAsia" w:hAnsi="宋体" w:cs="宋体"/>
          <w:color w:val="auto"/>
          <w:sz w:val="21"/>
          <w:szCs w:val="21"/>
          <w:highlight w:val="none"/>
        </w:rPr>
        <w:tab/>
      </w:r>
      <w:r>
        <w:rPr>
          <w:rFonts w:hint="eastAsia" w:hAnsi="宋体" w:cs="宋体"/>
          <w:color w:val="auto"/>
          <w:sz w:val="21"/>
          <w:szCs w:val="21"/>
          <w:highlight w:val="none"/>
        </w:rPr>
        <w:t>　　年　　月　　日</w:t>
      </w:r>
    </w:p>
    <w:p>
      <w:pPr>
        <w:spacing w:line="360" w:lineRule="auto"/>
        <w:rPr>
          <w:rFonts w:hAnsi="宋体" w:cs="宋体"/>
          <w:color w:val="auto"/>
          <w:sz w:val="21"/>
          <w:szCs w:val="21"/>
          <w:highlight w:val="none"/>
        </w:rPr>
      </w:pPr>
    </w:p>
    <w:p>
      <w:pPr>
        <w:spacing w:line="360" w:lineRule="auto"/>
        <w:rPr>
          <w:rFonts w:hAnsi="宋体" w:cs="宋体"/>
          <w:color w:val="auto"/>
          <w:sz w:val="21"/>
          <w:szCs w:val="21"/>
          <w:highlight w:val="none"/>
        </w:rPr>
      </w:pPr>
    </w:p>
    <w:p>
      <w:pPr>
        <w:spacing w:line="360" w:lineRule="auto"/>
        <w:rPr>
          <w:rFonts w:hAnsi="宋体" w:cs="宋体"/>
          <w:color w:val="auto"/>
          <w:sz w:val="21"/>
          <w:szCs w:val="21"/>
          <w:highlight w:val="none"/>
        </w:rPr>
      </w:pPr>
      <w:r>
        <w:rPr>
          <w:rFonts w:hint="eastAsia" w:hAnsi="宋体" w:cs="宋体"/>
          <w:color w:val="auto"/>
          <w:sz w:val="21"/>
          <w:szCs w:val="21"/>
          <w:highlight w:val="none"/>
        </w:rPr>
        <w:t>注：1．联合投标时需签本协议，联合体各方成员应在本协议上共同盖章确认。</w:t>
      </w:r>
    </w:p>
    <w:p>
      <w:pPr>
        <w:numPr>
          <w:ilvl w:val="0"/>
          <w:numId w:val="30"/>
        </w:num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本协议书为参考版本，联合体成员可按本项目的实际情况修改，但必须满足本项目的要求。联合体协议将作为签订合同的附件之一。</w:t>
      </w:r>
    </w:p>
    <w:p>
      <w:pPr>
        <w:numPr>
          <w:ilvl w:val="0"/>
          <w:numId w:val="30"/>
        </w:num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可增加联合体主体、客体分工情况的说明条款。</w:t>
      </w:r>
    </w:p>
    <w:p>
      <w:pPr>
        <w:numPr>
          <w:ilvl w:val="0"/>
          <w:numId w:val="31"/>
        </w:num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除联合体协议明确授权盖章单位外，联合体投标时投标文件中所有要求盖章的地方均须加盖联合体所有组成成员的公章，否则该处盖章无效。</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8"/>
        <w:widowControl/>
        <w:numPr>
          <w:ilvl w:val="0"/>
          <w:numId w:val="28"/>
        </w:numPr>
        <w:spacing w:before="0" w:after="0" w:line="240" w:lineRule="auto"/>
        <w:jc w:val="center"/>
        <w:rPr>
          <w:rFonts w:ascii="宋体" w:hAnsi="宋体" w:eastAsia="宋体" w:cs="宋体"/>
          <w:color w:val="auto"/>
          <w:sz w:val="21"/>
          <w:szCs w:val="21"/>
          <w:highlight w:val="none"/>
        </w:rPr>
      </w:pPr>
      <w:r>
        <w:rPr>
          <w:rFonts w:hint="eastAsia" w:ascii="宋体" w:hAnsi="宋体" w:eastAsia="宋体" w:cs="宋体"/>
          <w:color w:val="auto"/>
          <w:highlight w:val="none"/>
        </w:rPr>
        <w:t xml:space="preserve"> 用户需求偏离表</w:t>
      </w:r>
      <w:bookmarkEnd w:id="87"/>
    </w:p>
    <w:p>
      <w:pPr>
        <w:jc w:val="center"/>
        <w:rPr>
          <w:rFonts w:hAnsi="宋体" w:cs="宋体"/>
          <w:color w:val="auto"/>
          <w:sz w:val="28"/>
          <w:szCs w:val="28"/>
          <w:highlight w:val="none"/>
        </w:rPr>
      </w:pPr>
    </w:p>
    <w:tbl>
      <w:tblPr>
        <w:tblStyle w:val="52"/>
        <w:tblW w:w="47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3"/>
        <w:gridCol w:w="1853"/>
        <w:gridCol w:w="2163"/>
        <w:gridCol w:w="1546"/>
        <w:gridCol w:w="1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83" w:type="pct"/>
            <w:vAlign w:val="center"/>
          </w:tcPr>
          <w:p>
            <w:pPr>
              <w:jc w:val="center"/>
              <w:rPr>
                <w:rFonts w:hAnsi="宋体" w:cs="宋体"/>
                <w:color w:val="auto"/>
                <w:sz w:val="21"/>
                <w:szCs w:val="21"/>
                <w:highlight w:val="none"/>
              </w:rPr>
            </w:pPr>
            <w:r>
              <w:rPr>
                <w:rFonts w:hint="eastAsia" w:hAnsi="宋体" w:cs="宋体"/>
                <w:color w:val="auto"/>
                <w:sz w:val="21"/>
                <w:szCs w:val="21"/>
                <w:highlight w:val="none"/>
              </w:rPr>
              <w:t>序号</w:t>
            </w:r>
          </w:p>
        </w:tc>
        <w:tc>
          <w:tcPr>
            <w:tcW w:w="1057" w:type="pct"/>
            <w:vAlign w:val="center"/>
          </w:tcPr>
          <w:p>
            <w:pPr>
              <w:jc w:val="center"/>
              <w:rPr>
                <w:rFonts w:hAnsi="宋体" w:cs="宋体"/>
                <w:color w:val="auto"/>
                <w:sz w:val="21"/>
                <w:szCs w:val="21"/>
                <w:highlight w:val="none"/>
              </w:rPr>
            </w:pPr>
            <w:r>
              <w:rPr>
                <w:rFonts w:hint="eastAsia" w:hAnsi="宋体" w:cs="宋体"/>
                <w:color w:val="auto"/>
                <w:sz w:val="21"/>
                <w:szCs w:val="21"/>
                <w:highlight w:val="none"/>
              </w:rPr>
              <w:t>采购文件要求</w:t>
            </w:r>
          </w:p>
        </w:tc>
        <w:tc>
          <w:tcPr>
            <w:tcW w:w="1234" w:type="pct"/>
            <w:vAlign w:val="center"/>
          </w:tcPr>
          <w:p>
            <w:pPr>
              <w:jc w:val="center"/>
              <w:rPr>
                <w:rFonts w:hAnsi="宋体" w:cs="宋体"/>
                <w:color w:val="auto"/>
                <w:sz w:val="21"/>
                <w:szCs w:val="21"/>
                <w:highlight w:val="none"/>
              </w:rPr>
            </w:pPr>
            <w:r>
              <w:rPr>
                <w:rFonts w:hint="eastAsia" w:hAnsi="宋体" w:cs="宋体"/>
                <w:color w:val="auto"/>
                <w:sz w:val="21"/>
                <w:szCs w:val="21"/>
                <w:highlight w:val="none"/>
              </w:rPr>
              <w:t>投标实际响应</w:t>
            </w:r>
          </w:p>
        </w:tc>
        <w:tc>
          <w:tcPr>
            <w:tcW w:w="882" w:type="pct"/>
            <w:vAlign w:val="center"/>
          </w:tcPr>
          <w:p>
            <w:pPr>
              <w:jc w:val="center"/>
              <w:rPr>
                <w:rFonts w:hAnsi="宋体" w:cs="宋体"/>
                <w:color w:val="auto"/>
                <w:sz w:val="21"/>
                <w:szCs w:val="21"/>
                <w:highlight w:val="none"/>
              </w:rPr>
            </w:pPr>
            <w:r>
              <w:rPr>
                <w:rFonts w:hint="eastAsia" w:hAnsi="宋体" w:cs="宋体"/>
                <w:color w:val="auto"/>
                <w:sz w:val="21"/>
                <w:szCs w:val="21"/>
                <w:highlight w:val="none"/>
              </w:rPr>
              <w:t>偏离情况</w:t>
            </w:r>
          </w:p>
        </w:tc>
        <w:tc>
          <w:tcPr>
            <w:tcW w:w="1041" w:type="pct"/>
            <w:vAlign w:val="center"/>
          </w:tcPr>
          <w:p>
            <w:pPr>
              <w:jc w:val="center"/>
              <w:rPr>
                <w:rFonts w:hAnsi="宋体" w:cs="宋体"/>
                <w:color w:val="auto"/>
                <w:sz w:val="21"/>
                <w:szCs w:val="21"/>
                <w:highlight w:val="none"/>
              </w:rPr>
            </w:pPr>
            <w:r>
              <w:rPr>
                <w:rFonts w:hint="eastAsia" w:hAnsi="宋体" w:cs="宋体"/>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83" w:type="pct"/>
            <w:vAlign w:val="center"/>
          </w:tcPr>
          <w:p>
            <w:pPr>
              <w:jc w:val="center"/>
              <w:rPr>
                <w:rFonts w:hAnsi="宋体" w:cs="宋体"/>
                <w:color w:val="auto"/>
                <w:sz w:val="21"/>
                <w:szCs w:val="21"/>
                <w:highlight w:val="none"/>
              </w:rPr>
            </w:pPr>
          </w:p>
        </w:tc>
        <w:tc>
          <w:tcPr>
            <w:tcW w:w="1057" w:type="pct"/>
            <w:vAlign w:val="center"/>
          </w:tcPr>
          <w:p>
            <w:pPr>
              <w:jc w:val="center"/>
              <w:rPr>
                <w:rFonts w:hAnsi="宋体" w:cs="宋体"/>
                <w:color w:val="auto"/>
                <w:sz w:val="21"/>
                <w:szCs w:val="21"/>
                <w:highlight w:val="none"/>
              </w:rPr>
            </w:pPr>
          </w:p>
        </w:tc>
        <w:tc>
          <w:tcPr>
            <w:tcW w:w="1234" w:type="pct"/>
            <w:vAlign w:val="center"/>
          </w:tcPr>
          <w:p>
            <w:pPr>
              <w:jc w:val="center"/>
              <w:rPr>
                <w:rFonts w:hAnsi="宋体" w:cs="宋体"/>
                <w:color w:val="auto"/>
                <w:sz w:val="21"/>
                <w:szCs w:val="21"/>
                <w:highlight w:val="none"/>
              </w:rPr>
            </w:pPr>
          </w:p>
        </w:tc>
        <w:tc>
          <w:tcPr>
            <w:tcW w:w="882" w:type="pct"/>
            <w:vAlign w:val="center"/>
          </w:tcPr>
          <w:p>
            <w:pPr>
              <w:jc w:val="center"/>
              <w:rPr>
                <w:rFonts w:hAnsi="宋体" w:cs="宋体"/>
                <w:color w:val="auto"/>
                <w:sz w:val="21"/>
                <w:szCs w:val="21"/>
                <w:highlight w:val="none"/>
              </w:rPr>
            </w:pPr>
          </w:p>
        </w:tc>
        <w:tc>
          <w:tcPr>
            <w:tcW w:w="1041" w:type="pct"/>
            <w:vAlign w:val="center"/>
          </w:tcPr>
          <w:p>
            <w:pPr>
              <w:jc w:val="center"/>
              <w:rPr>
                <w:rFonts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83" w:type="pct"/>
            <w:vAlign w:val="center"/>
          </w:tcPr>
          <w:p>
            <w:pPr>
              <w:jc w:val="center"/>
              <w:rPr>
                <w:rFonts w:hAnsi="宋体" w:cs="宋体"/>
                <w:color w:val="auto"/>
                <w:sz w:val="21"/>
                <w:szCs w:val="21"/>
                <w:highlight w:val="none"/>
              </w:rPr>
            </w:pPr>
          </w:p>
        </w:tc>
        <w:tc>
          <w:tcPr>
            <w:tcW w:w="1057" w:type="pct"/>
            <w:vAlign w:val="center"/>
          </w:tcPr>
          <w:p>
            <w:pPr>
              <w:jc w:val="center"/>
              <w:rPr>
                <w:rFonts w:hAnsi="宋体" w:cs="宋体"/>
                <w:color w:val="auto"/>
                <w:sz w:val="21"/>
                <w:szCs w:val="21"/>
                <w:highlight w:val="none"/>
              </w:rPr>
            </w:pPr>
          </w:p>
        </w:tc>
        <w:tc>
          <w:tcPr>
            <w:tcW w:w="1234" w:type="pct"/>
            <w:vAlign w:val="center"/>
          </w:tcPr>
          <w:p>
            <w:pPr>
              <w:jc w:val="center"/>
              <w:rPr>
                <w:rFonts w:hAnsi="宋体" w:cs="宋体"/>
                <w:color w:val="auto"/>
                <w:sz w:val="21"/>
                <w:szCs w:val="21"/>
                <w:highlight w:val="none"/>
              </w:rPr>
            </w:pPr>
          </w:p>
        </w:tc>
        <w:tc>
          <w:tcPr>
            <w:tcW w:w="882" w:type="pct"/>
            <w:vAlign w:val="center"/>
          </w:tcPr>
          <w:p>
            <w:pPr>
              <w:jc w:val="center"/>
              <w:rPr>
                <w:rFonts w:hAnsi="宋体" w:cs="宋体"/>
                <w:color w:val="auto"/>
                <w:sz w:val="21"/>
                <w:szCs w:val="21"/>
                <w:highlight w:val="none"/>
              </w:rPr>
            </w:pPr>
          </w:p>
        </w:tc>
        <w:tc>
          <w:tcPr>
            <w:tcW w:w="1041" w:type="pct"/>
            <w:vAlign w:val="center"/>
          </w:tcPr>
          <w:p>
            <w:pPr>
              <w:jc w:val="center"/>
              <w:rPr>
                <w:rFonts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83" w:type="pct"/>
            <w:vAlign w:val="center"/>
          </w:tcPr>
          <w:p>
            <w:pPr>
              <w:jc w:val="center"/>
              <w:rPr>
                <w:rFonts w:hAnsi="宋体" w:cs="宋体"/>
                <w:color w:val="auto"/>
                <w:sz w:val="21"/>
                <w:szCs w:val="21"/>
                <w:highlight w:val="none"/>
              </w:rPr>
            </w:pPr>
          </w:p>
        </w:tc>
        <w:tc>
          <w:tcPr>
            <w:tcW w:w="1057" w:type="pct"/>
            <w:vAlign w:val="center"/>
          </w:tcPr>
          <w:p>
            <w:pPr>
              <w:jc w:val="center"/>
              <w:rPr>
                <w:rFonts w:hAnsi="宋体" w:cs="宋体"/>
                <w:color w:val="auto"/>
                <w:sz w:val="21"/>
                <w:szCs w:val="21"/>
                <w:highlight w:val="none"/>
              </w:rPr>
            </w:pPr>
          </w:p>
        </w:tc>
        <w:tc>
          <w:tcPr>
            <w:tcW w:w="1234" w:type="pct"/>
            <w:vAlign w:val="center"/>
          </w:tcPr>
          <w:p>
            <w:pPr>
              <w:jc w:val="center"/>
              <w:rPr>
                <w:rFonts w:hAnsi="宋体" w:cs="宋体"/>
                <w:color w:val="auto"/>
                <w:sz w:val="21"/>
                <w:szCs w:val="21"/>
                <w:highlight w:val="none"/>
              </w:rPr>
            </w:pPr>
          </w:p>
        </w:tc>
        <w:tc>
          <w:tcPr>
            <w:tcW w:w="882" w:type="pct"/>
            <w:vAlign w:val="center"/>
          </w:tcPr>
          <w:p>
            <w:pPr>
              <w:jc w:val="center"/>
              <w:rPr>
                <w:rFonts w:hAnsi="宋体" w:cs="宋体"/>
                <w:color w:val="auto"/>
                <w:sz w:val="21"/>
                <w:szCs w:val="21"/>
                <w:highlight w:val="none"/>
              </w:rPr>
            </w:pPr>
          </w:p>
        </w:tc>
        <w:tc>
          <w:tcPr>
            <w:tcW w:w="1041" w:type="pct"/>
            <w:vAlign w:val="center"/>
          </w:tcPr>
          <w:p>
            <w:pPr>
              <w:jc w:val="center"/>
              <w:rPr>
                <w:rFonts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83" w:type="pct"/>
            <w:vAlign w:val="center"/>
          </w:tcPr>
          <w:p>
            <w:pPr>
              <w:jc w:val="center"/>
              <w:rPr>
                <w:rFonts w:hAnsi="宋体" w:cs="宋体"/>
                <w:color w:val="auto"/>
                <w:sz w:val="21"/>
                <w:szCs w:val="21"/>
                <w:highlight w:val="none"/>
              </w:rPr>
            </w:pPr>
          </w:p>
        </w:tc>
        <w:tc>
          <w:tcPr>
            <w:tcW w:w="1057" w:type="pct"/>
            <w:vAlign w:val="center"/>
          </w:tcPr>
          <w:p>
            <w:pPr>
              <w:jc w:val="center"/>
              <w:rPr>
                <w:rFonts w:hAnsi="宋体" w:cs="宋体"/>
                <w:color w:val="auto"/>
                <w:sz w:val="21"/>
                <w:szCs w:val="21"/>
                <w:highlight w:val="none"/>
              </w:rPr>
            </w:pPr>
          </w:p>
        </w:tc>
        <w:tc>
          <w:tcPr>
            <w:tcW w:w="1234" w:type="pct"/>
            <w:vAlign w:val="center"/>
          </w:tcPr>
          <w:p>
            <w:pPr>
              <w:jc w:val="center"/>
              <w:rPr>
                <w:rFonts w:hAnsi="宋体" w:cs="宋体"/>
                <w:color w:val="auto"/>
                <w:sz w:val="21"/>
                <w:szCs w:val="21"/>
                <w:highlight w:val="none"/>
              </w:rPr>
            </w:pPr>
          </w:p>
        </w:tc>
        <w:tc>
          <w:tcPr>
            <w:tcW w:w="882" w:type="pct"/>
            <w:vAlign w:val="center"/>
          </w:tcPr>
          <w:p>
            <w:pPr>
              <w:jc w:val="center"/>
              <w:rPr>
                <w:rFonts w:hAnsi="宋体" w:cs="宋体"/>
                <w:color w:val="auto"/>
                <w:sz w:val="21"/>
                <w:szCs w:val="21"/>
                <w:highlight w:val="none"/>
              </w:rPr>
            </w:pPr>
          </w:p>
        </w:tc>
        <w:tc>
          <w:tcPr>
            <w:tcW w:w="1041" w:type="pct"/>
            <w:vAlign w:val="center"/>
          </w:tcPr>
          <w:p>
            <w:pPr>
              <w:jc w:val="center"/>
              <w:rPr>
                <w:rFonts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83" w:type="pct"/>
            <w:vAlign w:val="center"/>
          </w:tcPr>
          <w:p>
            <w:pPr>
              <w:jc w:val="center"/>
              <w:rPr>
                <w:rFonts w:hAnsi="宋体" w:cs="宋体"/>
                <w:color w:val="auto"/>
                <w:sz w:val="21"/>
                <w:szCs w:val="21"/>
                <w:highlight w:val="none"/>
              </w:rPr>
            </w:pPr>
          </w:p>
        </w:tc>
        <w:tc>
          <w:tcPr>
            <w:tcW w:w="1057" w:type="pct"/>
            <w:vAlign w:val="center"/>
          </w:tcPr>
          <w:p>
            <w:pPr>
              <w:jc w:val="center"/>
              <w:rPr>
                <w:rFonts w:hAnsi="宋体" w:cs="宋体"/>
                <w:color w:val="auto"/>
                <w:sz w:val="21"/>
                <w:szCs w:val="21"/>
                <w:highlight w:val="none"/>
              </w:rPr>
            </w:pPr>
          </w:p>
        </w:tc>
        <w:tc>
          <w:tcPr>
            <w:tcW w:w="1234" w:type="pct"/>
            <w:vAlign w:val="center"/>
          </w:tcPr>
          <w:p>
            <w:pPr>
              <w:jc w:val="center"/>
              <w:rPr>
                <w:rFonts w:hAnsi="宋体" w:cs="宋体"/>
                <w:color w:val="auto"/>
                <w:sz w:val="21"/>
                <w:szCs w:val="21"/>
                <w:highlight w:val="none"/>
              </w:rPr>
            </w:pPr>
          </w:p>
        </w:tc>
        <w:tc>
          <w:tcPr>
            <w:tcW w:w="882" w:type="pct"/>
            <w:vAlign w:val="center"/>
          </w:tcPr>
          <w:p>
            <w:pPr>
              <w:jc w:val="center"/>
              <w:rPr>
                <w:rFonts w:hAnsi="宋体" w:cs="宋体"/>
                <w:color w:val="auto"/>
                <w:sz w:val="21"/>
                <w:szCs w:val="21"/>
                <w:highlight w:val="none"/>
              </w:rPr>
            </w:pPr>
          </w:p>
        </w:tc>
        <w:tc>
          <w:tcPr>
            <w:tcW w:w="1041" w:type="pct"/>
            <w:vAlign w:val="center"/>
          </w:tcPr>
          <w:p>
            <w:pPr>
              <w:jc w:val="center"/>
              <w:rPr>
                <w:rFonts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83" w:type="pct"/>
            <w:vAlign w:val="center"/>
          </w:tcPr>
          <w:p>
            <w:pPr>
              <w:jc w:val="center"/>
              <w:rPr>
                <w:rFonts w:hAnsi="宋体" w:cs="宋体"/>
                <w:color w:val="auto"/>
                <w:sz w:val="21"/>
                <w:szCs w:val="21"/>
                <w:highlight w:val="none"/>
              </w:rPr>
            </w:pPr>
          </w:p>
        </w:tc>
        <w:tc>
          <w:tcPr>
            <w:tcW w:w="1057" w:type="pct"/>
            <w:vAlign w:val="center"/>
          </w:tcPr>
          <w:p>
            <w:pPr>
              <w:jc w:val="center"/>
              <w:rPr>
                <w:rFonts w:hAnsi="宋体" w:cs="宋体"/>
                <w:color w:val="auto"/>
                <w:sz w:val="21"/>
                <w:szCs w:val="21"/>
                <w:highlight w:val="none"/>
              </w:rPr>
            </w:pPr>
          </w:p>
        </w:tc>
        <w:tc>
          <w:tcPr>
            <w:tcW w:w="1234" w:type="pct"/>
            <w:vAlign w:val="center"/>
          </w:tcPr>
          <w:p>
            <w:pPr>
              <w:jc w:val="center"/>
              <w:rPr>
                <w:rFonts w:hAnsi="宋体" w:cs="宋体"/>
                <w:color w:val="auto"/>
                <w:sz w:val="21"/>
                <w:szCs w:val="21"/>
                <w:highlight w:val="none"/>
              </w:rPr>
            </w:pPr>
          </w:p>
        </w:tc>
        <w:tc>
          <w:tcPr>
            <w:tcW w:w="882" w:type="pct"/>
            <w:vAlign w:val="center"/>
          </w:tcPr>
          <w:p>
            <w:pPr>
              <w:jc w:val="center"/>
              <w:rPr>
                <w:rFonts w:hAnsi="宋体" w:cs="宋体"/>
                <w:color w:val="auto"/>
                <w:sz w:val="21"/>
                <w:szCs w:val="21"/>
                <w:highlight w:val="none"/>
              </w:rPr>
            </w:pPr>
          </w:p>
        </w:tc>
        <w:tc>
          <w:tcPr>
            <w:tcW w:w="1041" w:type="pct"/>
            <w:vAlign w:val="center"/>
          </w:tcPr>
          <w:p>
            <w:pPr>
              <w:jc w:val="center"/>
              <w:rPr>
                <w:rFonts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83" w:type="pct"/>
            <w:vAlign w:val="center"/>
          </w:tcPr>
          <w:p>
            <w:pPr>
              <w:jc w:val="center"/>
              <w:rPr>
                <w:rFonts w:hAnsi="宋体" w:cs="宋体"/>
                <w:color w:val="auto"/>
                <w:sz w:val="21"/>
                <w:szCs w:val="21"/>
                <w:highlight w:val="none"/>
              </w:rPr>
            </w:pPr>
          </w:p>
        </w:tc>
        <w:tc>
          <w:tcPr>
            <w:tcW w:w="1057" w:type="pct"/>
            <w:vAlign w:val="center"/>
          </w:tcPr>
          <w:p>
            <w:pPr>
              <w:jc w:val="center"/>
              <w:rPr>
                <w:rFonts w:hAnsi="宋体" w:cs="宋体"/>
                <w:color w:val="auto"/>
                <w:sz w:val="21"/>
                <w:szCs w:val="21"/>
                <w:highlight w:val="none"/>
              </w:rPr>
            </w:pPr>
          </w:p>
        </w:tc>
        <w:tc>
          <w:tcPr>
            <w:tcW w:w="1234" w:type="pct"/>
            <w:vAlign w:val="center"/>
          </w:tcPr>
          <w:p>
            <w:pPr>
              <w:jc w:val="center"/>
              <w:rPr>
                <w:rFonts w:hAnsi="宋体" w:cs="宋体"/>
                <w:color w:val="auto"/>
                <w:sz w:val="21"/>
                <w:szCs w:val="21"/>
                <w:highlight w:val="none"/>
              </w:rPr>
            </w:pPr>
          </w:p>
        </w:tc>
        <w:tc>
          <w:tcPr>
            <w:tcW w:w="882" w:type="pct"/>
            <w:vAlign w:val="center"/>
          </w:tcPr>
          <w:p>
            <w:pPr>
              <w:jc w:val="center"/>
              <w:rPr>
                <w:rFonts w:hAnsi="宋体" w:cs="宋体"/>
                <w:color w:val="auto"/>
                <w:sz w:val="21"/>
                <w:szCs w:val="21"/>
                <w:highlight w:val="none"/>
              </w:rPr>
            </w:pPr>
          </w:p>
        </w:tc>
        <w:tc>
          <w:tcPr>
            <w:tcW w:w="1041" w:type="pct"/>
            <w:vAlign w:val="center"/>
          </w:tcPr>
          <w:p>
            <w:pPr>
              <w:jc w:val="center"/>
              <w:rPr>
                <w:rFonts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83" w:type="pct"/>
            <w:vAlign w:val="center"/>
          </w:tcPr>
          <w:p>
            <w:pPr>
              <w:jc w:val="center"/>
              <w:rPr>
                <w:rFonts w:hAnsi="宋体" w:cs="宋体"/>
                <w:color w:val="auto"/>
                <w:sz w:val="21"/>
                <w:szCs w:val="21"/>
                <w:highlight w:val="none"/>
              </w:rPr>
            </w:pPr>
          </w:p>
        </w:tc>
        <w:tc>
          <w:tcPr>
            <w:tcW w:w="1057" w:type="pct"/>
            <w:vAlign w:val="center"/>
          </w:tcPr>
          <w:p>
            <w:pPr>
              <w:jc w:val="center"/>
              <w:rPr>
                <w:rFonts w:hAnsi="宋体" w:cs="宋体"/>
                <w:color w:val="auto"/>
                <w:sz w:val="21"/>
                <w:szCs w:val="21"/>
                <w:highlight w:val="none"/>
              </w:rPr>
            </w:pPr>
          </w:p>
        </w:tc>
        <w:tc>
          <w:tcPr>
            <w:tcW w:w="1234" w:type="pct"/>
            <w:vAlign w:val="center"/>
          </w:tcPr>
          <w:p>
            <w:pPr>
              <w:jc w:val="center"/>
              <w:rPr>
                <w:rFonts w:hAnsi="宋体" w:cs="宋体"/>
                <w:color w:val="auto"/>
                <w:sz w:val="21"/>
                <w:szCs w:val="21"/>
                <w:highlight w:val="none"/>
              </w:rPr>
            </w:pPr>
          </w:p>
        </w:tc>
        <w:tc>
          <w:tcPr>
            <w:tcW w:w="882" w:type="pct"/>
            <w:vAlign w:val="center"/>
          </w:tcPr>
          <w:p>
            <w:pPr>
              <w:jc w:val="center"/>
              <w:rPr>
                <w:rFonts w:hAnsi="宋体" w:cs="宋体"/>
                <w:color w:val="auto"/>
                <w:sz w:val="21"/>
                <w:szCs w:val="21"/>
                <w:highlight w:val="none"/>
              </w:rPr>
            </w:pPr>
          </w:p>
        </w:tc>
        <w:tc>
          <w:tcPr>
            <w:tcW w:w="1041" w:type="pct"/>
            <w:vAlign w:val="center"/>
          </w:tcPr>
          <w:p>
            <w:pPr>
              <w:jc w:val="center"/>
              <w:rPr>
                <w:rFonts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83" w:type="pct"/>
            <w:vAlign w:val="center"/>
          </w:tcPr>
          <w:p>
            <w:pPr>
              <w:jc w:val="center"/>
              <w:rPr>
                <w:rFonts w:hAnsi="宋体" w:cs="宋体"/>
                <w:color w:val="auto"/>
                <w:sz w:val="21"/>
                <w:szCs w:val="21"/>
                <w:highlight w:val="none"/>
              </w:rPr>
            </w:pPr>
          </w:p>
        </w:tc>
        <w:tc>
          <w:tcPr>
            <w:tcW w:w="1057" w:type="pct"/>
            <w:vAlign w:val="center"/>
          </w:tcPr>
          <w:p>
            <w:pPr>
              <w:jc w:val="center"/>
              <w:rPr>
                <w:rFonts w:hAnsi="宋体" w:cs="宋体"/>
                <w:color w:val="auto"/>
                <w:sz w:val="21"/>
                <w:szCs w:val="21"/>
                <w:highlight w:val="none"/>
              </w:rPr>
            </w:pPr>
          </w:p>
        </w:tc>
        <w:tc>
          <w:tcPr>
            <w:tcW w:w="1234" w:type="pct"/>
            <w:vAlign w:val="center"/>
          </w:tcPr>
          <w:p>
            <w:pPr>
              <w:jc w:val="center"/>
              <w:rPr>
                <w:rFonts w:hAnsi="宋体" w:cs="宋体"/>
                <w:color w:val="auto"/>
                <w:sz w:val="21"/>
                <w:szCs w:val="21"/>
                <w:highlight w:val="none"/>
              </w:rPr>
            </w:pPr>
          </w:p>
        </w:tc>
        <w:tc>
          <w:tcPr>
            <w:tcW w:w="882" w:type="pct"/>
            <w:vAlign w:val="center"/>
          </w:tcPr>
          <w:p>
            <w:pPr>
              <w:jc w:val="center"/>
              <w:rPr>
                <w:rFonts w:hAnsi="宋体" w:cs="宋体"/>
                <w:color w:val="auto"/>
                <w:sz w:val="21"/>
                <w:szCs w:val="21"/>
                <w:highlight w:val="none"/>
              </w:rPr>
            </w:pPr>
          </w:p>
        </w:tc>
        <w:tc>
          <w:tcPr>
            <w:tcW w:w="1041" w:type="pct"/>
            <w:vAlign w:val="center"/>
          </w:tcPr>
          <w:p>
            <w:pPr>
              <w:jc w:val="center"/>
              <w:rPr>
                <w:rFonts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83" w:type="pct"/>
            <w:vAlign w:val="center"/>
          </w:tcPr>
          <w:p>
            <w:pPr>
              <w:jc w:val="center"/>
              <w:rPr>
                <w:rFonts w:hAnsi="宋体" w:cs="宋体"/>
                <w:color w:val="auto"/>
                <w:sz w:val="21"/>
                <w:szCs w:val="21"/>
                <w:highlight w:val="none"/>
              </w:rPr>
            </w:pPr>
          </w:p>
        </w:tc>
        <w:tc>
          <w:tcPr>
            <w:tcW w:w="1057" w:type="pct"/>
            <w:vAlign w:val="center"/>
          </w:tcPr>
          <w:p>
            <w:pPr>
              <w:jc w:val="center"/>
              <w:rPr>
                <w:rFonts w:hAnsi="宋体" w:cs="宋体"/>
                <w:color w:val="auto"/>
                <w:sz w:val="21"/>
                <w:szCs w:val="21"/>
                <w:highlight w:val="none"/>
              </w:rPr>
            </w:pPr>
          </w:p>
        </w:tc>
        <w:tc>
          <w:tcPr>
            <w:tcW w:w="1234" w:type="pct"/>
            <w:vAlign w:val="center"/>
          </w:tcPr>
          <w:p>
            <w:pPr>
              <w:jc w:val="center"/>
              <w:rPr>
                <w:rFonts w:hAnsi="宋体" w:cs="宋体"/>
                <w:color w:val="auto"/>
                <w:sz w:val="21"/>
                <w:szCs w:val="21"/>
                <w:highlight w:val="none"/>
              </w:rPr>
            </w:pPr>
          </w:p>
        </w:tc>
        <w:tc>
          <w:tcPr>
            <w:tcW w:w="882" w:type="pct"/>
            <w:vAlign w:val="center"/>
          </w:tcPr>
          <w:p>
            <w:pPr>
              <w:jc w:val="center"/>
              <w:rPr>
                <w:rFonts w:hAnsi="宋体" w:cs="宋体"/>
                <w:color w:val="auto"/>
                <w:sz w:val="21"/>
                <w:szCs w:val="21"/>
                <w:highlight w:val="none"/>
              </w:rPr>
            </w:pPr>
          </w:p>
        </w:tc>
        <w:tc>
          <w:tcPr>
            <w:tcW w:w="1041" w:type="pct"/>
            <w:vAlign w:val="center"/>
          </w:tcPr>
          <w:p>
            <w:pPr>
              <w:jc w:val="center"/>
              <w:rPr>
                <w:rFonts w:hAnsi="宋体" w:cs="宋体"/>
                <w:color w:val="auto"/>
                <w:sz w:val="21"/>
                <w:szCs w:val="21"/>
                <w:highlight w:val="none"/>
              </w:rPr>
            </w:pPr>
          </w:p>
        </w:tc>
      </w:tr>
    </w:tbl>
    <w:p>
      <w:pPr>
        <w:rPr>
          <w:rFonts w:hAnsi="宋体" w:cs="宋体"/>
          <w:color w:val="auto"/>
          <w:sz w:val="21"/>
          <w:szCs w:val="21"/>
          <w:highlight w:val="none"/>
        </w:rPr>
      </w:pPr>
    </w:p>
    <w:p>
      <w:pPr>
        <w:pStyle w:val="29"/>
        <w:tabs>
          <w:tab w:val="left" w:pos="5580"/>
        </w:tabs>
        <w:spacing w:line="360" w:lineRule="auto"/>
        <w:rPr>
          <w:rFonts w:hAnsi="宋体" w:cs="宋体"/>
          <w:color w:val="auto"/>
          <w:szCs w:val="21"/>
          <w:highlight w:val="none"/>
        </w:rPr>
      </w:pPr>
      <w:r>
        <w:rPr>
          <w:rFonts w:hint="eastAsia" w:hAnsi="宋体" w:cs="宋体"/>
          <w:color w:val="auto"/>
          <w:szCs w:val="21"/>
          <w:highlight w:val="none"/>
        </w:rPr>
        <w:t xml:space="preserve">投标人名称（盖章）：                       </w:t>
      </w:r>
    </w:p>
    <w:p>
      <w:pPr>
        <w:spacing w:line="360" w:lineRule="auto"/>
        <w:rPr>
          <w:rFonts w:hAnsi="宋体" w:cs="宋体"/>
          <w:color w:val="auto"/>
          <w:sz w:val="21"/>
          <w:szCs w:val="21"/>
          <w:highlight w:val="none"/>
        </w:rPr>
      </w:pPr>
      <w:r>
        <w:rPr>
          <w:rFonts w:hint="eastAsia" w:hAnsi="宋体" w:cs="宋体"/>
          <w:color w:val="auto"/>
          <w:sz w:val="21"/>
          <w:szCs w:val="21"/>
          <w:highlight w:val="none"/>
        </w:rPr>
        <w:t>日期：</w:t>
      </w:r>
    </w:p>
    <w:p>
      <w:pPr>
        <w:spacing w:line="360" w:lineRule="auto"/>
        <w:ind w:left="718" w:hanging="718" w:hangingChars="342"/>
        <w:rPr>
          <w:rFonts w:hAnsi="宋体" w:cs="宋体"/>
          <w:color w:val="auto"/>
          <w:sz w:val="21"/>
          <w:szCs w:val="21"/>
          <w:highlight w:val="none"/>
        </w:rPr>
      </w:pPr>
    </w:p>
    <w:p>
      <w:pPr>
        <w:spacing w:line="360" w:lineRule="auto"/>
        <w:ind w:left="1052" w:leftChars="132" w:hanging="735" w:hangingChars="350"/>
        <w:rPr>
          <w:rFonts w:hAnsi="宋体" w:cs="宋体"/>
          <w:color w:val="auto"/>
          <w:sz w:val="21"/>
          <w:szCs w:val="21"/>
          <w:highlight w:val="none"/>
        </w:rPr>
      </w:pPr>
      <w:r>
        <w:rPr>
          <w:rFonts w:hint="eastAsia" w:hAnsi="宋体" w:cs="宋体"/>
          <w:color w:val="auto"/>
          <w:sz w:val="21"/>
          <w:szCs w:val="21"/>
          <w:highlight w:val="none"/>
        </w:rPr>
        <w:t>注：1）投标人应对照采购文件“用户需求书”，如实地说明已对采购文件“用户需求书”内容的响应情况，并说明与采购文件的偏差和响应情况，若发现虚假填写，作无效投标处理。</w:t>
      </w:r>
    </w:p>
    <w:p>
      <w:pPr>
        <w:spacing w:line="360" w:lineRule="auto"/>
        <w:ind w:left="1054" w:leftChars="308" w:hanging="315" w:hangingChars="150"/>
        <w:rPr>
          <w:rFonts w:hAnsi="宋体" w:cs="宋体"/>
          <w:color w:val="auto"/>
          <w:sz w:val="21"/>
          <w:szCs w:val="21"/>
          <w:highlight w:val="none"/>
        </w:rPr>
      </w:pPr>
      <w:r>
        <w:rPr>
          <w:rFonts w:hint="eastAsia" w:hAnsi="宋体" w:cs="宋体"/>
          <w:color w:val="auto"/>
          <w:sz w:val="21"/>
          <w:szCs w:val="21"/>
          <w:highlight w:val="none"/>
        </w:rPr>
        <w:t>2）如有偏离，应在“偏离情况”栏内注明“正”、“负”或“无”，并在“说明”栏内予以说明。</w:t>
      </w:r>
    </w:p>
    <w:p>
      <w:pPr>
        <w:spacing w:line="360" w:lineRule="auto"/>
        <w:ind w:left="1054" w:leftChars="308" w:hanging="315" w:hangingChars="150"/>
        <w:rPr>
          <w:rFonts w:hAnsi="宋体" w:cs="宋体"/>
          <w:color w:val="auto"/>
          <w:sz w:val="21"/>
          <w:szCs w:val="21"/>
          <w:highlight w:val="none"/>
        </w:rPr>
      </w:pPr>
      <w:r>
        <w:rPr>
          <w:rFonts w:hint="eastAsia" w:hAnsi="宋体" w:cs="宋体"/>
          <w:color w:val="auto"/>
          <w:sz w:val="21"/>
          <w:szCs w:val="21"/>
          <w:highlight w:val="none"/>
        </w:rPr>
        <w:t>3）如投标人差异内容较多可另附页说明。</w:t>
      </w:r>
    </w:p>
    <w:p>
      <w:pPr>
        <w:spacing w:line="360" w:lineRule="auto"/>
        <w:ind w:left="1054" w:leftChars="308" w:hanging="315" w:hangingChars="150"/>
        <w:rPr>
          <w:rFonts w:hAnsi="宋体" w:cs="宋体"/>
          <w:color w:val="auto"/>
          <w:sz w:val="21"/>
          <w:szCs w:val="21"/>
          <w:highlight w:val="none"/>
        </w:rPr>
      </w:pPr>
      <w:r>
        <w:rPr>
          <w:rFonts w:hint="eastAsia" w:hAnsi="宋体" w:cs="宋体"/>
          <w:color w:val="auto"/>
          <w:sz w:val="21"/>
          <w:szCs w:val="21"/>
          <w:highlight w:val="none"/>
        </w:rPr>
        <w:t>4）如投标人对“用户需求书”的条款全部响应的，也可以在表格下面用文字总括性的说明。</w:t>
      </w:r>
    </w:p>
    <w:p>
      <w:pPr>
        <w:adjustRightInd/>
        <w:spacing w:line="360" w:lineRule="auto"/>
        <w:rPr>
          <w:rFonts w:hAnsi="宋体" w:cs="宋体"/>
          <w:color w:val="auto"/>
          <w:highlight w:val="none"/>
        </w:rPr>
      </w:pPr>
    </w:p>
    <w:p>
      <w:pPr>
        <w:pStyle w:val="2"/>
        <w:rPr>
          <w:color w:val="auto"/>
          <w:highlight w:val="none"/>
        </w:rPr>
      </w:pPr>
    </w:p>
    <w:p>
      <w:pPr>
        <w:adjustRightInd/>
        <w:spacing w:line="360" w:lineRule="auto"/>
        <w:rPr>
          <w:rFonts w:hAnsi="宋体" w:cs="宋体"/>
          <w:color w:val="auto"/>
          <w:highlight w:val="none"/>
        </w:rPr>
      </w:pPr>
    </w:p>
    <w:p>
      <w:pPr>
        <w:adjustRightInd/>
        <w:spacing w:line="276" w:lineRule="auto"/>
        <w:rPr>
          <w:rFonts w:hAnsi="宋体" w:cs="宋体"/>
          <w:color w:val="auto"/>
          <w:highlight w:val="none"/>
        </w:rPr>
      </w:pPr>
    </w:p>
    <w:p>
      <w:pPr>
        <w:adjustRightInd/>
        <w:spacing w:line="276" w:lineRule="auto"/>
        <w:rPr>
          <w:rFonts w:hAnsi="宋体" w:cs="宋体"/>
          <w:color w:val="auto"/>
          <w:highlight w:val="none"/>
        </w:rPr>
      </w:pPr>
    </w:p>
    <w:p>
      <w:pPr>
        <w:pStyle w:val="8"/>
        <w:widowControl/>
        <w:numPr>
          <w:ilvl w:val="0"/>
          <w:numId w:val="28"/>
        </w:numPr>
        <w:spacing w:before="0" w:after="0" w:line="240" w:lineRule="auto"/>
        <w:jc w:val="center"/>
        <w:rPr>
          <w:rFonts w:ascii="宋体" w:hAnsi="宋体" w:eastAsia="宋体" w:cs="宋体"/>
          <w:color w:val="auto"/>
          <w:sz w:val="21"/>
          <w:szCs w:val="21"/>
          <w:highlight w:val="none"/>
        </w:rPr>
      </w:pPr>
      <w:r>
        <w:rPr>
          <w:rFonts w:hint="eastAsia" w:ascii="宋体" w:hAnsi="宋体" w:eastAsia="宋体" w:cs="宋体"/>
          <w:color w:val="auto"/>
          <w:highlight w:val="none"/>
        </w:rPr>
        <w:br w:type="page"/>
      </w:r>
      <w:bookmarkStart w:id="88" w:name="_Toc27674"/>
      <w:r>
        <w:rPr>
          <w:rFonts w:hint="eastAsia" w:ascii="宋体" w:hAnsi="宋体" w:eastAsia="宋体" w:cs="宋体"/>
          <w:color w:val="auto"/>
          <w:highlight w:val="none"/>
        </w:rPr>
        <w:t>业绩表</w:t>
      </w:r>
      <w:bookmarkEnd w:id="88"/>
    </w:p>
    <w:p>
      <w:pPr>
        <w:rPr>
          <w:color w:val="auto"/>
          <w:highlight w:val="none"/>
        </w:rPr>
      </w:pPr>
    </w:p>
    <w:tbl>
      <w:tblPr>
        <w:tblStyle w:val="52"/>
        <w:tblW w:w="4997"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73"/>
        <w:gridCol w:w="2493"/>
        <w:gridCol w:w="1358"/>
        <w:gridCol w:w="1358"/>
        <w:gridCol w:w="1358"/>
        <w:gridCol w:w="1137"/>
        <w:gridCol w:w="92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1" w:hRule="atLeast"/>
          <w:jc w:val="center"/>
        </w:trPr>
        <w:tc>
          <w:tcPr>
            <w:tcW w:w="362" w:type="pct"/>
            <w:vAlign w:val="center"/>
          </w:tcPr>
          <w:p>
            <w:pPr>
              <w:ind w:left="-204" w:leftChars="-85"/>
              <w:jc w:val="center"/>
              <w:rPr>
                <w:rFonts w:hAnsi="宋体" w:cs="宋体"/>
                <w:bCs/>
                <w:color w:val="auto"/>
                <w:sz w:val="21"/>
                <w:szCs w:val="21"/>
                <w:highlight w:val="none"/>
              </w:rPr>
            </w:pPr>
            <w:r>
              <w:rPr>
                <w:rFonts w:hint="eastAsia" w:hAnsi="宋体" w:cs="宋体"/>
                <w:bCs/>
                <w:color w:val="auto"/>
                <w:sz w:val="21"/>
                <w:szCs w:val="21"/>
                <w:highlight w:val="none"/>
              </w:rPr>
              <w:t xml:space="preserve"> 序号</w:t>
            </w:r>
          </w:p>
        </w:tc>
        <w:tc>
          <w:tcPr>
            <w:tcW w:w="1340" w:type="pct"/>
            <w:vAlign w:val="center"/>
          </w:tcPr>
          <w:p>
            <w:pPr>
              <w:jc w:val="center"/>
              <w:rPr>
                <w:rFonts w:hAnsi="宋体" w:cs="宋体"/>
                <w:bCs/>
                <w:color w:val="auto"/>
                <w:sz w:val="21"/>
                <w:szCs w:val="21"/>
                <w:highlight w:val="none"/>
              </w:rPr>
            </w:pPr>
            <w:r>
              <w:rPr>
                <w:rFonts w:hint="eastAsia" w:hAnsi="宋体" w:cs="宋体"/>
                <w:bCs/>
                <w:color w:val="auto"/>
                <w:sz w:val="21"/>
                <w:szCs w:val="21"/>
                <w:highlight w:val="none"/>
              </w:rPr>
              <w:t>项目名称</w:t>
            </w:r>
          </w:p>
        </w:tc>
        <w:tc>
          <w:tcPr>
            <w:tcW w:w="730" w:type="pct"/>
            <w:vAlign w:val="center"/>
          </w:tcPr>
          <w:p>
            <w:pPr>
              <w:jc w:val="center"/>
              <w:rPr>
                <w:rFonts w:hAnsi="宋体" w:cs="宋体"/>
                <w:bCs/>
                <w:color w:val="auto"/>
                <w:sz w:val="21"/>
                <w:szCs w:val="21"/>
                <w:highlight w:val="none"/>
              </w:rPr>
            </w:pPr>
            <w:r>
              <w:rPr>
                <w:rFonts w:hint="eastAsia" w:hAnsi="宋体" w:cs="宋体"/>
                <w:bCs/>
                <w:color w:val="auto"/>
                <w:sz w:val="21"/>
                <w:szCs w:val="21"/>
                <w:highlight w:val="none"/>
              </w:rPr>
              <w:t>合同金额</w:t>
            </w:r>
          </w:p>
        </w:tc>
        <w:tc>
          <w:tcPr>
            <w:tcW w:w="730" w:type="pct"/>
            <w:vAlign w:val="center"/>
          </w:tcPr>
          <w:p>
            <w:pPr>
              <w:jc w:val="center"/>
              <w:rPr>
                <w:rFonts w:hAnsi="宋体" w:cs="宋体"/>
                <w:bCs/>
                <w:color w:val="auto"/>
                <w:sz w:val="21"/>
                <w:szCs w:val="21"/>
                <w:highlight w:val="none"/>
              </w:rPr>
            </w:pPr>
            <w:r>
              <w:rPr>
                <w:rFonts w:hint="eastAsia" w:hAnsi="宋体" w:cs="宋体"/>
                <w:bCs/>
                <w:color w:val="auto"/>
                <w:sz w:val="21"/>
                <w:szCs w:val="21"/>
                <w:highlight w:val="none"/>
              </w:rPr>
              <w:t>签约时间</w:t>
            </w:r>
          </w:p>
        </w:tc>
        <w:tc>
          <w:tcPr>
            <w:tcW w:w="730" w:type="pct"/>
            <w:vAlign w:val="center"/>
          </w:tcPr>
          <w:p>
            <w:pPr>
              <w:jc w:val="center"/>
              <w:rPr>
                <w:rFonts w:hAnsi="宋体" w:cs="宋体"/>
                <w:bCs/>
                <w:color w:val="auto"/>
                <w:sz w:val="21"/>
                <w:szCs w:val="21"/>
                <w:highlight w:val="none"/>
              </w:rPr>
            </w:pPr>
            <w:r>
              <w:rPr>
                <w:rFonts w:hint="eastAsia" w:hAnsi="宋体" w:cs="宋体"/>
                <w:bCs/>
                <w:color w:val="auto"/>
                <w:sz w:val="21"/>
                <w:szCs w:val="21"/>
                <w:highlight w:val="none"/>
              </w:rPr>
              <w:t>联系人、</w:t>
            </w:r>
          </w:p>
          <w:p>
            <w:pPr>
              <w:jc w:val="center"/>
              <w:rPr>
                <w:rFonts w:hAnsi="宋体" w:cs="宋体"/>
                <w:bCs/>
                <w:color w:val="auto"/>
                <w:sz w:val="21"/>
                <w:szCs w:val="21"/>
                <w:highlight w:val="none"/>
              </w:rPr>
            </w:pPr>
            <w:r>
              <w:rPr>
                <w:rFonts w:hint="eastAsia" w:hAnsi="宋体" w:cs="宋体"/>
                <w:bCs/>
                <w:color w:val="auto"/>
                <w:sz w:val="21"/>
                <w:szCs w:val="21"/>
                <w:highlight w:val="none"/>
              </w:rPr>
              <w:t>联系方式</w:t>
            </w:r>
          </w:p>
        </w:tc>
        <w:tc>
          <w:tcPr>
            <w:tcW w:w="611" w:type="pct"/>
            <w:vAlign w:val="center"/>
          </w:tcPr>
          <w:p>
            <w:pPr>
              <w:jc w:val="center"/>
              <w:rPr>
                <w:rFonts w:hAnsi="宋体" w:cs="宋体"/>
                <w:bCs/>
                <w:color w:val="auto"/>
                <w:sz w:val="21"/>
                <w:szCs w:val="21"/>
                <w:highlight w:val="none"/>
              </w:rPr>
            </w:pPr>
            <w:r>
              <w:rPr>
                <w:rFonts w:hint="eastAsia" w:hAnsi="宋体" w:cs="宋体"/>
                <w:bCs/>
                <w:color w:val="auto"/>
                <w:sz w:val="21"/>
                <w:szCs w:val="21"/>
                <w:highlight w:val="none"/>
              </w:rPr>
              <w:t>完成情况</w:t>
            </w:r>
          </w:p>
        </w:tc>
        <w:tc>
          <w:tcPr>
            <w:tcW w:w="495" w:type="pct"/>
            <w:vAlign w:val="center"/>
          </w:tcPr>
          <w:p>
            <w:pPr>
              <w:jc w:val="center"/>
              <w:rPr>
                <w:rFonts w:hAnsi="宋体" w:cs="宋体"/>
                <w:bCs/>
                <w:color w:val="auto"/>
                <w:sz w:val="21"/>
                <w:szCs w:val="21"/>
                <w:highlight w:val="none"/>
              </w:rPr>
            </w:pPr>
            <w:r>
              <w:rPr>
                <w:rFonts w:hint="eastAsia" w:hAnsi="宋体" w:cs="宋体"/>
                <w:bCs/>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62" w:type="pct"/>
            <w:vAlign w:val="center"/>
          </w:tcPr>
          <w:p>
            <w:pPr>
              <w:jc w:val="center"/>
              <w:rPr>
                <w:rFonts w:hAnsi="宋体" w:cs="宋体"/>
                <w:bCs/>
                <w:color w:val="auto"/>
                <w:sz w:val="21"/>
                <w:szCs w:val="21"/>
                <w:highlight w:val="none"/>
              </w:rPr>
            </w:pPr>
          </w:p>
        </w:tc>
        <w:tc>
          <w:tcPr>
            <w:tcW w:w="1340" w:type="pct"/>
            <w:vAlign w:val="center"/>
          </w:tcPr>
          <w:p>
            <w:pPr>
              <w:rPr>
                <w:rFonts w:hAnsi="宋体" w:cs="宋体"/>
                <w:bCs/>
                <w:color w:val="auto"/>
                <w:sz w:val="21"/>
                <w:szCs w:val="21"/>
                <w:highlight w:val="none"/>
              </w:rPr>
            </w:pPr>
          </w:p>
        </w:tc>
        <w:tc>
          <w:tcPr>
            <w:tcW w:w="730" w:type="pct"/>
            <w:vAlign w:val="center"/>
          </w:tcPr>
          <w:p>
            <w:pPr>
              <w:rPr>
                <w:rFonts w:hAnsi="宋体" w:cs="宋体"/>
                <w:bCs/>
                <w:color w:val="auto"/>
                <w:sz w:val="21"/>
                <w:szCs w:val="21"/>
                <w:highlight w:val="none"/>
              </w:rPr>
            </w:pPr>
          </w:p>
        </w:tc>
        <w:tc>
          <w:tcPr>
            <w:tcW w:w="730" w:type="pct"/>
            <w:vAlign w:val="center"/>
          </w:tcPr>
          <w:p>
            <w:pPr>
              <w:rPr>
                <w:rFonts w:hAnsi="宋体" w:cs="宋体"/>
                <w:bCs/>
                <w:color w:val="auto"/>
                <w:sz w:val="21"/>
                <w:szCs w:val="21"/>
                <w:highlight w:val="none"/>
              </w:rPr>
            </w:pPr>
          </w:p>
        </w:tc>
        <w:tc>
          <w:tcPr>
            <w:tcW w:w="730" w:type="pct"/>
            <w:vAlign w:val="center"/>
          </w:tcPr>
          <w:p>
            <w:pPr>
              <w:rPr>
                <w:rFonts w:hAnsi="宋体" w:cs="宋体"/>
                <w:bCs/>
                <w:color w:val="auto"/>
                <w:sz w:val="21"/>
                <w:szCs w:val="21"/>
                <w:highlight w:val="none"/>
              </w:rPr>
            </w:pPr>
          </w:p>
        </w:tc>
        <w:tc>
          <w:tcPr>
            <w:tcW w:w="611" w:type="pct"/>
            <w:vAlign w:val="center"/>
          </w:tcPr>
          <w:p>
            <w:pPr>
              <w:rPr>
                <w:rFonts w:hAnsi="宋体" w:cs="宋体"/>
                <w:bCs/>
                <w:color w:val="auto"/>
                <w:sz w:val="21"/>
                <w:szCs w:val="21"/>
                <w:highlight w:val="none"/>
              </w:rPr>
            </w:pPr>
          </w:p>
        </w:tc>
        <w:tc>
          <w:tcPr>
            <w:tcW w:w="495" w:type="pct"/>
            <w:vAlign w:val="center"/>
          </w:tcPr>
          <w:p>
            <w:pPr>
              <w:rPr>
                <w:rFonts w:hAnsi="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62" w:type="pct"/>
            <w:vAlign w:val="center"/>
          </w:tcPr>
          <w:p>
            <w:pPr>
              <w:jc w:val="center"/>
              <w:rPr>
                <w:rFonts w:hAnsi="宋体" w:cs="宋体"/>
                <w:bCs/>
                <w:color w:val="auto"/>
                <w:sz w:val="21"/>
                <w:szCs w:val="21"/>
                <w:highlight w:val="none"/>
              </w:rPr>
            </w:pPr>
          </w:p>
        </w:tc>
        <w:tc>
          <w:tcPr>
            <w:tcW w:w="1340" w:type="pct"/>
            <w:vAlign w:val="center"/>
          </w:tcPr>
          <w:p>
            <w:pPr>
              <w:rPr>
                <w:rFonts w:hAnsi="宋体" w:cs="宋体"/>
                <w:bCs/>
                <w:color w:val="auto"/>
                <w:sz w:val="21"/>
                <w:szCs w:val="21"/>
                <w:highlight w:val="none"/>
              </w:rPr>
            </w:pPr>
          </w:p>
        </w:tc>
        <w:tc>
          <w:tcPr>
            <w:tcW w:w="730" w:type="pct"/>
            <w:vAlign w:val="center"/>
          </w:tcPr>
          <w:p>
            <w:pPr>
              <w:rPr>
                <w:rFonts w:hAnsi="宋体" w:cs="宋体"/>
                <w:bCs/>
                <w:color w:val="auto"/>
                <w:sz w:val="21"/>
                <w:szCs w:val="21"/>
                <w:highlight w:val="none"/>
              </w:rPr>
            </w:pPr>
          </w:p>
        </w:tc>
        <w:tc>
          <w:tcPr>
            <w:tcW w:w="730" w:type="pct"/>
            <w:vAlign w:val="center"/>
          </w:tcPr>
          <w:p>
            <w:pPr>
              <w:rPr>
                <w:rFonts w:hAnsi="宋体" w:cs="宋体"/>
                <w:bCs/>
                <w:color w:val="auto"/>
                <w:sz w:val="21"/>
                <w:szCs w:val="21"/>
                <w:highlight w:val="none"/>
              </w:rPr>
            </w:pPr>
          </w:p>
        </w:tc>
        <w:tc>
          <w:tcPr>
            <w:tcW w:w="730" w:type="pct"/>
            <w:vAlign w:val="center"/>
          </w:tcPr>
          <w:p>
            <w:pPr>
              <w:rPr>
                <w:rFonts w:hAnsi="宋体" w:cs="宋体"/>
                <w:bCs/>
                <w:color w:val="auto"/>
                <w:sz w:val="21"/>
                <w:szCs w:val="21"/>
                <w:highlight w:val="none"/>
              </w:rPr>
            </w:pPr>
          </w:p>
        </w:tc>
        <w:tc>
          <w:tcPr>
            <w:tcW w:w="611" w:type="pct"/>
            <w:vAlign w:val="center"/>
          </w:tcPr>
          <w:p>
            <w:pPr>
              <w:rPr>
                <w:rFonts w:hAnsi="宋体" w:cs="宋体"/>
                <w:bCs/>
                <w:color w:val="auto"/>
                <w:sz w:val="21"/>
                <w:szCs w:val="21"/>
                <w:highlight w:val="none"/>
              </w:rPr>
            </w:pPr>
          </w:p>
        </w:tc>
        <w:tc>
          <w:tcPr>
            <w:tcW w:w="495" w:type="pct"/>
            <w:vAlign w:val="center"/>
          </w:tcPr>
          <w:p>
            <w:pPr>
              <w:rPr>
                <w:rFonts w:hAnsi="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62" w:type="pct"/>
            <w:vAlign w:val="center"/>
          </w:tcPr>
          <w:p>
            <w:pPr>
              <w:jc w:val="center"/>
              <w:rPr>
                <w:rFonts w:hAnsi="宋体" w:cs="宋体"/>
                <w:bCs/>
                <w:color w:val="auto"/>
                <w:sz w:val="21"/>
                <w:szCs w:val="21"/>
                <w:highlight w:val="none"/>
              </w:rPr>
            </w:pPr>
          </w:p>
        </w:tc>
        <w:tc>
          <w:tcPr>
            <w:tcW w:w="1340" w:type="pct"/>
            <w:vAlign w:val="center"/>
          </w:tcPr>
          <w:p>
            <w:pPr>
              <w:rPr>
                <w:rFonts w:hAnsi="宋体" w:cs="宋体"/>
                <w:bCs/>
                <w:color w:val="auto"/>
                <w:sz w:val="21"/>
                <w:szCs w:val="21"/>
                <w:highlight w:val="none"/>
              </w:rPr>
            </w:pPr>
          </w:p>
        </w:tc>
        <w:tc>
          <w:tcPr>
            <w:tcW w:w="730" w:type="pct"/>
            <w:vAlign w:val="center"/>
          </w:tcPr>
          <w:p>
            <w:pPr>
              <w:rPr>
                <w:rFonts w:hAnsi="宋体" w:cs="宋体"/>
                <w:bCs/>
                <w:color w:val="auto"/>
                <w:sz w:val="21"/>
                <w:szCs w:val="21"/>
                <w:highlight w:val="none"/>
              </w:rPr>
            </w:pPr>
          </w:p>
        </w:tc>
        <w:tc>
          <w:tcPr>
            <w:tcW w:w="730" w:type="pct"/>
            <w:vAlign w:val="center"/>
          </w:tcPr>
          <w:p>
            <w:pPr>
              <w:rPr>
                <w:rFonts w:hAnsi="宋体" w:cs="宋体"/>
                <w:bCs/>
                <w:color w:val="auto"/>
                <w:sz w:val="21"/>
                <w:szCs w:val="21"/>
                <w:highlight w:val="none"/>
              </w:rPr>
            </w:pPr>
          </w:p>
        </w:tc>
        <w:tc>
          <w:tcPr>
            <w:tcW w:w="730" w:type="pct"/>
            <w:vAlign w:val="center"/>
          </w:tcPr>
          <w:p>
            <w:pPr>
              <w:rPr>
                <w:rFonts w:hAnsi="宋体" w:cs="宋体"/>
                <w:bCs/>
                <w:color w:val="auto"/>
                <w:sz w:val="21"/>
                <w:szCs w:val="21"/>
                <w:highlight w:val="none"/>
              </w:rPr>
            </w:pPr>
          </w:p>
        </w:tc>
        <w:tc>
          <w:tcPr>
            <w:tcW w:w="611" w:type="pct"/>
            <w:vAlign w:val="center"/>
          </w:tcPr>
          <w:p>
            <w:pPr>
              <w:rPr>
                <w:rFonts w:hAnsi="宋体" w:cs="宋体"/>
                <w:bCs/>
                <w:color w:val="auto"/>
                <w:sz w:val="21"/>
                <w:szCs w:val="21"/>
                <w:highlight w:val="none"/>
              </w:rPr>
            </w:pPr>
          </w:p>
        </w:tc>
        <w:tc>
          <w:tcPr>
            <w:tcW w:w="495" w:type="pct"/>
            <w:vAlign w:val="center"/>
          </w:tcPr>
          <w:p>
            <w:pPr>
              <w:rPr>
                <w:rFonts w:hAnsi="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62" w:type="pct"/>
            <w:vAlign w:val="center"/>
          </w:tcPr>
          <w:p>
            <w:pPr>
              <w:jc w:val="center"/>
              <w:rPr>
                <w:rFonts w:hAnsi="宋体" w:cs="宋体"/>
                <w:bCs/>
                <w:color w:val="auto"/>
                <w:sz w:val="21"/>
                <w:szCs w:val="21"/>
                <w:highlight w:val="none"/>
              </w:rPr>
            </w:pPr>
          </w:p>
        </w:tc>
        <w:tc>
          <w:tcPr>
            <w:tcW w:w="1340" w:type="pct"/>
            <w:vAlign w:val="center"/>
          </w:tcPr>
          <w:p>
            <w:pPr>
              <w:rPr>
                <w:rFonts w:hAnsi="宋体" w:cs="宋体"/>
                <w:bCs/>
                <w:color w:val="auto"/>
                <w:sz w:val="21"/>
                <w:szCs w:val="21"/>
                <w:highlight w:val="none"/>
              </w:rPr>
            </w:pPr>
          </w:p>
        </w:tc>
        <w:tc>
          <w:tcPr>
            <w:tcW w:w="730" w:type="pct"/>
            <w:vAlign w:val="center"/>
          </w:tcPr>
          <w:p>
            <w:pPr>
              <w:rPr>
                <w:rFonts w:hAnsi="宋体" w:cs="宋体"/>
                <w:bCs/>
                <w:color w:val="auto"/>
                <w:sz w:val="21"/>
                <w:szCs w:val="21"/>
                <w:highlight w:val="none"/>
              </w:rPr>
            </w:pPr>
          </w:p>
        </w:tc>
        <w:tc>
          <w:tcPr>
            <w:tcW w:w="730" w:type="pct"/>
            <w:vAlign w:val="center"/>
          </w:tcPr>
          <w:p>
            <w:pPr>
              <w:rPr>
                <w:rFonts w:hAnsi="宋体" w:cs="宋体"/>
                <w:bCs/>
                <w:color w:val="auto"/>
                <w:sz w:val="21"/>
                <w:szCs w:val="21"/>
                <w:highlight w:val="none"/>
              </w:rPr>
            </w:pPr>
          </w:p>
        </w:tc>
        <w:tc>
          <w:tcPr>
            <w:tcW w:w="730" w:type="pct"/>
            <w:vAlign w:val="center"/>
          </w:tcPr>
          <w:p>
            <w:pPr>
              <w:rPr>
                <w:rFonts w:hAnsi="宋体" w:cs="宋体"/>
                <w:bCs/>
                <w:color w:val="auto"/>
                <w:sz w:val="21"/>
                <w:szCs w:val="21"/>
                <w:highlight w:val="none"/>
              </w:rPr>
            </w:pPr>
          </w:p>
        </w:tc>
        <w:tc>
          <w:tcPr>
            <w:tcW w:w="611" w:type="pct"/>
            <w:vAlign w:val="center"/>
          </w:tcPr>
          <w:p>
            <w:pPr>
              <w:rPr>
                <w:rFonts w:hAnsi="宋体" w:cs="宋体"/>
                <w:bCs/>
                <w:color w:val="auto"/>
                <w:sz w:val="21"/>
                <w:szCs w:val="21"/>
                <w:highlight w:val="none"/>
              </w:rPr>
            </w:pPr>
          </w:p>
        </w:tc>
        <w:tc>
          <w:tcPr>
            <w:tcW w:w="495" w:type="pct"/>
            <w:vAlign w:val="center"/>
          </w:tcPr>
          <w:p>
            <w:pPr>
              <w:rPr>
                <w:rFonts w:hAnsi="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62" w:type="pct"/>
            <w:vAlign w:val="center"/>
          </w:tcPr>
          <w:p>
            <w:pPr>
              <w:jc w:val="center"/>
              <w:rPr>
                <w:rFonts w:hAnsi="宋体" w:cs="宋体"/>
                <w:bCs/>
                <w:color w:val="auto"/>
                <w:sz w:val="21"/>
                <w:szCs w:val="21"/>
                <w:highlight w:val="none"/>
              </w:rPr>
            </w:pPr>
          </w:p>
        </w:tc>
        <w:tc>
          <w:tcPr>
            <w:tcW w:w="1340" w:type="pct"/>
            <w:vAlign w:val="center"/>
          </w:tcPr>
          <w:p>
            <w:pPr>
              <w:rPr>
                <w:rFonts w:hAnsi="宋体" w:cs="宋体"/>
                <w:bCs/>
                <w:color w:val="auto"/>
                <w:sz w:val="21"/>
                <w:szCs w:val="21"/>
                <w:highlight w:val="none"/>
              </w:rPr>
            </w:pPr>
          </w:p>
        </w:tc>
        <w:tc>
          <w:tcPr>
            <w:tcW w:w="730" w:type="pct"/>
            <w:vAlign w:val="center"/>
          </w:tcPr>
          <w:p>
            <w:pPr>
              <w:rPr>
                <w:rFonts w:hAnsi="宋体" w:cs="宋体"/>
                <w:bCs/>
                <w:color w:val="auto"/>
                <w:sz w:val="21"/>
                <w:szCs w:val="21"/>
                <w:highlight w:val="none"/>
              </w:rPr>
            </w:pPr>
          </w:p>
        </w:tc>
        <w:tc>
          <w:tcPr>
            <w:tcW w:w="730" w:type="pct"/>
            <w:vAlign w:val="center"/>
          </w:tcPr>
          <w:p>
            <w:pPr>
              <w:rPr>
                <w:rFonts w:hAnsi="宋体" w:cs="宋体"/>
                <w:bCs/>
                <w:color w:val="auto"/>
                <w:sz w:val="21"/>
                <w:szCs w:val="21"/>
                <w:highlight w:val="none"/>
              </w:rPr>
            </w:pPr>
          </w:p>
        </w:tc>
        <w:tc>
          <w:tcPr>
            <w:tcW w:w="730" w:type="pct"/>
            <w:vAlign w:val="center"/>
          </w:tcPr>
          <w:p>
            <w:pPr>
              <w:rPr>
                <w:rFonts w:hAnsi="宋体" w:cs="宋体"/>
                <w:bCs/>
                <w:color w:val="auto"/>
                <w:sz w:val="21"/>
                <w:szCs w:val="21"/>
                <w:highlight w:val="none"/>
              </w:rPr>
            </w:pPr>
          </w:p>
        </w:tc>
        <w:tc>
          <w:tcPr>
            <w:tcW w:w="611" w:type="pct"/>
            <w:vAlign w:val="center"/>
          </w:tcPr>
          <w:p>
            <w:pPr>
              <w:rPr>
                <w:rFonts w:hAnsi="宋体" w:cs="宋体"/>
                <w:bCs/>
                <w:color w:val="auto"/>
                <w:sz w:val="21"/>
                <w:szCs w:val="21"/>
                <w:highlight w:val="none"/>
              </w:rPr>
            </w:pPr>
          </w:p>
        </w:tc>
        <w:tc>
          <w:tcPr>
            <w:tcW w:w="495" w:type="pct"/>
            <w:vAlign w:val="center"/>
          </w:tcPr>
          <w:p>
            <w:pPr>
              <w:rPr>
                <w:rFonts w:hAnsi="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62" w:type="pct"/>
            <w:vAlign w:val="center"/>
          </w:tcPr>
          <w:p>
            <w:pPr>
              <w:jc w:val="center"/>
              <w:rPr>
                <w:rFonts w:hAnsi="宋体" w:cs="宋体"/>
                <w:bCs/>
                <w:color w:val="auto"/>
                <w:sz w:val="21"/>
                <w:szCs w:val="21"/>
                <w:highlight w:val="none"/>
              </w:rPr>
            </w:pPr>
          </w:p>
        </w:tc>
        <w:tc>
          <w:tcPr>
            <w:tcW w:w="1340" w:type="pct"/>
            <w:vAlign w:val="center"/>
          </w:tcPr>
          <w:p>
            <w:pPr>
              <w:rPr>
                <w:rFonts w:hAnsi="宋体" w:cs="宋体"/>
                <w:bCs/>
                <w:color w:val="auto"/>
                <w:sz w:val="21"/>
                <w:szCs w:val="21"/>
                <w:highlight w:val="none"/>
              </w:rPr>
            </w:pPr>
          </w:p>
        </w:tc>
        <w:tc>
          <w:tcPr>
            <w:tcW w:w="730" w:type="pct"/>
            <w:vAlign w:val="center"/>
          </w:tcPr>
          <w:p>
            <w:pPr>
              <w:rPr>
                <w:rFonts w:hAnsi="宋体" w:cs="宋体"/>
                <w:bCs/>
                <w:color w:val="auto"/>
                <w:sz w:val="21"/>
                <w:szCs w:val="21"/>
                <w:highlight w:val="none"/>
              </w:rPr>
            </w:pPr>
          </w:p>
        </w:tc>
        <w:tc>
          <w:tcPr>
            <w:tcW w:w="730" w:type="pct"/>
            <w:vAlign w:val="center"/>
          </w:tcPr>
          <w:p>
            <w:pPr>
              <w:rPr>
                <w:rFonts w:hAnsi="宋体" w:cs="宋体"/>
                <w:bCs/>
                <w:color w:val="auto"/>
                <w:sz w:val="21"/>
                <w:szCs w:val="21"/>
                <w:highlight w:val="none"/>
              </w:rPr>
            </w:pPr>
          </w:p>
        </w:tc>
        <w:tc>
          <w:tcPr>
            <w:tcW w:w="730" w:type="pct"/>
            <w:vAlign w:val="center"/>
          </w:tcPr>
          <w:p>
            <w:pPr>
              <w:rPr>
                <w:rFonts w:hAnsi="宋体" w:cs="宋体"/>
                <w:bCs/>
                <w:color w:val="auto"/>
                <w:sz w:val="21"/>
                <w:szCs w:val="21"/>
                <w:highlight w:val="none"/>
              </w:rPr>
            </w:pPr>
          </w:p>
        </w:tc>
        <w:tc>
          <w:tcPr>
            <w:tcW w:w="611" w:type="pct"/>
            <w:vAlign w:val="center"/>
          </w:tcPr>
          <w:p>
            <w:pPr>
              <w:rPr>
                <w:rFonts w:hAnsi="宋体" w:cs="宋体"/>
                <w:bCs/>
                <w:color w:val="auto"/>
                <w:sz w:val="21"/>
                <w:szCs w:val="21"/>
                <w:highlight w:val="none"/>
              </w:rPr>
            </w:pPr>
          </w:p>
        </w:tc>
        <w:tc>
          <w:tcPr>
            <w:tcW w:w="495" w:type="pct"/>
            <w:vAlign w:val="center"/>
          </w:tcPr>
          <w:p>
            <w:pPr>
              <w:rPr>
                <w:rFonts w:hAnsi="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62" w:type="pct"/>
            <w:vAlign w:val="center"/>
          </w:tcPr>
          <w:p>
            <w:pPr>
              <w:jc w:val="center"/>
              <w:rPr>
                <w:rFonts w:hAnsi="宋体" w:cs="宋体"/>
                <w:bCs/>
                <w:color w:val="auto"/>
                <w:sz w:val="21"/>
                <w:szCs w:val="21"/>
                <w:highlight w:val="none"/>
              </w:rPr>
            </w:pPr>
          </w:p>
        </w:tc>
        <w:tc>
          <w:tcPr>
            <w:tcW w:w="1340" w:type="pct"/>
            <w:vAlign w:val="center"/>
          </w:tcPr>
          <w:p>
            <w:pPr>
              <w:rPr>
                <w:rFonts w:hAnsi="宋体" w:cs="宋体"/>
                <w:bCs/>
                <w:color w:val="auto"/>
                <w:sz w:val="21"/>
                <w:szCs w:val="21"/>
                <w:highlight w:val="none"/>
              </w:rPr>
            </w:pPr>
          </w:p>
        </w:tc>
        <w:tc>
          <w:tcPr>
            <w:tcW w:w="730" w:type="pct"/>
            <w:vAlign w:val="center"/>
          </w:tcPr>
          <w:p>
            <w:pPr>
              <w:rPr>
                <w:rFonts w:hAnsi="宋体" w:cs="宋体"/>
                <w:bCs/>
                <w:color w:val="auto"/>
                <w:sz w:val="21"/>
                <w:szCs w:val="21"/>
                <w:highlight w:val="none"/>
              </w:rPr>
            </w:pPr>
          </w:p>
        </w:tc>
        <w:tc>
          <w:tcPr>
            <w:tcW w:w="730" w:type="pct"/>
            <w:vAlign w:val="center"/>
          </w:tcPr>
          <w:p>
            <w:pPr>
              <w:rPr>
                <w:rFonts w:hAnsi="宋体" w:cs="宋体"/>
                <w:bCs/>
                <w:color w:val="auto"/>
                <w:sz w:val="21"/>
                <w:szCs w:val="21"/>
                <w:highlight w:val="none"/>
              </w:rPr>
            </w:pPr>
          </w:p>
        </w:tc>
        <w:tc>
          <w:tcPr>
            <w:tcW w:w="730" w:type="pct"/>
            <w:vAlign w:val="center"/>
          </w:tcPr>
          <w:p>
            <w:pPr>
              <w:rPr>
                <w:rFonts w:hAnsi="宋体" w:cs="宋体"/>
                <w:bCs/>
                <w:color w:val="auto"/>
                <w:sz w:val="21"/>
                <w:szCs w:val="21"/>
                <w:highlight w:val="none"/>
              </w:rPr>
            </w:pPr>
          </w:p>
        </w:tc>
        <w:tc>
          <w:tcPr>
            <w:tcW w:w="611" w:type="pct"/>
            <w:vAlign w:val="center"/>
          </w:tcPr>
          <w:p>
            <w:pPr>
              <w:rPr>
                <w:rFonts w:hAnsi="宋体" w:cs="宋体"/>
                <w:bCs/>
                <w:color w:val="auto"/>
                <w:sz w:val="21"/>
                <w:szCs w:val="21"/>
                <w:highlight w:val="none"/>
              </w:rPr>
            </w:pPr>
          </w:p>
        </w:tc>
        <w:tc>
          <w:tcPr>
            <w:tcW w:w="495" w:type="pct"/>
            <w:vAlign w:val="center"/>
          </w:tcPr>
          <w:p>
            <w:pPr>
              <w:rPr>
                <w:rFonts w:hAnsi="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62" w:type="pct"/>
            <w:vAlign w:val="center"/>
          </w:tcPr>
          <w:p>
            <w:pPr>
              <w:jc w:val="center"/>
              <w:rPr>
                <w:rFonts w:hAnsi="宋体" w:cs="宋体"/>
                <w:bCs/>
                <w:color w:val="auto"/>
                <w:sz w:val="21"/>
                <w:szCs w:val="21"/>
                <w:highlight w:val="none"/>
              </w:rPr>
            </w:pPr>
          </w:p>
        </w:tc>
        <w:tc>
          <w:tcPr>
            <w:tcW w:w="1340" w:type="pct"/>
            <w:vAlign w:val="center"/>
          </w:tcPr>
          <w:p>
            <w:pPr>
              <w:rPr>
                <w:rFonts w:hAnsi="宋体" w:cs="宋体"/>
                <w:bCs/>
                <w:color w:val="auto"/>
                <w:sz w:val="21"/>
                <w:szCs w:val="21"/>
                <w:highlight w:val="none"/>
              </w:rPr>
            </w:pPr>
          </w:p>
        </w:tc>
        <w:tc>
          <w:tcPr>
            <w:tcW w:w="730" w:type="pct"/>
            <w:vAlign w:val="center"/>
          </w:tcPr>
          <w:p>
            <w:pPr>
              <w:rPr>
                <w:rFonts w:hAnsi="宋体" w:cs="宋体"/>
                <w:bCs/>
                <w:color w:val="auto"/>
                <w:sz w:val="21"/>
                <w:szCs w:val="21"/>
                <w:highlight w:val="none"/>
              </w:rPr>
            </w:pPr>
          </w:p>
        </w:tc>
        <w:tc>
          <w:tcPr>
            <w:tcW w:w="730" w:type="pct"/>
            <w:vAlign w:val="center"/>
          </w:tcPr>
          <w:p>
            <w:pPr>
              <w:rPr>
                <w:rFonts w:hAnsi="宋体" w:cs="宋体"/>
                <w:bCs/>
                <w:color w:val="auto"/>
                <w:sz w:val="21"/>
                <w:szCs w:val="21"/>
                <w:highlight w:val="none"/>
              </w:rPr>
            </w:pPr>
          </w:p>
        </w:tc>
        <w:tc>
          <w:tcPr>
            <w:tcW w:w="730" w:type="pct"/>
            <w:vAlign w:val="center"/>
          </w:tcPr>
          <w:p>
            <w:pPr>
              <w:rPr>
                <w:rFonts w:hAnsi="宋体" w:cs="宋体"/>
                <w:bCs/>
                <w:color w:val="auto"/>
                <w:sz w:val="21"/>
                <w:szCs w:val="21"/>
                <w:highlight w:val="none"/>
              </w:rPr>
            </w:pPr>
          </w:p>
        </w:tc>
        <w:tc>
          <w:tcPr>
            <w:tcW w:w="611" w:type="pct"/>
            <w:vAlign w:val="center"/>
          </w:tcPr>
          <w:p>
            <w:pPr>
              <w:rPr>
                <w:rFonts w:hAnsi="宋体" w:cs="宋体"/>
                <w:bCs/>
                <w:color w:val="auto"/>
                <w:sz w:val="21"/>
                <w:szCs w:val="21"/>
                <w:highlight w:val="none"/>
              </w:rPr>
            </w:pPr>
          </w:p>
        </w:tc>
        <w:tc>
          <w:tcPr>
            <w:tcW w:w="495" w:type="pct"/>
            <w:vAlign w:val="center"/>
          </w:tcPr>
          <w:p>
            <w:pPr>
              <w:rPr>
                <w:rFonts w:hAnsi="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62" w:type="pct"/>
            <w:vAlign w:val="center"/>
          </w:tcPr>
          <w:p>
            <w:pPr>
              <w:jc w:val="center"/>
              <w:rPr>
                <w:rFonts w:hAnsi="宋体" w:cs="宋体"/>
                <w:bCs/>
                <w:color w:val="auto"/>
                <w:sz w:val="21"/>
                <w:szCs w:val="21"/>
                <w:highlight w:val="none"/>
              </w:rPr>
            </w:pPr>
          </w:p>
        </w:tc>
        <w:tc>
          <w:tcPr>
            <w:tcW w:w="1340" w:type="pct"/>
            <w:vAlign w:val="center"/>
          </w:tcPr>
          <w:p>
            <w:pPr>
              <w:rPr>
                <w:rFonts w:hAnsi="宋体" w:cs="宋体"/>
                <w:bCs/>
                <w:color w:val="auto"/>
                <w:sz w:val="21"/>
                <w:szCs w:val="21"/>
                <w:highlight w:val="none"/>
              </w:rPr>
            </w:pPr>
          </w:p>
        </w:tc>
        <w:tc>
          <w:tcPr>
            <w:tcW w:w="730" w:type="pct"/>
            <w:vAlign w:val="center"/>
          </w:tcPr>
          <w:p>
            <w:pPr>
              <w:rPr>
                <w:rFonts w:hAnsi="宋体" w:cs="宋体"/>
                <w:bCs/>
                <w:color w:val="auto"/>
                <w:sz w:val="21"/>
                <w:szCs w:val="21"/>
                <w:highlight w:val="none"/>
              </w:rPr>
            </w:pPr>
          </w:p>
        </w:tc>
        <w:tc>
          <w:tcPr>
            <w:tcW w:w="730" w:type="pct"/>
            <w:vAlign w:val="center"/>
          </w:tcPr>
          <w:p>
            <w:pPr>
              <w:rPr>
                <w:rFonts w:hAnsi="宋体" w:cs="宋体"/>
                <w:bCs/>
                <w:color w:val="auto"/>
                <w:sz w:val="21"/>
                <w:szCs w:val="21"/>
                <w:highlight w:val="none"/>
              </w:rPr>
            </w:pPr>
          </w:p>
        </w:tc>
        <w:tc>
          <w:tcPr>
            <w:tcW w:w="730" w:type="pct"/>
            <w:vAlign w:val="center"/>
          </w:tcPr>
          <w:p>
            <w:pPr>
              <w:rPr>
                <w:rFonts w:hAnsi="宋体" w:cs="宋体"/>
                <w:bCs/>
                <w:color w:val="auto"/>
                <w:sz w:val="21"/>
                <w:szCs w:val="21"/>
                <w:highlight w:val="none"/>
              </w:rPr>
            </w:pPr>
          </w:p>
        </w:tc>
        <w:tc>
          <w:tcPr>
            <w:tcW w:w="611" w:type="pct"/>
            <w:vAlign w:val="center"/>
          </w:tcPr>
          <w:p>
            <w:pPr>
              <w:rPr>
                <w:rFonts w:hAnsi="宋体" w:cs="宋体"/>
                <w:bCs/>
                <w:color w:val="auto"/>
                <w:sz w:val="21"/>
                <w:szCs w:val="21"/>
                <w:highlight w:val="none"/>
              </w:rPr>
            </w:pPr>
          </w:p>
        </w:tc>
        <w:tc>
          <w:tcPr>
            <w:tcW w:w="495" w:type="pct"/>
            <w:vAlign w:val="center"/>
          </w:tcPr>
          <w:p>
            <w:pPr>
              <w:rPr>
                <w:rFonts w:hAnsi="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62" w:type="pct"/>
            <w:vAlign w:val="center"/>
          </w:tcPr>
          <w:p>
            <w:pPr>
              <w:jc w:val="center"/>
              <w:rPr>
                <w:rFonts w:hAnsi="宋体" w:cs="宋体"/>
                <w:bCs/>
                <w:color w:val="auto"/>
                <w:sz w:val="21"/>
                <w:szCs w:val="21"/>
                <w:highlight w:val="none"/>
              </w:rPr>
            </w:pPr>
          </w:p>
        </w:tc>
        <w:tc>
          <w:tcPr>
            <w:tcW w:w="1340" w:type="pct"/>
            <w:vAlign w:val="center"/>
          </w:tcPr>
          <w:p>
            <w:pPr>
              <w:rPr>
                <w:rFonts w:hAnsi="宋体" w:cs="宋体"/>
                <w:bCs/>
                <w:color w:val="auto"/>
                <w:sz w:val="21"/>
                <w:szCs w:val="21"/>
                <w:highlight w:val="none"/>
              </w:rPr>
            </w:pPr>
          </w:p>
        </w:tc>
        <w:tc>
          <w:tcPr>
            <w:tcW w:w="730" w:type="pct"/>
            <w:vAlign w:val="center"/>
          </w:tcPr>
          <w:p>
            <w:pPr>
              <w:rPr>
                <w:rFonts w:hAnsi="宋体" w:cs="宋体"/>
                <w:bCs/>
                <w:color w:val="auto"/>
                <w:sz w:val="21"/>
                <w:szCs w:val="21"/>
                <w:highlight w:val="none"/>
              </w:rPr>
            </w:pPr>
          </w:p>
        </w:tc>
        <w:tc>
          <w:tcPr>
            <w:tcW w:w="730" w:type="pct"/>
            <w:vAlign w:val="center"/>
          </w:tcPr>
          <w:p>
            <w:pPr>
              <w:rPr>
                <w:rFonts w:hAnsi="宋体" w:cs="宋体"/>
                <w:bCs/>
                <w:color w:val="auto"/>
                <w:sz w:val="21"/>
                <w:szCs w:val="21"/>
                <w:highlight w:val="none"/>
              </w:rPr>
            </w:pPr>
          </w:p>
        </w:tc>
        <w:tc>
          <w:tcPr>
            <w:tcW w:w="730" w:type="pct"/>
            <w:vAlign w:val="center"/>
          </w:tcPr>
          <w:p>
            <w:pPr>
              <w:rPr>
                <w:rFonts w:hAnsi="宋体" w:cs="宋体"/>
                <w:bCs/>
                <w:color w:val="auto"/>
                <w:sz w:val="21"/>
                <w:szCs w:val="21"/>
                <w:highlight w:val="none"/>
              </w:rPr>
            </w:pPr>
          </w:p>
        </w:tc>
        <w:tc>
          <w:tcPr>
            <w:tcW w:w="611" w:type="pct"/>
            <w:vAlign w:val="center"/>
          </w:tcPr>
          <w:p>
            <w:pPr>
              <w:rPr>
                <w:rFonts w:hAnsi="宋体" w:cs="宋体"/>
                <w:bCs/>
                <w:color w:val="auto"/>
                <w:sz w:val="21"/>
                <w:szCs w:val="21"/>
                <w:highlight w:val="none"/>
              </w:rPr>
            </w:pPr>
          </w:p>
        </w:tc>
        <w:tc>
          <w:tcPr>
            <w:tcW w:w="495" w:type="pct"/>
            <w:vAlign w:val="center"/>
          </w:tcPr>
          <w:p>
            <w:pPr>
              <w:rPr>
                <w:rFonts w:hAnsi="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62" w:type="pct"/>
            <w:vAlign w:val="center"/>
          </w:tcPr>
          <w:p>
            <w:pPr>
              <w:jc w:val="center"/>
              <w:rPr>
                <w:rFonts w:hAnsi="宋体" w:cs="宋体"/>
                <w:bCs/>
                <w:color w:val="auto"/>
                <w:sz w:val="21"/>
                <w:szCs w:val="21"/>
                <w:highlight w:val="none"/>
              </w:rPr>
            </w:pPr>
          </w:p>
        </w:tc>
        <w:tc>
          <w:tcPr>
            <w:tcW w:w="1340" w:type="pct"/>
            <w:vAlign w:val="center"/>
          </w:tcPr>
          <w:p>
            <w:pPr>
              <w:rPr>
                <w:rFonts w:hAnsi="宋体" w:cs="宋体"/>
                <w:bCs/>
                <w:color w:val="auto"/>
                <w:sz w:val="21"/>
                <w:szCs w:val="21"/>
                <w:highlight w:val="none"/>
              </w:rPr>
            </w:pPr>
          </w:p>
        </w:tc>
        <w:tc>
          <w:tcPr>
            <w:tcW w:w="730" w:type="pct"/>
            <w:vAlign w:val="center"/>
          </w:tcPr>
          <w:p>
            <w:pPr>
              <w:rPr>
                <w:rFonts w:hAnsi="宋体" w:cs="宋体"/>
                <w:bCs/>
                <w:color w:val="auto"/>
                <w:sz w:val="21"/>
                <w:szCs w:val="21"/>
                <w:highlight w:val="none"/>
              </w:rPr>
            </w:pPr>
          </w:p>
        </w:tc>
        <w:tc>
          <w:tcPr>
            <w:tcW w:w="730" w:type="pct"/>
            <w:vAlign w:val="center"/>
          </w:tcPr>
          <w:p>
            <w:pPr>
              <w:rPr>
                <w:rFonts w:hAnsi="宋体" w:cs="宋体"/>
                <w:bCs/>
                <w:color w:val="auto"/>
                <w:sz w:val="21"/>
                <w:szCs w:val="21"/>
                <w:highlight w:val="none"/>
              </w:rPr>
            </w:pPr>
          </w:p>
        </w:tc>
        <w:tc>
          <w:tcPr>
            <w:tcW w:w="730" w:type="pct"/>
            <w:vAlign w:val="center"/>
          </w:tcPr>
          <w:p>
            <w:pPr>
              <w:rPr>
                <w:rFonts w:hAnsi="宋体" w:cs="宋体"/>
                <w:bCs/>
                <w:color w:val="auto"/>
                <w:sz w:val="21"/>
                <w:szCs w:val="21"/>
                <w:highlight w:val="none"/>
              </w:rPr>
            </w:pPr>
          </w:p>
        </w:tc>
        <w:tc>
          <w:tcPr>
            <w:tcW w:w="611" w:type="pct"/>
            <w:vAlign w:val="center"/>
          </w:tcPr>
          <w:p>
            <w:pPr>
              <w:rPr>
                <w:rFonts w:hAnsi="宋体" w:cs="宋体"/>
                <w:bCs/>
                <w:color w:val="auto"/>
                <w:sz w:val="21"/>
                <w:szCs w:val="21"/>
                <w:highlight w:val="none"/>
              </w:rPr>
            </w:pPr>
          </w:p>
        </w:tc>
        <w:tc>
          <w:tcPr>
            <w:tcW w:w="495" w:type="pct"/>
            <w:vAlign w:val="center"/>
          </w:tcPr>
          <w:p>
            <w:pPr>
              <w:rPr>
                <w:rFonts w:hAnsi="宋体" w:cs="宋体"/>
                <w:bCs/>
                <w:color w:val="auto"/>
                <w:sz w:val="21"/>
                <w:szCs w:val="21"/>
                <w:highlight w:val="none"/>
              </w:rPr>
            </w:pPr>
          </w:p>
        </w:tc>
      </w:tr>
    </w:tbl>
    <w:p>
      <w:pPr>
        <w:pStyle w:val="119"/>
        <w:rPr>
          <w:rFonts w:ascii="宋体" w:hAnsi="宋体" w:cs="宋体"/>
          <w:color w:val="auto"/>
          <w:szCs w:val="21"/>
          <w:highlight w:val="none"/>
        </w:rPr>
      </w:pPr>
    </w:p>
    <w:p>
      <w:pPr>
        <w:pStyle w:val="29"/>
        <w:tabs>
          <w:tab w:val="left" w:pos="5580"/>
        </w:tabs>
        <w:spacing w:line="360" w:lineRule="auto"/>
        <w:rPr>
          <w:rFonts w:hAnsi="宋体" w:cs="宋体"/>
          <w:color w:val="auto"/>
          <w:szCs w:val="21"/>
          <w:highlight w:val="none"/>
        </w:rPr>
      </w:pPr>
      <w:r>
        <w:rPr>
          <w:rFonts w:hint="eastAsia" w:hAnsi="宋体" w:cs="宋体"/>
          <w:color w:val="auto"/>
          <w:szCs w:val="21"/>
          <w:highlight w:val="none"/>
        </w:rPr>
        <w:t xml:space="preserve">投标人名称（盖章）：                       </w:t>
      </w:r>
    </w:p>
    <w:p>
      <w:pPr>
        <w:spacing w:line="360" w:lineRule="auto"/>
        <w:rPr>
          <w:rFonts w:hAnsi="宋体" w:cs="宋体"/>
          <w:color w:val="auto"/>
          <w:sz w:val="21"/>
          <w:szCs w:val="21"/>
          <w:highlight w:val="none"/>
        </w:rPr>
      </w:pPr>
      <w:r>
        <w:rPr>
          <w:rFonts w:hint="eastAsia" w:hAnsi="宋体" w:cs="宋体"/>
          <w:color w:val="auto"/>
          <w:sz w:val="21"/>
          <w:szCs w:val="21"/>
          <w:highlight w:val="none"/>
        </w:rPr>
        <w:t>日期：</w:t>
      </w:r>
    </w:p>
    <w:p>
      <w:pPr>
        <w:pStyle w:val="119"/>
        <w:rPr>
          <w:rFonts w:ascii="宋体" w:hAnsi="宋体" w:cs="宋体"/>
          <w:color w:val="auto"/>
          <w:szCs w:val="21"/>
          <w:highlight w:val="none"/>
        </w:rPr>
      </w:pPr>
    </w:p>
    <w:p>
      <w:pPr>
        <w:pStyle w:val="119"/>
        <w:rPr>
          <w:rFonts w:ascii="宋体" w:hAnsi="宋体" w:cs="宋体"/>
          <w:color w:val="auto"/>
          <w:szCs w:val="21"/>
          <w:highlight w:val="none"/>
        </w:rPr>
      </w:pPr>
      <w:r>
        <w:rPr>
          <w:rFonts w:hint="eastAsia" w:ascii="宋体" w:hAnsi="宋体" w:cs="宋体"/>
          <w:color w:val="auto"/>
          <w:szCs w:val="21"/>
          <w:highlight w:val="none"/>
        </w:rPr>
        <w:t>注：</w:t>
      </w:r>
    </w:p>
    <w:p>
      <w:pPr>
        <w:pStyle w:val="119"/>
        <w:numPr>
          <w:ilvl w:val="0"/>
          <w:numId w:val="32"/>
        </w:numPr>
        <w:spacing w:line="360" w:lineRule="auto"/>
        <w:rPr>
          <w:rFonts w:ascii="宋体" w:hAnsi="宋体" w:cs="宋体"/>
          <w:color w:val="auto"/>
          <w:szCs w:val="21"/>
          <w:highlight w:val="none"/>
        </w:rPr>
      </w:pPr>
      <w:r>
        <w:rPr>
          <w:rFonts w:hint="eastAsia" w:ascii="宋体" w:hAnsi="宋体" w:cs="宋体"/>
          <w:color w:val="auto"/>
          <w:szCs w:val="21"/>
          <w:highlight w:val="none"/>
        </w:rPr>
        <w:t>该表格为参考格式，投标人可按实际情况自行制订。</w:t>
      </w:r>
    </w:p>
    <w:p>
      <w:pPr>
        <w:pStyle w:val="119"/>
        <w:numPr>
          <w:ilvl w:val="0"/>
          <w:numId w:val="32"/>
        </w:numPr>
        <w:spacing w:line="360" w:lineRule="auto"/>
        <w:rPr>
          <w:rFonts w:ascii="宋体" w:hAnsi="宋体" w:cs="宋体"/>
          <w:color w:val="auto"/>
          <w:szCs w:val="21"/>
          <w:highlight w:val="none"/>
        </w:rPr>
      </w:pPr>
      <w:r>
        <w:rPr>
          <w:rFonts w:hint="eastAsia" w:ascii="宋体" w:hAnsi="宋体" w:cs="宋体"/>
          <w:color w:val="auto"/>
          <w:szCs w:val="21"/>
          <w:highlight w:val="none"/>
        </w:rPr>
        <w:t>业绩表所列出的材料应为真实准确的，并应提供相关证明材料复印件加盖公章。请勿提供虚假、过期材料，否则将依据相关规定严肃处理。</w:t>
      </w:r>
    </w:p>
    <w:p>
      <w:pPr>
        <w:pStyle w:val="119"/>
        <w:ind w:firstLine="0" w:firstLineChars="0"/>
        <w:rPr>
          <w:rFonts w:ascii="宋体" w:hAnsi="宋体" w:cs="宋体"/>
          <w:color w:val="auto"/>
          <w:szCs w:val="21"/>
          <w:highlight w:val="none"/>
        </w:rPr>
      </w:pPr>
    </w:p>
    <w:p>
      <w:pPr>
        <w:pStyle w:val="8"/>
        <w:widowControl/>
        <w:numPr>
          <w:ilvl w:val="0"/>
          <w:numId w:val="28"/>
        </w:numPr>
        <w:jc w:val="center"/>
        <w:rPr>
          <w:rFonts w:ascii="宋体" w:hAnsi="宋体" w:eastAsia="宋体" w:cs="宋体"/>
          <w:color w:val="auto"/>
          <w:highlight w:val="none"/>
        </w:rPr>
      </w:pPr>
      <w:bookmarkStart w:id="89" w:name="_Toc7860"/>
      <w:r>
        <w:rPr>
          <w:rFonts w:hint="eastAsia" w:ascii="宋体" w:hAnsi="宋体" w:eastAsia="宋体" w:cs="宋体"/>
          <w:color w:val="auto"/>
          <w:highlight w:val="none"/>
        </w:rPr>
        <w:br w:type="page"/>
      </w:r>
      <w:r>
        <w:rPr>
          <w:rFonts w:hint="eastAsia" w:ascii="宋体" w:hAnsi="宋体" w:eastAsia="宋体" w:cs="宋体"/>
          <w:color w:val="auto"/>
          <w:highlight w:val="none"/>
        </w:rPr>
        <w:t>投标保证金汇入情况说明</w:t>
      </w:r>
    </w:p>
    <w:p>
      <w:pPr>
        <w:spacing w:line="360" w:lineRule="auto"/>
        <w:rPr>
          <w:rFonts w:hAnsi="宋体" w:cs="宋体"/>
          <w:b/>
          <w:color w:val="auto"/>
          <w:sz w:val="21"/>
          <w:szCs w:val="21"/>
          <w:highlight w:val="none"/>
        </w:rPr>
      </w:pPr>
    </w:p>
    <w:p>
      <w:pPr>
        <w:spacing w:line="360" w:lineRule="auto"/>
        <w:rPr>
          <w:rFonts w:hAnsi="宋体" w:cs="宋体"/>
          <w:color w:val="auto"/>
          <w:sz w:val="21"/>
          <w:szCs w:val="21"/>
          <w:highlight w:val="none"/>
        </w:rPr>
      </w:pPr>
      <w:r>
        <w:rPr>
          <w:rFonts w:hint="eastAsia" w:hAnsi="宋体" w:cs="宋体"/>
          <w:b/>
          <w:color w:val="auto"/>
          <w:sz w:val="21"/>
          <w:szCs w:val="21"/>
          <w:highlight w:val="none"/>
        </w:rPr>
        <w:t xml:space="preserve">致：广东泰通伟业工程咨询有限公司 </w:t>
      </w:r>
    </w:p>
    <w:p>
      <w:p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本单位已按</w:t>
      </w:r>
      <w:r>
        <w:rPr>
          <w:rFonts w:hint="eastAsia" w:hAnsi="宋体" w:cs="宋体"/>
          <w:color w:val="auto"/>
          <w:kern w:val="2"/>
          <w:sz w:val="21"/>
          <w:szCs w:val="21"/>
          <w:highlight w:val="none"/>
          <w:u w:val="single"/>
        </w:rPr>
        <w:t xml:space="preserve">                      （</w:t>
      </w:r>
      <w:r>
        <w:rPr>
          <w:rFonts w:hint="eastAsia" w:hAnsi="宋体" w:cs="宋体"/>
          <w:color w:val="auto"/>
          <w:kern w:val="2"/>
          <w:sz w:val="21"/>
          <w:szCs w:val="21"/>
          <w:highlight w:val="none"/>
          <w:u w:val="single"/>
          <w:lang w:val="zh-CN"/>
        </w:rPr>
        <w:t>项目名称）</w:t>
      </w:r>
      <w:r>
        <w:rPr>
          <w:rFonts w:hint="eastAsia" w:hAnsi="宋体" w:cs="宋体"/>
          <w:color w:val="auto"/>
          <w:sz w:val="21"/>
          <w:szCs w:val="32"/>
          <w:highlight w:val="none"/>
        </w:rPr>
        <w:t>(</w:t>
      </w:r>
      <w:r>
        <w:rPr>
          <w:rFonts w:hint="eastAsia" w:hAnsi="宋体" w:cs="宋体"/>
          <w:color w:val="auto"/>
          <w:kern w:val="2"/>
          <w:sz w:val="21"/>
          <w:szCs w:val="21"/>
          <w:highlight w:val="none"/>
          <w:lang w:val="zh-CN"/>
        </w:rPr>
        <w:t>项目编号：</w:t>
      </w:r>
      <w:r>
        <w:rPr>
          <w:rFonts w:hint="eastAsia" w:hAnsi="宋体" w:cs="宋体"/>
          <w:color w:val="auto"/>
          <w:kern w:val="2"/>
          <w:sz w:val="21"/>
          <w:szCs w:val="21"/>
          <w:highlight w:val="none"/>
        </w:rPr>
        <w:t xml:space="preserve">    </w:t>
      </w:r>
      <w:r>
        <w:rPr>
          <w:rFonts w:hint="eastAsia" w:hAnsi="宋体" w:cs="宋体"/>
          <w:color w:val="auto"/>
          <w:kern w:val="2"/>
          <w:sz w:val="21"/>
          <w:szCs w:val="21"/>
          <w:highlight w:val="none"/>
          <w:lang w:val="zh-CN"/>
        </w:rPr>
        <w:t>)</w:t>
      </w:r>
      <w:r>
        <w:rPr>
          <w:rFonts w:hint="eastAsia" w:hAnsi="宋体" w:cs="宋体"/>
          <w:color w:val="auto"/>
          <w:sz w:val="21"/>
          <w:szCs w:val="21"/>
          <w:highlight w:val="none"/>
        </w:rPr>
        <w:t>的采购文件要求，于</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年</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日前以</w:t>
      </w:r>
      <w:r>
        <w:rPr>
          <w:rFonts w:hint="eastAsia" w:hAnsi="宋体" w:cs="宋体"/>
          <w:color w:val="auto"/>
          <w:sz w:val="21"/>
          <w:szCs w:val="21"/>
          <w:highlight w:val="none"/>
          <w:u w:val="single"/>
        </w:rPr>
        <w:t xml:space="preserve">    （付款形式）  </w:t>
      </w:r>
      <w:r>
        <w:rPr>
          <w:rFonts w:hint="eastAsia" w:hAnsi="宋体" w:cs="宋体"/>
          <w:color w:val="auto"/>
          <w:sz w:val="21"/>
          <w:szCs w:val="21"/>
          <w:highlight w:val="none"/>
        </w:rPr>
        <w:t>方式汇入指定帐户（帐户名称：</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，帐号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,开户银行：</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w:t>
      </w:r>
    </w:p>
    <w:p>
      <w:p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本单位投标保证金的汇款情况：（详见附件－投标保证金进帐单）</w:t>
      </w:r>
    </w:p>
    <w:p>
      <w:p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汇出时间：</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年</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日</w:t>
      </w:r>
    </w:p>
    <w:p>
      <w:p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汇款金额：（大写）人民币</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元（小写：￥</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元）</w:t>
      </w:r>
    </w:p>
    <w:p>
      <w:p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汇款帐户名称：</w:t>
      </w:r>
      <w:r>
        <w:rPr>
          <w:rFonts w:hint="eastAsia" w:hAnsi="宋体" w:cs="宋体"/>
          <w:color w:val="auto"/>
          <w:sz w:val="21"/>
          <w:szCs w:val="21"/>
          <w:highlight w:val="none"/>
          <w:u w:val="single"/>
        </w:rPr>
        <w:t xml:space="preserve">  （必须是投标时使用的帐户名）   </w:t>
      </w:r>
    </w:p>
    <w:p>
      <w:p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帐    号：</w:t>
      </w:r>
      <w:r>
        <w:rPr>
          <w:rFonts w:hint="eastAsia" w:hAnsi="宋体" w:cs="宋体"/>
          <w:color w:val="auto"/>
          <w:sz w:val="21"/>
          <w:szCs w:val="21"/>
          <w:highlight w:val="none"/>
          <w:u w:val="single"/>
        </w:rPr>
        <w:t xml:space="preserve">      （必须是投标时使用的帐号）     </w:t>
      </w:r>
    </w:p>
    <w:p>
      <w:p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开户银行：</w:t>
      </w:r>
      <w:r>
        <w:rPr>
          <w:rFonts w:hint="eastAsia" w:hAnsi="宋体" w:cs="宋体"/>
          <w:color w:val="auto"/>
          <w:sz w:val="21"/>
          <w:szCs w:val="21"/>
          <w:highlight w:val="none"/>
          <w:u w:val="single"/>
        </w:rPr>
        <w:t xml:space="preserve">         省    市     银行    分行/支行                    </w:t>
      </w:r>
    </w:p>
    <w:p>
      <w:p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本单位谨承诺上述资料是正确、真实的，如因上述证明与事实不符导致的一切损失，本单位保证承担赔偿等一切法律责任。</w:t>
      </w:r>
    </w:p>
    <w:p>
      <w:p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投标保证金退回时，请按上述资料退回。</w:t>
      </w:r>
    </w:p>
    <w:p>
      <w:pPr>
        <w:spacing w:line="360" w:lineRule="auto"/>
        <w:ind w:right="965" w:rightChars="402"/>
        <w:jc w:val="right"/>
        <w:rPr>
          <w:rFonts w:hAnsi="宋体" w:cs="宋体"/>
          <w:color w:val="auto"/>
          <w:sz w:val="21"/>
          <w:szCs w:val="21"/>
          <w:highlight w:val="none"/>
        </w:rPr>
      </w:pPr>
      <w:r>
        <w:rPr>
          <w:rFonts w:hint="eastAsia" w:hAnsi="宋体" w:cs="宋体"/>
          <w:color w:val="auto"/>
          <w:sz w:val="21"/>
          <w:szCs w:val="21"/>
          <w:highlight w:val="none"/>
        </w:rPr>
        <w:t>（单位公章）</w:t>
      </w:r>
    </w:p>
    <w:p>
      <w:pPr>
        <w:spacing w:line="360" w:lineRule="auto"/>
        <w:ind w:right="718" w:rightChars="299"/>
        <w:jc w:val="right"/>
        <w:rPr>
          <w:rFonts w:hAnsi="宋体" w:cs="宋体"/>
          <w:color w:val="auto"/>
          <w:sz w:val="21"/>
          <w:szCs w:val="21"/>
          <w:highlight w:val="none"/>
        </w:rPr>
      </w:pPr>
      <w:r>
        <w:rPr>
          <w:rFonts w:hint="eastAsia" w:hAnsi="宋体" w:cs="宋体"/>
          <w:color w:val="auto"/>
          <w:sz w:val="21"/>
          <w:szCs w:val="21"/>
          <w:highlight w:val="none"/>
        </w:rPr>
        <w:t>年  月  日</w:t>
      </w:r>
    </w:p>
    <w:p>
      <w:pPr>
        <w:spacing w:line="360" w:lineRule="auto"/>
        <w:rPr>
          <w:rFonts w:hAnsi="宋体" w:cs="宋体"/>
          <w:color w:val="auto"/>
          <w:sz w:val="21"/>
          <w:szCs w:val="21"/>
          <w:highlight w:val="none"/>
        </w:rPr>
      </w:pPr>
      <w:r>
        <w:rPr>
          <w:rFonts w:hint="eastAsia" w:hAnsi="宋体" w:cs="宋体"/>
          <w:color w:val="auto"/>
          <w:sz w:val="21"/>
          <w:szCs w:val="21"/>
          <w:highlight w:val="none"/>
        </w:rPr>
        <w:t>单位名称：</w:t>
      </w:r>
      <w:r>
        <w:rPr>
          <w:rFonts w:hint="eastAsia" w:hAnsi="宋体" w:cs="宋体"/>
          <w:color w:val="auto"/>
          <w:sz w:val="21"/>
          <w:szCs w:val="21"/>
          <w:highlight w:val="none"/>
          <w:u w:val="single"/>
        </w:rPr>
        <w:t xml:space="preserve">                   </w:t>
      </w:r>
    </w:p>
    <w:p>
      <w:pPr>
        <w:spacing w:line="360" w:lineRule="auto"/>
        <w:rPr>
          <w:rFonts w:hAnsi="宋体" w:cs="宋体"/>
          <w:color w:val="auto"/>
          <w:sz w:val="21"/>
          <w:szCs w:val="21"/>
          <w:highlight w:val="none"/>
        </w:rPr>
      </w:pPr>
      <w:r>
        <w:rPr>
          <w:rFonts w:hint="eastAsia" w:hAnsi="宋体" w:cs="宋体"/>
          <w:color w:val="auto"/>
          <w:sz w:val="21"/>
          <w:szCs w:val="21"/>
          <w:highlight w:val="none"/>
        </w:rPr>
        <w:t>单位地址：</w:t>
      </w:r>
      <w:r>
        <w:rPr>
          <w:rFonts w:hint="eastAsia" w:hAnsi="宋体" w:cs="宋体"/>
          <w:color w:val="auto"/>
          <w:sz w:val="21"/>
          <w:szCs w:val="21"/>
          <w:highlight w:val="none"/>
          <w:u w:val="single"/>
        </w:rPr>
        <w:t xml:space="preserve">                   </w:t>
      </w:r>
    </w:p>
    <w:p>
      <w:pPr>
        <w:spacing w:line="360" w:lineRule="auto"/>
        <w:rPr>
          <w:rFonts w:hAnsi="宋体" w:cs="宋体"/>
          <w:color w:val="auto"/>
          <w:sz w:val="21"/>
          <w:szCs w:val="21"/>
          <w:highlight w:val="none"/>
        </w:rPr>
      </w:pPr>
      <w:r>
        <w:rPr>
          <w:rFonts w:hint="eastAsia" w:hAnsi="宋体" w:cs="宋体"/>
          <w:color w:val="auto"/>
          <w:sz w:val="21"/>
          <w:szCs w:val="21"/>
          <w:highlight w:val="none"/>
        </w:rPr>
        <w:t>联系人：</w:t>
      </w:r>
      <w:r>
        <w:rPr>
          <w:rFonts w:hint="eastAsia" w:hAnsi="宋体" w:cs="宋体"/>
          <w:color w:val="auto"/>
          <w:sz w:val="21"/>
          <w:szCs w:val="21"/>
          <w:highlight w:val="none"/>
          <w:u w:val="single"/>
        </w:rPr>
        <w:t xml:space="preserve">                     </w:t>
      </w:r>
    </w:p>
    <w:p>
      <w:pPr>
        <w:spacing w:line="360" w:lineRule="auto"/>
        <w:rPr>
          <w:rFonts w:hAnsi="宋体" w:cs="宋体"/>
          <w:color w:val="auto"/>
          <w:sz w:val="21"/>
          <w:szCs w:val="21"/>
          <w:highlight w:val="none"/>
        </w:rPr>
      </w:pPr>
      <w:r>
        <w:rPr>
          <w:rFonts w:hint="eastAsia" w:hAnsi="宋体" w:cs="宋体"/>
          <w:color w:val="auto"/>
          <w:sz w:val="21"/>
          <w:szCs w:val="21"/>
          <w:highlight w:val="none"/>
        </w:rPr>
        <w:t>单位电话：</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w:t>
      </w:r>
    </w:p>
    <w:p>
      <w:pPr>
        <w:spacing w:line="360" w:lineRule="auto"/>
        <w:rPr>
          <w:rFonts w:hAnsi="宋体" w:cs="宋体"/>
          <w:color w:val="auto"/>
          <w:sz w:val="21"/>
          <w:szCs w:val="21"/>
          <w:highlight w:val="none"/>
        </w:rPr>
      </w:pPr>
      <w:r>
        <w:rPr>
          <w:rFonts w:hint="eastAsia" w:hAnsi="宋体" w:cs="宋体"/>
          <w:color w:val="auto"/>
          <w:sz w:val="21"/>
          <w:szCs w:val="21"/>
          <w:highlight w:val="none"/>
        </w:rPr>
        <w:t>联系人手机：</w:t>
      </w:r>
      <w:r>
        <w:rPr>
          <w:rFonts w:hint="eastAsia" w:hAnsi="宋体" w:cs="宋体"/>
          <w:color w:val="auto"/>
          <w:sz w:val="21"/>
          <w:szCs w:val="21"/>
          <w:highlight w:val="none"/>
          <w:u w:val="single"/>
        </w:rPr>
        <w:t xml:space="preserve">                </w:t>
      </w:r>
    </w:p>
    <w:p>
      <w:p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附：我方投标保证金汇款凭证</w:t>
      </w:r>
    </w:p>
    <w:tbl>
      <w:tblPr>
        <w:tblStyle w:val="5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trPr>
        <w:tc>
          <w:tcPr>
            <w:tcW w:w="9179" w:type="dxa"/>
            <w:vAlign w:val="center"/>
          </w:tcPr>
          <w:p>
            <w:pPr>
              <w:tabs>
                <w:tab w:val="left" w:pos="3885"/>
              </w:tabs>
              <w:spacing w:line="360" w:lineRule="auto"/>
              <w:jc w:val="center"/>
              <w:rPr>
                <w:rFonts w:hAnsi="宋体" w:cs="宋体"/>
                <w:color w:val="auto"/>
                <w:sz w:val="21"/>
                <w:szCs w:val="21"/>
                <w:highlight w:val="none"/>
              </w:rPr>
            </w:pPr>
            <w:r>
              <w:rPr>
                <w:rFonts w:hint="eastAsia" w:hAnsi="宋体" w:cs="宋体"/>
                <w:color w:val="auto"/>
                <w:sz w:val="21"/>
                <w:szCs w:val="21"/>
                <w:highlight w:val="none"/>
              </w:rPr>
              <w:t>（粘贴汇款单或转账凭证复印件，并在骑缝上加盖公章，或是直接把转账凭证复印到此张纸上）</w:t>
            </w:r>
          </w:p>
        </w:tc>
      </w:tr>
    </w:tbl>
    <w:p>
      <w:pPr>
        <w:spacing w:line="360" w:lineRule="auto"/>
        <w:rPr>
          <w:rFonts w:hAnsi="宋体" w:cs="宋体"/>
          <w:color w:val="auto"/>
          <w:sz w:val="21"/>
          <w:szCs w:val="21"/>
          <w:highlight w:val="none"/>
        </w:rPr>
      </w:pPr>
    </w:p>
    <w:p>
      <w:pPr>
        <w:rPr>
          <w:color w:val="auto"/>
          <w:highlight w:val="none"/>
        </w:rPr>
      </w:pPr>
    </w:p>
    <w:p>
      <w:pPr>
        <w:rPr>
          <w:color w:val="auto"/>
          <w:highlight w:val="none"/>
        </w:rPr>
      </w:pPr>
    </w:p>
    <w:p>
      <w:pPr>
        <w:rPr>
          <w:color w:val="auto"/>
          <w:highlight w:val="none"/>
        </w:rPr>
      </w:pPr>
    </w:p>
    <w:p>
      <w:pPr>
        <w:jc w:val="center"/>
        <w:rPr>
          <w:rFonts w:hAnsi="宋体" w:cs="宋体"/>
          <w:color w:val="auto"/>
          <w:sz w:val="28"/>
          <w:szCs w:val="28"/>
          <w:highlight w:val="none"/>
        </w:rPr>
      </w:pPr>
    </w:p>
    <w:p>
      <w:pPr>
        <w:pStyle w:val="8"/>
        <w:widowControl/>
        <w:numPr>
          <w:ilvl w:val="0"/>
          <w:numId w:val="28"/>
        </w:numPr>
        <w:rPr>
          <w:rFonts w:ascii="宋体" w:hAnsi="宋体" w:eastAsia="宋体" w:cs="宋体"/>
          <w:color w:val="auto"/>
          <w:highlight w:val="none"/>
        </w:rPr>
      </w:pPr>
      <w:r>
        <w:rPr>
          <w:rFonts w:hint="eastAsia" w:hAnsi="宋体" w:cs="宋体"/>
          <w:color w:val="auto"/>
          <w:highlight w:val="none"/>
        </w:rPr>
        <w:t>不可撤销履约保函</w:t>
      </w:r>
    </w:p>
    <w:p>
      <w:pPr>
        <w:spacing w:line="360" w:lineRule="auto"/>
        <w:jc w:val="center"/>
        <w:rPr>
          <w:rFonts w:hAnsi="宋体"/>
          <w:color w:val="auto"/>
          <w:highlight w:val="none"/>
        </w:rPr>
      </w:pPr>
      <w:r>
        <w:rPr>
          <w:rFonts w:hint="eastAsia" w:hAnsi="宋体"/>
          <w:color w:val="auto"/>
          <w:highlight w:val="none"/>
        </w:rPr>
        <w:t>银行编号：</w:t>
      </w:r>
    </w:p>
    <w:p>
      <w:pPr>
        <w:spacing w:line="360" w:lineRule="auto"/>
        <w:rPr>
          <w:rFonts w:hAnsi="宋体"/>
          <w:color w:val="auto"/>
          <w:highlight w:val="none"/>
        </w:rPr>
      </w:pPr>
      <w:r>
        <w:rPr>
          <w:rFonts w:hAnsi="宋体"/>
          <w:color w:val="auto"/>
          <w:highlight w:val="none"/>
        </w:rPr>
        <w:t>致：</w:t>
      </w:r>
      <w:r>
        <w:rPr>
          <w:rFonts w:hint="eastAsia" w:hAnsi="宋体"/>
          <w:color w:val="auto"/>
          <w:highlight w:val="none"/>
          <w:u w:val="single"/>
        </w:rPr>
        <w:t xml:space="preserve">                        </w:t>
      </w:r>
      <w:r>
        <w:rPr>
          <w:rFonts w:hint="eastAsia" w:hAnsi="宋体"/>
          <w:color w:val="auto"/>
          <w:highlight w:val="none"/>
        </w:rPr>
        <w:t>（</w:t>
      </w:r>
      <w:r>
        <w:rPr>
          <w:rFonts w:hint="eastAsia"/>
          <w:color w:val="auto"/>
          <w:highlight w:val="none"/>
        </w:rPr>
        <w:t>采购人</w:t>
      </w:r>
      <w:r>
        <w:rPr>
          <w:rFonts w:hint="eastAsia" w:hAnsi="宋体"/>
          <w:color w:val="auto"/>
          <w:highlight w:val="none"/>
        </w:rPr>
        <w:t>）</w:t>
      </w:r>
    </w:p>
    <w:p>
      <w:pPr>
        <w:spacing w:line="360" w:lineRule="auto"/>
        <w:ind w:firstLine="480" w:firstLineChars="200"/>
        <w:rPr>
          <w:rFonts w:hAnsi="宋体"/>
          <w:color w:val="auto"/>
          <w:highlight w:val="none"/>
        </w:rPr>
      </w:pPr>
      <w:r>
        <w:rPr>
          <w:rFonts w:hint="eastAsia" w:hAnsi="宋体"/>
          <w:color w:val="auto"/>
          <w:highlight w:val="none"/>
        </w:rPr>
        <w:t>鉴于</w:t>
      </w:r>
      <w:r>
        <w:rPr>
          <w:rFonts w:hint="eastAsia" w:hAnsi="宋体"/>
          <w:color w:val="auto"/>
          <w:highlight w:val="none"/>
          <w:u w:val="single"/>
        </w:rPr>
        <w:t xml:space="preserve">         （地址：          ，下称 “中标人” ）</w:t>
      </w:r>
      <w:r>
        <w:rPr>
          <w:rFonts w:hint="eastAsia" w:hAnsi="宋体"/>
          <w:color w:val="auto"/>
          <w:highlight w:val="none"/>
        </w:rPr>
        <w:t>已保证按</w:t>
      </w:r>
      <w:r>
        <w:rPr>
          <w:rFonts w:hint="eastAsia" w:hAnsi="宋体"/>
          <w:color w:val="auto"/>
          <w:highlight w:val="none"/>
          <w:u w:val="single"/>
        </w:rPr>
        <w:t xml:space="preserve">               承包合同书（合同编号：    ）</w:t>
      </w:r>
      <w:r>
        <w:rPr>
          <w:rFonts w:hint="eastAsia" w:hAnsi="宋体"/>
          <w:color w:val="auto"/>
          <w:highlight w:val="none"/>
        </w:rPr>
        <w:t>中规定的义务履行合同。</w:t>
      </w:r>
    </w:p>
    <w:p>
      <w:pPr>
        <w:spacing w:line="360" w:lineRule="auto"/>
        <w:ind w:firstLine="480" w:firstLineChars="200"/>
        <w:rPr>
          <w:rFonts w:hAnsi="宋体"/>
          <w:color w:val="auto"/>
          <w:highlight w:val="none"/>
        </w:rPr>
      </w:pPr>
      <w:r>
        <w:rPr>
          <w:rFonts w:hint="eastAsia" w:hAnsi="宋体"/>
          <w:color w:val="auto"/>
          <w:highlight w:val="none"/>
        </w:rPr>
        <w:t>根据上述合同约定，中标人应向</w:t>
      </w:r>
      <w:r>
        <w:rPr>
          <w:rFonts w:hint="eastAsia"/>
          <w:color w:val="auto"/>
          <w:highlight w:val="none"/>
        </w:rPr>
        <w:t>采购人</w:t>
      </w:r>
      <w:r>
        <w:rPr>
          <w:rFonts w:hint="eastAsia" w:hAnsi="宋体"/>
          <w:color w:val="auto"/>
          <w:highlight w:val="none"/>
        </w:rPr>
        <w:t>提供一份金额为</w:t>
      </w:r>
      <w:r>
        <w:rPr>
          <w:rFonts w:hint="eastAsia" w:hAnsi="宋体"/>
          <w:color w:val="auto"/>
          <w:highlight w:val="none"/>
          <w:u w:val="single"/>
        </w:rPr>
        <w:t>人民币      （RMB    元）</w:t>
      </w:r>
      <w:r>
        <w:rPr>
          <w:rFonts w:hint="eastAsia" w:hAnsi="宋体"/>
          <w:color w:val="auto"/>
          <w:highlight w:val="none"/>
        </w:rPr>
        <w:t>的</w:t>
      </w:r>
      <w:r>
        <w:rPr>
          <w:rFonts w:hint="eastAsia" w:hAnsi="宋体"/>
          <w:bCs/>
          <w:color w:val="auto"/>
          <w:highlight w:val="none"/>
        </w:rPr>
        <w:t>不可撤销</w:t>
      </w:r>
      <w:r>
        <w:rPr>
          <w:rFonts w:hint="eastAsia" w:hAnsi="宋体"/>
          <w:color w:val="auto"/>
          <w:highlight w:val="none"/>
        </w:rPr>
        <w:t>银行履约保函，作为中标人履行上述合同的担保。</w:t>
      </w:r>
    </w:p>
    <w:p>
      <w:pPr>
        <w:spacing w:line="360" w:lineRule="auto"/>
        <w:ind w:firstLine="480" w:firstLineChars="200"/>
        <w:rPr>
          <w:rFonts w:hAnsi="宋体"/>
          <w:color w:val="auto"/>
          <w:highlight w:val="none"/>
        </w:rPr>
      </w:pPr>
      <w:r>
        <w:rPr>
          <w:rFonts w:hint="eastAsia" w:hAnsi="宋体"/>
          <w:color w:val="auto"/>
          <w:highlight w:val="none"/>
        </w:rPr>
        <w:t>我方</w:t>
      </w:r>
      <w:r>
        <w:rPr>
          <w:rFonts w:hint="eastAsia" w:hAnsi="宋体"/>
          <w:color w:val="auto"/>
          <w:highlight w:val="none"/>
          <w:u w:val="single"/>
        </w:rPr>
        <w:t xml:space="preserve">            （银行名称）</w:t>
      </w:r>
      <w:r>
        <w:rPr>
          <w:rFonts w:hint="eastAsia" w:hAnsi="宋体"/>
          <w:color w:val="auto"/>
          <w:highlight w:val="none"/>
        </w:rPr>
        <w:t>，受中标人的委托，不仅作为连带责任保证人而且作为主要的责任人，无条件和不可撤销地同意在</w:t>
      </w:r>
      <w:r>
        <w:rPr>
          <w:rFonts w:hint="eastAsia"/>
          <w:color w:val="auto"/>
          <w:highlight w:val="none"/>
        </w:rPr>
        <w:t>采购人</w:t>
      </w:r>
      <w:r>
        <w:rPr>
          <w:rFonts w:hint="eastAsia" w:hAnsi="宋体"/>
          <w:color w:val="auto"/>
          <w:highlight w:val="none"/>
        </w:rPr>
        <w:t>提出因中标人没有履行上述合同规定，而要求扣划保证金的书面要求后，7个工作日内为</w:t>
      </w:r>
      <w:r>
        <w:rPr>
          <w:rFonts w:hint="eastAsia"/>
          <w:color w:val="auto"/>
          <w:highlight w:val="none"/>
        </w:rPr>
        <w:t>采购人</w:t>
      </w:r>
      <w:r>
        <w:rPr>
          <w:rFonts w:hint="eastAsia" w:hAnsi="宋体"/>
          <w:color w:val="auto"/>
          <w:highlight w:val="none"/>
        </w:rPr>
        <w:t>扣划金额不超过</w:t>
      </w:r>
      <w:r>
        <w:rPr>
          <w:rFonts w:hint="eastAsia" w:hAnsi="宋体"/>
          <w:color w:val="auto"/>
          <w:highlight w:val="none"/>
          <w:u w:val="single"/>
        </w:rPr>
        <w:t>人民币          （RMB       元）</w:t>
      </w:r>
      <w:r>
        <w:rPr>
          <w:rFonts w:hint="eastAsia" w:hAnsi="宋体"/>
          <w:color w:val="auto"/>
          <w:highlight w:val="none"/>
        </w:rPr>
        <w:t>的保证金。</w:t>
      </w:r>
    </w:p>
    <w:p>
      <w:pPr>
        <w:spacing w:line="360" w:lineRule="auto"/>
        <w:ind w:firstLine="480" w:firstLineChars="200"/>
        <w:rPr>
          <w:rFonts w:hAnsi="宋体"/>
          <w:color w:val="auto"/>
          <w:highlight w:val="none"/>
        </w:rPr>
      </w:pPr>
      <w:r>
        <w:rPr>
          <w:rFonts w:hint="eastAsia" w:hAnsi="宋体"/>
          <w:color w:val="auto"/>
          <w:highlight w:val="none"/>
        </w:rPr>
        <w:t>我方还同意，任何</w:t>
      </w:r>
      <w:r>
        <w:rPr>
          <w:rFonts w:hint="eastAsia"/>
          <w:color w:val="auto"/>
          <w:highlight w:val="none"/>
        </w:rPr>
        <w:t>采购人</w:t>
      </w:r>
      <w:r>
        <w:rPr>
          <w:rFonts w:hint="eastAsia" w:hAnsi="宋体"/>
          <w:color w:val="auto"/>
          <w:highlight w:val="none"/>
        </w:rPr>
        <w:t>与中标人之间可能对合同条款的修改、规范或其他合同文件的变动补充，都不能免除我方按本保函所承担的责任。因此，有关上述变动、补充和修改无须通知我方。</w:t>
      </w:r>
    </w:p>
    <w:p>
      <w:pPr>
        <w:spacing w:line="360" w:lineRule="auto"/>
        <w:ind w:firstLine="480" w:firstLineChars="200"/>
        <w:rPr>
          <w:rFonts w:hAnsi="宋体"/>
          <w:color w:val="auto"/>
          <w:highlight w:val="none"/>
        </w:rPr>
      </w:pPr>
      <w:r>
        <w:rPr>
          <w:rFonts w:hint="eastAsia" w:hAnsi="宋体"/>
          <w:color w:val="auto"/>
          <w:highlight w:val="none"/>
        </w:rPr>
        <w:t>本保函从上述</w:t>
      </w:r>
      <w:r>
        <w:rPr>
          <w:rFonts w:hint="eastAsia" w:hAnsi="宋体"/>
          <w:color w:val="auto"/>
          <w:sz w:val="22"/>
          <w:szCs w:val="22"/>
          <w:highlight w:val="none"/>
        </w:rPr>
        <w:t>合同签订之日起至项目竣工验收合格并完成结算后，双方签字之日起7天内保持有效</w:t>
      </w:r>
      <w:r>
        <w:rPr>
          <w:rFonts w:hint="eastAsia" w:hAnsi="宋体"/>
          <w:color w:val="auto"/>
          <w:highlight w:val="none"/>
        </w:rPr>
        <w:t>。</w:t>
      </w:r>
    </w:p>
    <w:p>
      <w:pPr>
        <w:spacing w:line="360" w:lineRule="auto"/>
        <w:ind w:firstLine="3228" w:firstLineChars="1345"/>
        <w:rPr>
          <w:rFonts w:hAnsi="宋体"/>
          <w:color w:val="auto"/>
          <w:highlight w:val="none"/>
        </w:rPr>
      </w:pPr>
    </w:p>
    <w:p>
      <w:pPr>
        <w:spacing w:line="360" w:lineRule="auto"/>
        <w:ind w:firstLine="5760" w:firstLineChars="2400"/>
        <w:rPr>
          <w:rFonts w:hAnsi="宋体"/>
          <w:color w:val="auto"/>
          <w:highlight w:val="none"/>
        </w:rPr>
      </w:pPr>
      <w:r>
        <w:rPr>
          <w:rFonts w:hint="eastAsia" w:hAnsi="宋体"/>
          <w:color w:val="auto"/>
          <w:highlight w:val="none"/>
        </w:rPr>
        <w:t>保证人：（盖章）</w:t>
      </w:r>
      <w:r>
        <w:rPr>
          <w:rFonts w:hint="eastAsia" w:hAnsi="宋体"/>
          <w:color w:val="auto"/>
          <w:highlight w:val="none"/>
          <w:u w:val="single"/>
        </w:rPr>
        <w:t xml:space="preserve">                        </w:t>
      </w:r>
    </w:p>
    <w:p>
      <w:pPr>
        <w:spacing w:line="360" w:lineRule="auto"/>
        <w:ind w:firstLine="5760" w:firstLineChars="2400"/>
        <w:rPr>
          <w:rFonts w:hAnsi="宋体"/>
          <w:color w:val="auto"/>
          <w:highlight w:val="none"/>
        </w:rPr>
      </w:pPr>
      <w:r>
        <w:rPr>
          <w:rFonts w:hint="eastAsia" w:hAnsi="宋体"/>
          <w:color w:val="auto"/>
          <w:highlight w:val="none"/>
        </w:rPr>
        <w:t>负责人：（签字）</w:t>
      </w:r>
      <w:r>
        <w:rPr>
          <w:rFonts w:hint="eastAsia" w:hAnsi="宋体"/>
          <w:color w:val="auto"/>
          <w:highlight w:val="none"/>
          <w:u w:val="single"/>
        </w:rPr>
        <w:t xml:space="preserve">                        </w:t>
      </w:r>
    </w:p>
    <w:p>
      <w:pPr>
        <w:spacing w:line="360" w:lineRule="auto"/>
        <w:ind w:firstLine="5760" w:firstLineChars="2400"/>
        <w:rPr>
          <w:rFonts w:hAnsi="宋体"/>
          <w:color w:val="auto"/>
          <w:highlight w:val="none"/>
        </w:rPr>
      </w:pPr>
      <w:r>
        <w:rPr>
          <w:rFonts w:hint="eastAsia" w:hAnsi="宋体"/>
          <w:color w:val="auto"/>
          <w:highlight w:val="none"/>
        </w:rPr>
        <w:t>联系人：</w:t>
      </w:r>
      <w:r>
        <w:rPr>
          <w:rFonts w:hint="eastAsia" w:hAnsi="宋体"/>
          <w:color w:val="auto"/>
          <w:highlight w:val="none"/>
          <w:u w:val="single"/>
        </w:rPr>
        <w:t xml:space="preserve">                               </w:t>
      </w:r>
      <w:r>
        <w:rPr>
          <w:rFonts w:hint="eastAsia" w:hAnsi="宋体"/>
          <w:color w:val="auto"/>
          <w:highlight w:val="none"/>
        </w:rPr>
        <w:t xml:space="preserve">   </w:t>
      </w:r>
    </w:p>
    <w:p>
      <w:pPr>
        <w:spacing w:line="360" w:lineRule="auto"/>
        <w:ind w:firstLine="5760" w:firstLineChars="2400"/>
        <w:rPr>
          <w:rFonts w:hAnsi="宋体"/>
          <w:color w:val="auto"/>
          <w:highlight w:val="none"/>
        </w:rPr>
      </w:pPr>
      <w:r>
        <w:rPr>
          <w:rFonts w:hint="eastAsia" w:hAnsi="宋体"/>
          <w:color w:val="auto"/>
          <w:highlight w:val="none"/>
        </w:rPr>
        <w:t>联系电话：</w:t>
      </w:r>
      <w:r>
        <w:rPr>
          <w:rFonts w:hint="eastAsia" w:hAnsi="宋体"/>
          <w:color w:val="auto"/>
          <w:highlight w:val="none"/>
          <w:u w:val="single"/>
        </w:rPr>
        <w:t xml:space="preserve">                             </w:t>
      </w:r>
    </w:p>
    <w:p>
      <w:pPr>
        <w:spacing w:line="360" w:lineRule="auto"/>
        <w:ind w:firstLine="5760" w:firstLineChars="2400"/>
        <w:rPr>
          <w:rFonts w:hAnsi="宋体"/>
          <w:color w:val="auto"/>
          <w:highlight w:val="none"/>
        </w:rPr>
      </w:pPr>
      <w:r>
        <w:rPr>
          <w:rFonts w:hint="eastAsia" w:hAnsi="宋体"/>
          <w:color w:val="auto"/>
          <w:highlight w:val="none"/>
        </w:rPr>
        <w:t>日期：</w:t>
      </w:r>
      <w:r>
        <w:rPr>
          <w:rFonts w:hint="eastAsia" w:hAnsi="宋体"/>
          <w:color w:val="auto"/>
          <w:highlight w:val="none"/>
          <w:u w:val="single"/>
        </w:rPr>
        <w:t xml:space="preserve">                               </w:t>
      </w:r>
    </w:p>
    <w:p>
      <w:pPr>
        <w:spacing w:line="360" w:lineRule="auto"/>
        <w:ind w:firstLine="482" w:firstLineChars="200"/>
        <w:rPr>
          <w:rFonts w:hAnsi="宋体"/>
          <w:b/>
          <w:bCs/>
          <w:color w:val="auto"/>
          <w:highlight w:val="none"/>
        </w:rPr>
      </w:pPr>
      <w:r>
        <w:rPr>
          <w:rFonts w:hAnsi="宋体"/>
          <w:b/>
          <w:bCs/>
          <w:color w:val="auto"/>
          <w:highlight w:val="none"/>
        </w:rPr>
        <w:t>（本保函失效后，请将原件退回我行注销）</w:t>
      </w:r>
    </w:p>
    <w:p>
      <w:pPr>
        <w:autoSpaceDE/>
        <w:autoSpaceDN/>
        <w:adjustRightInd/>
        <w:snapToGrid w:val="0"/>
        <w:spacing w:line="360" w:lineRule="auto"/>
        <w:ind w:left="648" w:leftChars="270"/>
        <w:jc w:val="both"/>
        <w:rPr>
          <w:rFonts w:ascii="Times New Roman"/>
          <w:color w:val="auto"/>
          <w:kern w:val="2"/>
          <w:sz w:val="21"/>
          <w:highlight w:val="none"/>
        </w:rPr>
      </w:pPr>
      <w:r>
        <w:rPr>
          <w:rFonts w:hint="eastAsia" w:ascii="Times New Roman"/>
          <w:color w:val="auto"/>
          <w:kern w:val="2"/>
          <w:sz w:val="21"/>
          <w:highlight w:val="none"/>
        </w:rPr>
        <w:t>说明：投标人在投标时不需提交正式保函，在投标文件中盖投标人公章确认保函格式即可，中标人</w:t>
      </w:r>
      <w:r>
        <w:rPr>
          <w:rFonts w:hint="eastAsia" w:ascii="Times New Roman"/>
          <w:color w:val="auto"/>
          <w:kern w:val="2"/>
          <w:sz w:val="21"/>
          <w:szCs w:val="20"/>
          <w:highlight w:val="none"/>
        </w:rPr>
        <w:t>在签订合同时</w:t>
      </w:r>
      <w:r>
        <w:rPr>
          <w:rFonts w:hint="eastAsia" w:ascii="Times New Roman"/>
          <w:color w:val="auto"/>
          <w:kern w:val="2"/>
          <w:sz w:val="21"/>
          <w:highlight w:val="none"/>
        </w:rPr>
        <w:t>提交正式保函。</w:t>
      </w:r>
    </w:p>
    <w:p>
      <w:pPr>
        <w:pStyle w:val="2"/>
        <w:rPr>
          <w:color w:val="auto"/>
          <w:highlight w:val="none"/>
        </w:rPr>
      </w:pPr>
    </w:p>
    <w:p>
      <w:pPr>
        <w:rPr>
          <w:rFonts w:hAnsi="宋体" w:cs="宋体"/>
          <w:color w:val="auto"/>
          <w:highlight w:val="none"/>
        </w:rPr>
      </w:pPr>
      <w:r>
        <w:rPr>
          <w:rFonts w:hint="eastAsia" w:hAnsi="宋体" w:cs="宋体"/>
          <w:color w:val="auto"/>
          <w:sz w:val="32"/>
          <w:szCs w:val="32"/>
          <w:highlight w:val="none"/>
        </w:rPr>
        <w:br w:type="page"/>
      </w:r>
    </w:p>
    <w:p>
      <w:pPr>
        <w:pStyle w:val="8"/>
        <w:numPr>
          <w:ilvl w:val="0"/>
          <w:numId w:val="26"/>
        </w:numPr>
        <w:overflowPunct w:val="0"/>
        <w:spacing w:before="0" w:after="0" w:line="240" w:lineRule="auto"/>
        <w:rPr>
          <w:rFonts w:ascii="宋体" w:hAnsi="宋体" w:eastAsia="宋体" w:cs="宋体"/>
          <w:color w:val="auto"/>
          <w:highlight w:val="none"/>
        </w:rPr>
      </w:pPr>
      <w:r>
        <w:rPr>
          <w:rFonts w:hint="eastAsia" w:ascii="宋体" w:hAnsi="宋体" w:eastAsia="宋体" w:cs="宋体"/>
          <w:color w:val="auto"/>
          <w:sz w:val="32"/>
          <w:szCs w:val="32"/>
          <w:highlight w:val="none"/>
        </w:rPr>
        <w:t>技术文件</w:t>
      </w:r>
    </w:p>
    <w:p>
      <w:pPr>
        <w:pStyle w:val="8"/>
        <w:widowControl/>
        <w:numPr>
          <w:ilvl w:val="0"/>
          <w:numId w:val="33"/>
        </w:numPr>
        <w:spacing w:before="0" w:after="0" w:line="360" w:lineRule="auto"/>
        <w:jc w:val="center"/>
        <w:rPr>
          <w:rFonts w:ascii="宋体" w:hAnsi="宋体" w:eastAsia="宋体" w:cs="宋体"/>
          <w:color w:val="auto"/>
          <w:highlight w:val="none"/>
        </w:rPr>
      </w:pPr>
      <w:r>
        <w:rPr>
          <w:rFonts w:hint="eastAsia" w:ascii="宋体" w:hAnsi="宋体" w:eastAsia="宋体" w:cs="宋体"/>
          <w:color w:val="auto"/>
          <w:highlight w:val="none"/>
        </w:rPr>
        <w:t>实施本项目的有关人员资料表</w:t>
      </w:r>
    </w:p>
    <w:tbl>
      <w:tblPr>
        <w:tblStyle w:val="5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964"/>
        <w:gridCol w:w="1811"/>
        <w:gridCol w:w="718"/>
        <w:gridCol w:w="830"/>
        <w:gridCol w:w="1331"/>
        <w:gridCol w:w="854"/>
        <w:gridCol w:w="1080"/>
        <w:gridCol w:w="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16" w:type="pct"/>
            <w:vAlign w:val="center"/>
          </w:tcPr>
          <w:p>
            <w:pPr>
              <w:widowControl/>
              <w:snapToGrid w:val="0"/>
              <w:jc w:val="center"/>
              <w:rPr>
                <w:rFonts w:hAnsi="宋体" w:cs="宋体"/>
                <w:color w:val="auto"/>
                <w:sz w:val="21"/>
                <w:szCs w:val="21"/>
                <w:highlight w:val="none"/>
              </w:rPr>
            </w:pPr>
            <w:r>
              <w:rPr>
                <w:rFonts w:hint="eastAsia" w:hAnsi="宋体" w:cs="宋体"/>
                <w:color w:val="auto"/>
                <w:sz w:val="21"/>
                <w:szCs w:val="21"/>
                <w:highlight w:val="none"/>
              </w:rPr>
              <w:t>序号</w:t>
            </w:r>
          </w:p>
        </w:tc>
        <w:tc>
          <w:tcPr>
            <w:tcW w:w="518" w:type="pct"/>
            <w:vAlign w:val="center"/>
          </w:tcPr>
          <w:p>
            <w:pPr>
              <w:widowControl/>
              <w:snapToGrid w:val="0"/>
              <w:jc w:val="center"/>
              <w:rPr>
                <w:rFonts w:hAnsi="宋体" w:cs="宋体"/>
                <w:color w:val="auto"/>
                <w:sz w:val="21"/>
                <w:szCs w:val="21"/>
                <w:highlight w:val="none"/>
              </w:rPr>
            </w:pPr>
            <w:r>
              <w:rPr>
                <w:rFonts w:hint="eastAsia" w:hAnsi="宋体" w:cs="宋体"/>
                <w:color w:val="auto"/>
                <w:sz w:val="21"/>
                <w:szCs w:val="21"/>
                <w:highlight w:val="none"/>
              </w:rPr>
              <w:t>姓名</w:t>
            </w:r>
          </w:p>
        </w:tc>
        <w:tc>
          <w:tcPr>
            <w:tcW w:w="973" w:type="pct"/>
            <w:vAlign w:val="center"/>
          </w:tcPr>
          <w:p>
            <w:pPr>
              <w:widowControl/>
              <w:snapToGrid w:val="0"/>
              <w:jc w:val="center"/>
              <w:rPr>
                <w:rFonts w:hAnsi="宋体" w:cs="宋体"/>
                <w:color w:val="auto"/>
                <w:sz w:val="21"/>
                <w:szCs w:val="21"/>
                <w:highlight w:val="none"/>
              </w:rPr>
            </w:pPr>
            <w:r>
              <w:rPr>
                <w:rFonts w:hint="eastAsia" w:hAnsi="宋体" w:cs="宋体"/>
                <w:color w:val="auto"/>
                <w:sz w:val="21"/>
                <w:szCs w:val="21"/>
                <w:highlight w:val="none"/>
              </w:rPr>
              <w:t>本项目拟任岗位</w:t>
            </w:r>
          </w:p>
        </w:tc>
        <w:tc>
          <w:tcPr>
            <w:tcW w:w="386" w:type="pct"/>
            <w:vAlign w:val="center"/>
          </w:tcPr>
          <w:p>
            <w:pPr>
              <w:widowControl/>
              <w:snapToGrid w:val="0"/>
              <w:jc w:val="center"/>
              <w:rPr>
                <w:rFonts w:hAnsi="宋体" w:cs="宋体"/>
                <w:color w:val="auto"/>
                <w:sz w:val="21"/>
                <w:szCs w:val="21"/>
                <w:highlight w:val="none"/>
              </w:rPr>
            </w:pPr>
            <w:r>
              <w:rPr>
                <w:rFonts w:hint="eastAsia" w:hAnsi="宋体" w:cs="宋体"/>
                <w:color w:val="auto"/>
                <w:sz w:val="21"/>
                <w:szCs w:val="21"/>
                <w:highlight w:val="none"/>
              </w:rPr>
              <w:t>性别</w:t>
            </w:r>
          </w:p>
        </w:tc>
        <w:tc>
          <w:tcPr>
            <w:tcW w:w="446" w:type="pct"/>
            <w:vAlign w:val="center"/>
          </w:tcPr>
          <w:p>
            <w:pPr>
              <w:widowControl/>
              <w:snapToGrid w:val="0"/>
              <w:jc w:val="center"/>
              <w:rPr>
                <w:rFonts w:hAnsi="宋体" w:cs="宋体"/>
                <w:color w:val="auto"/>
                <w:sz w:val="21"/>
                <w:szCs w:val="21"/>
                <w:highlight w:val="none"/>
              </w:rPr>
            </w:pPr>
            <w:r>
              <w:rPr>
                <w:rFonts w:hint="eastAsia" w:hAnsi="宋体" w:cs="宋体"/>
                <w:color w:val="auto"/>
                <w:sz w:val="21"/>
                <w:szCs w:val="21"/>
                <w:highlight w:val="none"/>
              </w:rPr>
              <w:t>年龄</w:t>
            </w:r>
          </w:p>
        </w:tc>
        <w:tc>
          <w:tcPr>
            <w:tcW w:w="715" w:type="pct"/>
            <w:vAlign w:val="center"/>
          </w:tcPr>
          <w:p>
            <w:pPr>
              <w:widowControl/>
              <w:snapToGrid w:val="0"/>
              <w:jc w:val="center"/>
              <w:rPr>
                <w:rFonts w:hAnsi="宋体" w:cs="宋体"/>
                <w:color w:val="auto"/>
                <w:sz w:val="21"/>
                <w:szCs w:val="21"/>
                <w:highlight w:val="none"/>
              </w:rPr>
            </w:pPr>
            <w:r>
              <w:rPr>
                <w:rFonts w:hint="eastAsia" w:hAnsi="宋体" w:cs="宋体"/>
                <w:color w:val="auto"/>
                <w:sz w:val="21"/>
                <w:szCs w:val="21"/>
                <w:highlight w:val="none"/>
              </w:rPr>
              <w:t>技术职称</w:t>
            </w:r>
          </w:p>
        </w:tc>
        <w:tc>
          <w:tcPr>
            <w:tcW w:w="459" w:type="pct"/>
            <w:vAlign w:val="center"/>
          </w:tcPr>
          <w:p>
            <w:pPr>
              <w:widowControl/>
              <w:snapToGrid w:val="0"/>
              <w:jc w:val="center"/>
              <w:rPr>
                <w:rFonts w:hAnsi="宋体" w:cs="宋体"/>
                <w:color w:val="auto"/>
                <w:sz w:val="21"/>
                <w:szCs w:val="21"/>
                <w:highlight w:val="none"/>
              </w:rPr>
            </w:pPr>
            <w:r>
              <w:rPr>
                <w:rFonts w:hint="eastAsia" w:hAnsi="宋体" w:cs="宋体"/>
                <w:color w:val="auto"/>
                <w:sz w:val="21"/>
                <w:szCs w:val="21"/>
                <w:highlight w:val="none"/>
              </w:rPr>
              <w:t>专 业</w:t>
            </w:r>
          </w:p>
        </w:tc>
        <w:tc>
          <w:tcPr>
            <w:tcW w:w="580" w:type="pct"/>
            <w:vAlign w:val="center"/>
          </w:tcPr>
          <w:p>
            <w:pPr>
              <w:widowControl/>
              <w:snapToGrid w:val="0"/>
              <w:jc w:val="center"/>
              <w:rPr>
                <w:rFonts w:hAnsi="宋体" w:cs="宋体"/>
                <w:color w:val="auto"/>
                <w:sz w:val="21"/>
                <w:szCs w:val="21"/>
                <w:highlight w:val="none"/>
              </w:rPr>
            </w:pPr>
            <w:r>
              <w:rPr>
                <w:rFonts w:hint="eastAsia" w:hAnsi="宋体" w:cs="宋体"/>
                <w:color w:val="auto"/>
                <w:sz w:val="21"/>
                <w:szCs w:val="21"/>
                <w:highlight w:val="none"/>
              </w:rPr>
              <w:t>资质证书</w:t>
            </w:r>
          </w:p>
        </w:tc>
        <w:tc>
          <w:tcPr>
            <w:tcW w:w="502" w:type="pct"/>
            <w:tcBorders>
              <w:right w:val="single" w:color="auto" w:sz="6" w:space="0"/>
            </w:tcBorders>
            <w:vAlign w:val="center"/>
          </w:tcPr>
          <w:p>
            <w:pPr>
              <w:widowControl/>
              <w:snapToGrid w:val="0"/>
              <w:jc w:val="center"/>
              <w:rPr>
                <w:rFonts w:hAnsi="宋体" w:cs="宋体"/>
                <w:color w:val="auto"/>
                <w:sz w:val="21"/>
                <w:szCs w:val="21"/>
                <w:highlight w:val="none"/>
              </w:rPr>
            </w:pPr>
            <w:r>
              <w:rPr>
                <w:rFonts w:hint="eastAsia" w:hAnsi="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16" w:type="pct"/>
            <w:vAlign w:val="center"/>
          </w:tcPr>
          <w:p>
            <w:pPr>
              <w:spacing w:line="288" w:lineRule="auto"/>
              <w:jc w:val="center"/>
              <w:rPr>
                <w:rFonts w:hAnsi="宋体" w:cs="宋体"/>
                <w:color w:val="auto"/>
                <w:sz w:val="21"/>
                <w:szCs w:val="21"/>
                <w:highlight w:val="none"/>
              </w:rPr>
            </w:pPr>
          </w:p>
        </w:tc>
        <w:tc>
          <w:tcPr>
            <w:tcW w:w="518" w:type="pct"/>
            <w:vAlign w:val="center"/>
          </w:tcPr>
          <w:p>
            <w:pPr>
              <w:spacing w:line="288" w:lineRule="auto"/>
              <w:jc w:val="center"/>
              <w:rPr>
                <w:rFonts w:hAnsi="宋体" w:cs="宋体"/>
                <w:color w:val="auto"/>
                <w:sz w:val="21"/>
                <w:szCs w:val="21"/>
                <w:highlight w:val="none"/>
              </w:rPr>
            </w:pPr>
          </w:p>
        </w:tc>
        <w:tc>
          <w:tcPr>
            <w:tcW w:w="973" w:type="pct"/>
            <w:vAlign w:val="center"/>
          </w:tcPr>
          <w:p>
            <w:pPr>
              <w:spacing w:line="288" w:lineRule="auto"/>
              <w:jc w:val="center"/>
              <w:rPr>
                <w:rFonts w:hAnsi="宋体" w:cs="宋体"/>
                <w:color w:val="auto"/>
                <w:sz w:val="21"/>
                <w:szCs w:val="21"/>
                <w:highlight w:val="none"/>
              </w:rPr>
            </w:pPr>
          </w:p>
        </w:tc>
        <w:tc>
          <w:tcPr>
            <w:tcW w:w="386" w:type="pct"/>
            <w:vAlign w:val="center"/>
          </w:tcPr>
          <w:p>
            <w:pPr>
              <w:spacing w:line="288" w:lineRule="auto"/>
              <w:jc w:val="center"/>
              <w:rPr>
                <w:rFonts w:hAnsi="宋体" w:cs="宋体"/>
                <w:color w:val="auto"/>
                <w:sz w:val="21"/>
                <w:szCs w:val="21"/>
                <w:highlight w:val="none"/>
              </w:rPr>
            </w:pPr>
          </w:p>
        </w:tc>
        <w:tc>
          <w:tcPr>
            <w:tcW w:w="446" w:type="pct"/>
            <w:vAlign w:val="center"/>
          </w:tcPr>
          <w:p>
            <w:pPr>
              <w:spacing w:line="288" w:lineRule="auto"/>
              <w:jc w:val="center"/>
              <w:rPr>
                <w:rFonts w:hAnsi="宋体" w:cs="宋体"/>
                <w:color w:val="auto"/>
                <w:sz w:val="21"/>
                <w:szCs w:val="21"/>
                <w:highlight w:val="none"/>
              </w:rPr>
            </w:pPr>
          </w:p>
        </w:tc>
        <w:tc>
          <w:tcPr>
            <w:tcW w:w="715" w:type="pct"/>
            <w:vAlign w:val="center"/>
          </w:tcPr>
          <w:p>
            <w:pPr>
              <w:spacing w:line="288" w:lineRule="auto"/>
              <w:jc w:val="center"/>
              <w:rPr>
                <w:rFonts w:hAnsi="宋体" w:cs="宋体"/>
                <w:color w:val="auto"/>
                <w:sz w:val="21"/>
                <w:szCs w:val="21"/>
                <w:highlight w:val="none"/>
              </w:rPr>
            </w:pPr>
          </w:p>
        </w:tc>
        <w:tc>
          <w:tcPr>
            <w:tcW w:w="459" w:type="pct"/>
            <w:vAlign w:val="center"/>
          </w:tcPr>
          <w:p>
            <w:pPr>
              <w:spacing w:line="288" w:lineRule="auto"/>
              <w:jc w:val="center"/>
              <w:rPr>
                <w:rFonts w:hAnsi="宋体" w:cs="宋体"/>
                <w:color w:val="auto"/>
                <w:sz w:val="21"/>
                <w:szCs w:val="21"/>
                <w:highlight w:val="none"/>
              </w:rPr>
            </w:pPr>
          </w:p>
        </w:tc>
        <w:tc>
          <w:tcPr>
            <w:tcW w:w="580" w:type="pct"/>
            <w:vAlign w:val="center"/>
          </w:tcPr>
          <w:p>
            <w:pPr>
              <w:spacing w:line="288" w:lineRule="auto"/>
              <w:jc w:val="center"/>
              <w:rPr>
                <w:rFonts w:hAnsi="宋体" w:cs="宋体"/>
                <w:color w:val="auto"/>
                <w:sz w:val="21"/>
                <w:szCs w:val="21"/>
                <w:highlight w:val="none"/>
              </w:rPr>
            </w:pPr>
          </w:p>
        </w:tc>
        <w:tc>
          <w:tcPr>
            <w:tcW w:w="502" w:type="pct"/>
            <w:tcBorders>
              <w:right w:val="single" w:color="auto" w:sz="6" w:space="0"/>
            </w:tcBorders>
            <w:vAlign w:val="center"/>
          </w:tcPr>
          <w:p>
            <w:pPr>
              <w:spacing w:line="288" w:lineRule="auto"/>
              <w:jc w:val="center"/>
              <w:rPr>
                <w:rFonts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16" w:type="pct"/>
            <w:vAlign w:val="center"/>
          </w:tcPr>
          <w:p>
            <w:pPr>
              <w:spacing w:line="288" w:lineRule="auto"/>
              <w:jc w:val="center"/>
              <w:rPr>
                <w:rFonts w:hAnsi="宋体" w:cs="宋体"/>
                <w:color w:val="auto"/>
                <w:sz w:val="21"/>
                <w:szCs w:val="21"/>
                <w:highlight w:val="none"/>
              </w:rPr>
            </w:pPr>
          </w:p>
        </w:tc>
        <w:tc>
          <w:tcPr>
            <w:tcW w:w="518" w:type="pct"/>
            <w:vAlign w:val="center"/>
          </w:tcPr>
          <w:p>
            <w:pPr>
              <w:spacing w:line="288" w:lineRule="auto"/>
              <w:jc w:val="center"/>
              <w:rPr>
                <w:rFonts w:hAnsi="宋体" w:cs="宋体"/>
                <w:color w:val="auto"/>
                <w:sz w:val="21"/>
                <w:szCs w:val="21"/>
                <w:highlight w:val="none"/>
              </w:rPr>
            </w:pPr>
          </w:p>
        </w:tc>
        <w:tc>
          <w:tcPr>
            <w:tcW w:w="973" w:type="pct"/>
            <w:vAlign w:val="center"/>
          </w:tcPr>
          <w:p>
            <w:pPr>
              <w:spacing w:line="288" w:lineRule="auto"/>
              <w:jc w:val="center"/>
              <w:rPr>
                <w:rFonts w:hAnsi="宋体" w:cs="宋体"/>
                <w:color w:val="auto"/>
                <w:sz w:val="21"/>
                <w:szCs w:val="21"/>
                <w:highlight w:val="none"/>
              </w:rPr>
            </w:pPr>
          </w:p>
        </w:tc>
        <w:tc>
          <w:tcPr>
            <w:tcW w:w="386" w:type="pct"/>
            <w:vAlign w:val="center"/>
          </w:tcPr>
          <w:p>
            <w:pPr>
              <w:spacing w:line="288" w:lineRule="auto"/>
              <w:jc w:val="center"/>
              <w:rPr>
                <w:rFonts w:hAnsi="宋体" w:cs="宋体"/>
                <w:color w:val="auto"/>
                <w:sz w:val="21"/>
                <w:szCs w:val="21"/>
                <w:highlight w:val="none"/>
              </w:rPr>
            </w:pPr>
          </w:p>
        </w:tc>
        <w:tc>
          <w:tcPr>
            <w:tcW w:w="446" w:type="pct"/>
            <w:vAlign w:val="center"/>
          </w:tcPr>
          <w:p>
            <w:pPr>
              <w:spacing w:line="288" w:lineRule="auto"/>
              <w:jc w:val="center"/>
              <w:rPr>
                <w:rFonts w:hAnsi="宋体" w:cs="宋体"/>
                <w:color w:val="auto"/>
                <w:sz w:val="21"/>
                <w:szCs w:val="21"/>
                <w:highlight w:val="none"/>
              </w:rPr>
            </w:pPr>
          </w:p>
        </w:tc>
        <w:tc>
          <w:tcPr>
            <w:tcW w:w="715" w:type="pct"/>
            <w:vAlign w:val="center"/>
          </w:tcPr>
          <w:p>
            <w:pPr>
              <w:spacing w:line="288" w:lineRule="auto"/>
              <w:jc w:val="center"/>
              <w:rPr>
                <w:rFonts w:hAnsi="宋体" w:cs="宋体"/>
                <w:color w:val="auto"/>
                <w:sz w:val="21"/>
                <w:szCs w:val="21"/>
                <w:highlight w:val="none"/>
              </w:rPr>
            </w:pPr>
          </w:p>
        </w:tc>
        <w:tc>
          <w:tcPr>
            <w:tcW w:w="459" w:type="pct"/>
            <w:vAlign w:val="center"/>
          </w:tcPr>
          <w:p>
            <w:pPr>
              <w:spacing w:line="288" w:lineRule="auto"/>
              <w:jc w:val="center"/>
              <w:rPr>
                <w:rFonts w:hAnsi="宋体" w:cs="宋体"/>
                <w:color w:val="auto"/>
                <w:sz w:val="21"/>
                <w:szCs w:val="21"/>
                <w:highlight w:val="none"/>
              </w:rPr>
            </w:pPr>
          </w:p>
        </w:tc>
        <w:tc>
          <w:tcPr>
            <w:tcW w:w="580" w:type="pct"/>
            <w:vAlign w:val="center"/>
          </w:tcPr>
          <w:p>
            <w:pPr>
              <w:spacing w:line="288" w:lineRule="auto"/>
              <w:jc w:val="center"/>
              <w:rPr>
                <w:rFonts w:hAnsi="宋体" w:cs="宋体"/>
                <w:color w:val="auto"/>
                <w:sz w:val="21"/>
                <w:szCs w:val="21"/>
                <w:highlight w:val="none"/>
              </w:rPr>
            </w:pPr>
          </w:p>
        </w:tc>
        <w:tc>
          <w:tcPr>
            <w:tcW w:w="502" w:type="pct"/>
            <w:tcBorders>
              <w:right w:val="single" w:color="auto" w:sz="6" w:space="0"/>
            </w:tcBorders>
            <w:vAlign w:val="center"/>
          </w:tcPr>
          <w:p>
            <w:pPr>
              <w:spacing w:line="288" w:lineRule="auto"/>
              <w:jc w:val="center"/>
              <w:rPr>
                <w:rFonts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16" w:type="pct"/>
            <w:vAlign w:val="center"/>
          </w:tcPr>
          <w:p>
            <w:pPr>
              <w:spacing w:line="288" w:lineRule="auto"/>
              <w:jc w:val="center"/>
              <w:rPr>
                <w:rFonts w:hAnsi="宋体" w:cs="宋体"/>
                <w:color w:val="auto"/>
                <w:sz w:val="21"/>
                <w:szCs w:val="21"/>
                <w:highlight w:val="none"/>
              </w:rPr>
            </w:pPr>
          </w:p>
        </w:tc>
        <w:tc>
          <w:tcPr>
            <w:tcW w:w="518" w:type="pct"/>
            <w:vAlign w:val="center"/>
          </w:tcPr>
          <w:p>
            <w:pPr>
              <w:spacing w:line="288" w:lineRule="auto"/>
              <w:jc w:val="center"/>
              <w:rPr>
                <w:rFonts w:hAnsi="宋体" w:cs="宋体"/>
                <w:color w:val="auto"/>
                <w:sz w:val="21"/>
                <w:szCs w:val="21"/>
                <w:highlight w:val="none"/>
              </w:rPr>
            </w:pPr>
          </w:p>
        </w:tc>
        <w:tc>
          <w:tcPr>
            <w:tcW w:w="973" w:type="pct"/>
            <w:vAlign w:val="center"/>
          </w:tcPr>
          <w:p>
            <w:pPr>
              <w:spacing w:line="288" w:lineRule="auto"/>
              <w:jc w:val="center"/>
              <w:rPr>
                <w:rFonts w:hAnsi="宋体" w:cs="宋体"/>
                <w:color w:val="auto"/>
                <w:sz w:val="21"/>
                <w:szCs w:val="21"/>
                <w:highlight w:val="none"/>
              </w:rPr>
            </w:pPr>
          </w:p>
        </w:tc>
        <w:tc>
          <w:tcPr>
            <w:tcW w:w="386" w:type="pct"/>
            <w:vAlign w:val="center"/>
          </w:tcPr>
          <w:p>
            <w:pPr>
              <w:spacing w:line="288" w:lineRule="auto"/>
              <w:jc w:val="center"/>
              <w:rPr>
                <w:rFonts w:hAnsi="宋体" w:cs="宋体"/>
                <w:color w:val="auto"/>
                <w:sz w:val="21"/>
                <w:szCs w:val="21"/>
                <w:highlight w:val="none"/>
              </w:rPr>
            </w:pPr>
          </w:p>
        </w:tc>
        <w:tc>
          <w:tcPr>
            <w:tcW w:w="446" w:type="pct"/>
            <w:vAlign w:val="center"/>
          </w:tcPr>
          <w:p>
            <w:pPr>
              <w:spacing w:line="288" w:lineRule="auto"/>
              <w:jc w:val="center"/>
              <w:rPr>
                <w:rFonts w:hAnsi="宋体" w:cs="宋体"/>
                <w:color w:val="auto"/>
                <w:sz w:val="21"/>
                <w:szCs w:val="21"/>
                <w:highlight w:val="none"/>
              </w:rPr>
            </w:pPr>
          </w:p>
        </w:tc>
        <w:tc>
          <w:tcPr>
            <w:tcW w:w="715" w:type="pct"/>
            <w:vAlign w:val="center"/>
          </w:tcPr>
          <w:p>
            <w:pPr>
              <w:spacing w:line="288" w:lineRule="auto"/>
              <w:jc w:val="center"/>
              <w:rPr>
                <w:rFonts w:hAnsi="宋体" w:cs="宋体"/>
                <w:color w:val="auto"/>
                <w:sz w:val="21"/>
                <w:szCs w:val="21"/>
                <w:highlight w:val="none"/>
              </w:rPr>
            </w:pPr>
          </w:p>
        </w:tc>
        <w:tc>
          <w:tcPr>
            <w:tcW w:w="459" w:type="pct"/>
            <w:vAlign w:val="center"/>
          </w:tcPr>
          <w:p>
            <w:pPr>
              <w:spacing w:line="288" w:lineRule="auto"/>
              <w:jc w:val="center"/>
              <w:rPr>
                <w:rFonts w:hAnsi="宋体" w:cs="宋体"/>
                <w:color w:val="auto"/>
                <w:sz w:val="21"/>
                <w:szCs w:val="21"/>
                <w:highlight w:val="none"/>
              </w:rPr>
            </w:pPr>
          </w:p>
        </w:tc>
        <w:tc>
          <w:tcPr>
            <w:tcW w:w="580" w:type="pct"/>
            <w:vAlign w:val="center"/>
          </w:tcPr>
          <w:p>
            <w:pPr>
              <w:spacing w:line="288" w:lineRule="auto"/>
              <w:jc w:val="center"/>
              <w:rPr>
                <w:rFonts w:hAnsi="宋体" w:cs="宋体"/>
                <w:color w:val="auto"/>
                <w:sz w:val="21"/>
                <w:szCs w:val="21"/>
                <w:highlight w:val="none"/>
              </w:rPr>
            </w:pPr>
          </w:p>
        </w:tc>
        <w:tc>
          <w:tcPr>
            <w:tcW w:w="502" w:type="pct"/>
            <w:tcBorders>
              <w:right w:val="single" w:color="auto" w:sz="6" w:space="0"/>
            </w:tcBorders>
            <w:vAlign w:val="center"/>
          </w:tcPr>
          <w:p>
            <w:pPr>
              <w:spacing w:line="288" w:lineRule="auto"/>
              <w:jc w:val="center"/>
              <w:rPr>
                <w:rFonts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16" w:type="pct"/>
            <w:vAlign w:val="center"/>
          </w:tcPr>
          <w:p>
            <w:pPr>
              <w:spacing w:line="288" w:lineRule="auto"/>
              <w:jc w:val="center"/>
              <w:rPr>
                <w:rFonts w:hAnsi="宋体" w:cs="宋体"/>
                <w:color w:val="auto"/>
                <w:sz w:val="21"/>
                <w:szCs w:val="21"/>
                <w:highlight w:val="none"/>
              </w:rPr>
            </w:pPr>
          </w:p>
        </w:tc>
        <w:tc>
          <w:tcPr>
            <w:tcW w:w="518" w:type="pct"/>
            <w:vAlign w:val="center"/>
          </w:tcPr>
          <w:p>
            <w:pPr>
              <w:spacing w:line="288" w:lineRule="auto"/>
              <w:jc w:val="center"/>
              <w:rPr>
                <w:rFonts w:hAnsi="宋体" w:cs="宋体"/>
                <w:color w:val="auto"/>
                <w:sz w:val="21"/>
                <w:szCs w:val="21"/>
                <w:highlight w:val="none"/>
              </w:rPr>
            </w:pPr>
          </w:p>
        </w:tc>
        <w:tc>
          <w:tcPr>
            <w:tcW w:w="973" w:type="pct"/>
            <w:vAlign w:val="center"/>
          </w:tcPr>
          <w:p>
            <w:pPr>
              <w:spacing w:line="288" w:lineRule="auto"/>
              <w:jc w:val="center"/>
              <w:rPr>
                <w:rFonts w:hAnsi="宋体" w:cs="宋体"/>
                <w:color w:val="auto"/>
                <w:sz w:val="21"/>
                <w:szCs w:val="21"/>
                <w:highlight w:val="none"/>
              </w:rPr>
            </w:pPr>
          </w:p>
        </w:tc>
        <w:tc>
          <w:tcPr>
            <w:tcW w:w="386" w:type="pct"/>
            <w:vAlign w:val="center"/>
          </w:tcPr>
          <w:p>
            <w:pPr>
              <w:spacing w:line="288" w:lineRule="auto"/>
              <w:jc w:val="center"/>
              <w:rPr>
                <w:rFonts w:hAnsi="宋体" w:cs="宋体"/>
                <w:color w:val="auto"/>
                <w:sz w:val="21"/>
                <w:szCs w:val="21"/>
                <w:highlight w:val="none"/>
              </w:rPr>
            </w:pPr>
          </w:p>
        </w:tc>
        <w:tc>
          <w:tcPr>
            <w:tcW w:w="446" w:type="pct"/>
            <w:vAlign w:val="center"/>
          </w:tcPr>
          <w:p>
            <w:pPr>
              <w:spacing w:line="288" w:lineRule="auto"/>
              <w:jc w:val="center"/>
              <w:rPr>
                <w:rFonts w:hAnsi="宋体" w:cs="宋体"/>
                <w:color w:val="auto"/>
                <w:sz w:val="21"/>
                <w:szCs w:val="21"/>
                <w:highlight w:val="none"/>
              </w:rPr>
            </w:pPr>
          </w:p>
        </w:tc>
        <w:tc>
          <w:tcPr>
            <w:tcW w:w="715" w:type="pct"/>
            <w:vAlign w:val="center"/>
          </w:tcPr>
          <w:p>
            <w:pPr>
              <w:spacing w:line="288" w:lineRule="auto"/>
              <w:jc w:val="center"/>
              <w:rPr>
                <w:rFonts w:hAnsi="宋体" w:cs="宋体"/>
                <w:color w:val="auto"/>
                <w:sz w:val="21"/>
                <w:szCs w:val="21"/>
                <w:highlight w:val="none"/>
              </w:rPr>
            </w:pPr>
          </w:p>
        </w:tc>
        <w:tc>
          <w:tcPr>
            <w:tcW w:w="459" w:type="pct"/>
            <w:vAlign w:val="center"/>
          </w:tcPr>
          <w:p>
            <w:pPr>
              <w:spacing w:line="288" w:lineRule="auto"/>
              <w:jc w:val="center"/>
              <w:rPr>
                <w:rFonts w:hAnsi="宋体" w:cs="宋体"/>
                <w:color w:val="auto"/>
                <w:sz w:val="21"/>
                <w:szCs w:val="21"/>
                <w:highlight w:val="none"/>
              </w:rPr>
            </w:pPr>
          </w:p>
        </w:tc>
        <w:tc>
          <w:tcPr>
            <w:tcW w:w="580" w:type="pct"/>
            <w:vAlign w:val="center"/>
          </w:tcPr>
          <w:p>
            <w:pPr>
              <w:spacing w:line="288" w:lineRule="auto"/>
              <w:jc w:val="center"/>
              <w:rPr>
                <w:rFonts w:hAnsi="宋体" w:cs="宋体"/>
                <w:color w:val="auto"/>
                <w:sz w:val="21"/>
                <w:szCs w:val="21"/>
                <w:highlight w:val="none"/>
              </w:rPr>
            </w:pPr>
          </w:p>
        </w:tc>
        <w:tc>
          <w:tcPr>
            <w:tcW w:w="502" w:type="pct"/>
            <w:tcBorders>
              <w:right w:val="single" w:color="auto" w:sz="6" w:space="0"/>
            </w:tcBorders>
            <w:vAlign w:val="center"/>
          </w:tcPr>
          <w:p>
            <w:pPr>
              <w:spacing w:line="288" w:lineRule="auto"/>
              <w:jc w:val="center"/>
              <w:rPr>
                <w:rFonts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16" w:type="pct"/>
            <w:vAlign w:val="center"/>
          </w:tcPr>
          <w:p>
            <w:pPr>
              <w:spacing w:line="288" w:lineRule="auto"/>
              <w:jc w:val="center"/>
              <w:rPr>
                <w:rFonts w:hAnsi="宋体" w:cs="宋体"/>
                <w:color w:val="auto"/>
                <w:sz w:val="21"/>
                <w:szCs w:val="21"/>
                <w:highlight w:val="none"/>
              </w:rPr>
            </w:pPr>
          </w:p>
        </w:tc>
        <w:tc>
          <w:tcPr>
            <w:tcW w:w="518" w:type="pct"/>
            <w:vAlign w:val="center"/>
          </w:tcPr>
          <w:p>
            <w:pPr>
              <w:spacing w:line="288" w:lineRule="auto"/>
              <w:jc w:val="center"/>
              <w:rPr>
                <w:rFonts w:hAnsi="宋体" w:cs="宋体"/>
                <w:color w:val="auto"/>
                <w:sz w:val="21"/>
                <w:szCs w:val="21"/>
                <w:highlight w:val="none"/>
              </w:rPr>
            </w:pPr>
          </w:p>
        </w:tc>
        <w:tc>
          <w:tcPr>
            <w:tcW w:w="973" w:type="pct"/>
            <w:vAlign w:val="center"/>
          </w:tcPr>
          <w:p>
            <w:pPr>
              <w:spacing w:line="288" w:lineRule="auto"/>
              <w:jc w:val="center"/>
              <w:rPr>
                <w:rFonts w:hAnsi="宋体" w:cs="宋体"/>
                <w:color w:val="auto"/>
                <w:sz w:val="21"/>
                <w:szCs w:val="21"/>
                <w:highlight w:val="none"/>
              </w:rPr>
            </w:pPr>
          </w:p>
        </w:tc>
        <w:tc>
          <w:tcPr>
            <w:tcW w:w="386" w:type="pct"/>
            <w:vAlign w:val="center"/>
          </w:tcPr>
          <w:p>
            <w:pPr>
              <w:spacing w:line="288" w:lineRule="auto"/>
              <w:jc w:val="center"/>
              <w:rPr>
                <w:rFonts w:hAnsi="宋体" w:cs="宋体"/>
                <w:color w:val="auto"/>
                <w:sz w:val="21"/>
                <w:szCs w:val="21"/>
                <w:highlight w:val="none"/>
              </w:rPr>
            </w:pPr>
          </w:p>
        </w:tc>
        <w:tc>
          <w:tcPr>
            <w:tcW w:w="446" w:type="pct"/>
            <w:vAlign w:val="center"/>
          </w:tcPr>
          <w:p>
            <w:pPr>
              <w:spacing w:line="288" w:lineRule="auto"/>
              <w:jc w:val="center"/>
              <w:rPr>
                <w:rFonts w:hAnsi="宋体" w:cs="宋体"/>
                <w:color w:val="auto"/>
                <w:sz w:val="21"/>
                <w:szCs w:val="21"/>
                <w:highlight w:val="none"/>
              </w:rPr>
            </w:pPr>
          </w:p>
        </w:tc>
        <w:tc>
          <w:tcPr>
            <w:tcW w:w="715" w:type="pct"/>
            <w:vAlign w:val="center"/>
          </w:tcPr>
          <w:p>
            <w:pPr>
              <w:spacing w:line="288" w:lineRule="auto"/>
              <w:jc w:val="center"/>
              <w:rPr>
                <w:rFonts w:hAnsi="宋体" w:cs="宋体"/>
                <w:color w:val="auto"/>
                <w:sz w:val="21"/>
                <w:szCs w:val="21"/>
                <w:highlight w:val="none"/>
              </w:rPr>
            </w:pPr>
          </w:p>
        </w:tc>
        <w:tc>
          <w:tcPr>
            <w:tcW w:w="459" w:type="pct"/>
            <w:vAlign w:val="center"/>
          </w:tcPr>
          <w:p>
            <w:pPr>
              <w:spacing w:line="288" w:lineRule="auto"/>
              <w:jc w:val="center"/>
              <w:rPr>
                <w:rFonts w:hAnsi="宋体" w:cs="宋体"/>
                <w:color w:val="auto"/>
                <w:sz w:val="21"/>
                <w:szCs w:val="21"/>
                <w:highlight w:val="none"/>
              </w:rPr>
            </w:pPr>
          </w:p>
        </w:tc>
        <w:tc>
          <w:tcPr>
            <w:tcW w:w="580" w:type="pct"/>
            <w:vAlign w:val="center"/>
          </w:tcPr>
          <w:p>
            <w:pPr>
              <w:spacing w:line="288" w:lineRule="auto"/>
              <w:jc w:val="center"/>
              <w:rPr>
                <w:rFonts w:hAnsi="宋体" w:cs="宋体"/>
                <w:color w:val="auto"/>
                <w:sz w:val="21"/>
                <w:szCs w:val="21"/>
                <w:highlight w:val="none"/>
              </w:rPr>
            </w:pPr>
          </w:p>
        </w:tc>
        <w:tc>
          <w:tcPr>
            <w:tcW w:w="502" w:type="pct"/>
            <w:tcBorders>
              <w:right w:val="single" w:color="auto" w:sz="6" w:space="0"/>
            </w:tcBorders>
            <w:vAlign w:val="center"/>
          </w:tcPr>
          <w:p>
            <w:pPr>
              <w:spacing w:line="288" w:lineRule="auto"/>
              <w:jc w:val="center"/>
              <w:rPr>
                <w:rFonts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16" w:type="pct"/>
            <w:vAlign w:val="center"/>
          </w:tcPr>
          <w:p>
            <w:pPr>
              <w:spacing w:line="288" w:lineRule="auto"/>
              <w:jc w:val="center"/>
              <w:rPr>
                <w:rFonts w:hAnsi="宋体" w:cs="宋体"/>
                <w:color w:val="auto"/>
                <w:sz w:val="21"/>
                <w:szCs w:val="21"/>
                <w:highlight w:val="none"/>
              </w:rPr>
            </w:pPr>
          </w:p>
        </w:tc>
        <w:tc>
          <w:tcPr>
            <w:tcW w:w="518" w:type="pct"/>
            <w:vAlign w:val="center"/>
          </w:tcPr>
          <w:p>
            <w:pPr>
              <w:spacing w:line="288" w:lineRule="auto"/>
              <w:jc w:val="center"/>
              <w:rPr>
                <w:rFonts w:hAnsi="宋体" w:cs="宋体"/>
                <w:color w:val="auto"/>
                <w:sz w:val="21"/>
                <w:szCs w:val="21"/>
                <w:highlight w:val="none"/>
              </w:rPr>
            </w:pPr>
          </w:p>
        </w:tc>
        <w:tc>
          <w:tcPr>
            <w:tcW w:w="973" w:type="pct"/>
            <w:vAlign w:val="center"/>
          </w:tcPr>
          <w:p>
            <w:pPr>
              <w:spacing w:line="288" w:lineRule="auto"/>
              <w:jc w:val="center"/>
              <w:rPr>
                <w:rFonts w:hAnsi="宋体" w:cs="宋体"/>
                <w:color w:val="auto"/>
                <w:sz w:val="21"/>
                <w:szCs w:val="21"/>
                <w:highlight w:val="none"/>
              </w:rPr>
            </w:pPr>
          </w:p>
        </w:tc>
        <w:tc>
          <w:tcPr>
            <w:tcW w:w="386" w:type="pct"/>
            <w:vAlign w:val="center"/>
          </w:tcPr>
          <w:p>
            <w:pPr>
              <w:spacing w:line="288" w:lineRule="auto"/>
              <w:jc w:val="center"/>
              <w:rPr>
                <w:rFonts w:hAnsi="宋体" w:cs="宋体"/>
                <w:color w:val="auto"/>
                <w:sz w:val="21"/>
                <w:szCs w:val="21"/>
                <w:highlight w:val="none"/>
              </w:rPr>
            </w:pPr>
          </w:p>
        </w:tc>
        <w:tc>
          <w:tcPr>
            <w:tcW w:w="446" w:type="pct"/>
            <w:vAlign w:val="center"/>
          </w:tcPr>
          <w:p>
            <w:pPr>
              <w:spacing w:line="288" w:lineRule="auto"/>
              <w:jc w:val="center"/>
              <w:rPr>
                <w:rFonts w:hAnsi="宋体" w:cs="宋体"/>
                <w:color w:val="auto"/>
                <w:sz w:val="21"/>
                <w:szCs w:val="21"/>
                <w:highlight w:val="none"/>
              </w:rPr>
            </w:pPr>
          </w:p>
        </w:tc>
        <w:tc>
          <w:tcPr>
            <w:tcW w:w="715" w:type="pct"/>
            <w:vAlign w:val="center"/>
          </w:tcPr>
          <w:p>
            <w:pPr>
              <w:spacing w:line="288" w:lineRule="auto"/>
              <w:jc w:val="center"/>
              <w:rPr>
                <w:rFonts w:hAnsi="宋体" w:cs="宋体"/>
                <w:color w:val="auto"/>
                <w:sz w:val="21"/>
                <w:szCs w:val="21"/>
                <w:highlight w:val="none"/>
              </w:rPr>
            </w:pPr>
          </w:p>
        </w:tc>
        <w:tc>
          <w:tcPr>
            <w:tcW w:w="459" w:type="pct"/>
            <w:vAlign w:val="center"/>
          </w:tcPr>
          <w:p>
            <w:pPr>
              <w:spacing w:line="288" w:lineRule="auto"/>
              <w:jc w:val="center"/>
              <w:rPr>
                <w:rFonts w:hAnsi="宋体" w:cs="宋体"/>
                <w:color w:val="auto"/>
                <w:sz w:val="21"/>
                <w:szCs w:val="21"/>
                <w:highlight w:val="none"/>
              </w:rPr>
            </w:pPr>
          </w:p>
        </w:tc>
        <w:tc>
          <w:tcPr>
            <w:tcW w:w="580" w:type="pct"/>
            <w:vAlign w:val="center"/>
          </w:tcPr>
          <w:p>
            <w:pPr>
              <w:spacing w:line="288" w:lineRule="auto"/>
              <w:jc w:val="center"/>
              <w:rPr>
                <w:rFonts w:hAnsi="宋体" w:cs="宋体"/>
                <w:color w:val="auto"/>
                <w:sz w:val="21"/>
                <w:szCs w:val="21"/>
                <w:highlight w:val="none"/>
              </w:rPr>
            </w:pPr>
          </w:p>
        </w:tc>
        <w:tc>
          <w:tcPr>
            <w:tcW w:w="502" w:type="pct"/>
            <w:tcBorders>
              <w:right w:val="single" w:color="auto" w:sz="6" w:space="0"/>
            </w:tcBorders>
            <w:vAlign w:val="center"/>
          </w:tcPr>
          <w:p>
            <w:pPr>
              <w:spacing w:line="288" w:lineRule="auto"/>
              <w:jc w:val="center"/>
              <w:rPr>
                <w:rFonts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16" w:type="pct"/>
            <w:vAlign w:val="center"/>
          </w:tcPr>
          <w:p>
            <w:pPr>
              <w:spacing w:line="288" w:lineRule="auto"/>
              <w:jc w:val="center"/>
              <w:rPr>
                <w:rFonts w:hAnsi="宋体" w:cs="宋体"/>
                <w:color w:val="auto"/>
                <w:sz w:val="21"/>
                <w:szCs w:val="21"/>
                <w:highlight w:val="none"/>
              </w:rPr>
            </w:pPr>
          </w:p>
        </w:tc>
        <w:tc>
          <w:tcPr>
            <w:tcW w:w="518" w:type="pct"/>
            <w:vAlign w:val="center"/>
          </w:tcPr>
          <w:p>
            <w:pPr>
              <w:spacing w:line="288" w:lineRule="auto"/>
              <w:jc w:val="center"/>
              <w:rPr>
                <w:rFonts w:hAnsi="宋体" w:cs="宋体"/>
                <w:color w:val="auto"/>
                <w:sz w:val="21"/>
                <w:szCs w:val="21"/>
                <w:highlight w:val="none"/>
              </w:rPr>
            </w:pPr>
          </w:p>
        </w:tc>
        <w:tc>
          <w:tcPr>
            <w:tcW w:w="973" w:type="pct"/>
            <w:vAlign w:val="center"/>
          </w:tcPr>
          <w:p>
            <w:pPr>
              <w:spacing w:line="288" w:lineRule="auto"/>
              <w:jc w:val="center"/>
              <w:rPr>
                <w:rFonts w:hAnsi="宋体" w:cs="宋体"/>
                <w:color w:val="auto"/>
                <w:sz w:val="21"/>
                <w:szCs w:val="21"/>
                <w:highlight w:val="none"/>
              </w:rPr>
            </w:pPr>
          </w:p>
        </w:tc>
        <w:tc>
          <w:tcPr>
            <w:tcW w:w="386" w:type="pct"/>
            <w:vAlign w:val="center"/>
          </w:tcPr>
          <w:p>
            <w:pPr>
              <w:spacing w:line="288" w:lineRule="auto"/>
              <w:jc w:val="center"/>
              <w:rPr>
                <w:rFonts w:hAnsi="宋体" w:cs="宋体"/>
                <w:color w:val="auto"/>
                <w:sz w:val="21"/>
                <w:szCs w:val="21"/>
                <w:highlight w:val="none"/>
              </w:rPr>
            </w:pPr>
          </w:p>
        </w:tc>
        <w:tc>
          <w:tcPr>
            <w:tcW w:w="446" w:type="pct"/>
            <w:vAlign w:val="center"/>
          </w:tcPr>
          <w:p>
            <w:pPr>
              <w:spacing w:line="288" w:lineRule="auto"/>
              <w:jc w:val="center"/>
              <w:rPr>
                <w:rFonts w:hAnsi="宋体" w:cs="宋体"/>
                <w:color w:val="auto"/>
                <w:sz w:val="21"/>
                <w:szCs w:val="21"/>
                <w:highlight w:val="none"/>
              </w:rPr>
            </w:pPr>
          </w:p>
        </w:tc>
        <w:tc>
          <w:tcPr>
            <w:tcW w:w="715" w:type="pct"/>
            <w:vAlign w:val="center"/>
          </w:tcPr>
          <w:p>
            <w:pPr>
              <w:spacing w:line="288" w:lineRule="auto"/>
              <w:jc w:val="center"/>
              <w:rPr>
                <w:rFonts w:hAnsi="宋体" w:cs="宋体"/>
                <w:color w:val="auto"/>
                <w:sz w:val="21"/>
                <w:szCs w:val="21"/>
                <w:highlight w:val="none"/>
              </w:rPr>
            </w:pPr>
          </w:p>
        </w:tc>
        <w:tc>
          <w:tcPr>
            <w:tcW w:w="459" w:type="pct"/>
            <w:vAlign w:val="center"/>
          </w:tcPr>
          <w:p>
            <w:pPr>
              <w:spacing w:line="288" w:lineRule="auto"/>
              <w:jc w:val="center"/>
              <w:rPr>
                <w:rFonts w:hAnsi="宋体" w:cs="宋体"/>
                <w:color w:val="auto"/>
                <w:sz w:val="21"/>
                <w:szCs w:val="21"/>
                <w:highlight w:val="none"/>
              </w:rPr>
            </w:pPr>
          </w:p>
        </w:tc>
        <w:tc>
          <w:tcPr>
            <w:tcW w:w="580" w:type="pct"/>
            <w:vAlign w:val="center"/>
          </w:tcPr>
          <w:p>
            <w:pPr>
              <w:spacing w:line="288" w:lineRule="auto"/>
              <w:jc w:val="center"/>
              <w:rPr>
                <w:rFonts w:hAnsi="宋体" w:cs="宋体"/>
                <w:color w:val="auto"/>
                <w:sz w:val="21"/>
                <w:szCs w:val="21"/>
                <w:highlight w:val="none"/>
              </w:rPr>
            </w:pPr>
          </w:p>
        </w:tc>
        <w:tc>
          <w:tcPr>
            <w:tcW w:w="502" w:type="pct"/>
            <w:tcBorders>
              <w:right w:val="single" w:color="auto" w:sz="6" w:space="0"/>
            </w:tcBorders>
            <w:vAlign w:val="center"/>
          </w:tcPr>
          <w:p>
            <w:pPr>
              <w:spacing w:line="288" w:lineRule="auto"/>
              <w:jc w:val="center"/>
              <w:rPr>
                <w:rFonts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16" w:type="pct"/>
            <w:vAlign w:val="center"/>
          </w:tcPr>
          <w:p>
            <w:pPr>
              <w:spacing w:line="288" w:lineRule="auto"/>
              <w:jc w:val="center"/>
              <w:rPr>
                <w:rFonts w:hAnsi="宋体" w:cs="宋体"/>
                <w:color w:val="auto"/>
                <w:sz w:val="21"/>
                <w:szCs w:val="21"/>
                <w:highlight w:val="none"/>
              </w:rPr>
            </w:pPr>
          </w:p>
        </w:tc>
        <w:tc>
          <w:tcPr>
            <w:tcW w:w="518" w:type="pct"/>
            <w:vAlign w:val="center"/>
          </w:tcPr>
          <w:p>
            <w:pPr>
              <w:spacing w:line="288" w:lineRule="auto"/>
              <w:jc w:val="center"/>
              <w:rPr>
                <w:rFonts w:hAnsi="宋体" w:cs="宋体"/>
                <w:color w:val="auto"/>
                <w:sz w:val="21"/>
                <w:szCs w:val="21"/>
                <w:highlight w:val="none"/>
              </w:rPr>
            </w:pPr>
          </w:p>
        </w:tc>
        <w:tc>
          <w:tcPr>
            <w:tcW w:w="973" w:type="pct"/>
            <w:vAlign w:val="center"/>
          </w:tcPr>
          <w:p>
            <w:pPr>
              <w:spacing w:line="288" w:lineRule="auto"/>
              <w:jc w:val="center"/>
              <w:rPr>
                <w:rFonts w:hAnsi="宋体" w:cs="宋体"/>
                <w:color w:val="auto"/>
                <w:sz w:val="21"/>
                <w:szCs w:val="21"/>
                <w:highlight w:val="none"/>
              </w:rPr>
            </w:pPr>
          </w:p>
        </w:tc>
        <w:tc>
          <w:tcPr>
            <w:tcW w:w="386" w:type="pct"/>
            <w:vAlign w:val="center"/>
          </w:tcPr>
          <w:p>
            <w:pPr>
              <w:spacing w:line="288" w:lineRule="auto"/>
              <w:jc w:val="center"/>
              <w:rPr>
                <w:rFonts w:hAnsi="宋体" w:cs="宋体"/>
                <w:color w:val="auto"/>
                <w:sz w:val="21"/>
                <w:szCs w:val="21"/>
                <w:highlight w:val="none"/>
              </w:rPr>
            </w:pPr>
          </w:p>
        </w:tc>
        <w:tc>
          <w:tcPr>
            <w:tcW w:w="446" w:type="pct"/>
            <w:vAlign w:val="center"/>
          </w:tcPr>
          <w:p>
            <w:pPr>
              <w:spacing w:line="288" w:lineRule="auto"/>
              <w:jc w:val="center"/>
              <w:rPr>
                <w:rFonts w:hAnsi="宋体" w:cs="宋体"/>
                <w:color w:val="auto"/>
                <w:sz w:val="21"/>
                <w:szCs w:val="21"/>
                <w:highlight w:val="none"/>
              </w:rPr>
            </w:pPr>
          </w:p>
        </w:tc>
        <w:tc>
          <w:tcPr>
            <w:tcW w:w="715" w:type="pct"/>
            <w:vAlign w:val="center"/>
          </w:tcPr>
          <w:p>
            <w:pPr>
              <w:spacing w:line="288" w:lineRule="auto"/>
              <w:jc w:val="center"/>
              <w:rPr>
                <w:rFonts w:hAnsi="宋体" w:cs="宋体"/>
                <w:color w:val="auto"/>
                <w:sz w:val="21"/>
                <w:szCs w:val="21"/>
                <w:highlight w:val="none"/>
              </w:rPr>
            </w:pPr>
          </w:p>
        </w:tc>
        <w:tc>
          <w:tcPr>
            <w:tcW w:w="459" w:type="pct"/>
            <w:vAlign w:val="center"/>
          </w:tcPr>
          <w:p>
            <w:pPr>
              <w:spacing w:line="288" w:lineRule="auto"/>
              <w:jc w:val="center"/>
              <w:rPr>
                <w:rFonts w:hAnsi="宋体" w:cs="宋体"/>
                <w:color w:val="auto"/>
                <w:sz w:val="21"/>
                <w:szCs w:val="21"/>
                <w:highlight w:val="none"/>
              </w:rPr>
            </w:pPr>
          </w:p>
        </w:tc>
        <w:tc>
          <w:tcPr>
            <w:tcW w:w="580" w:type="pct"/>
            <w:vAlign w:val="center"/>
          </w:tcPr>
          <w:p>
            <w:pPr>
              <w:spacing w:line="288" w:lineRule="auto"/>
              <w:jc w:val="center"/>
              <w:rPr>
                <w:rFonts w:hAnsi="宋体" w:cs="宋体"/>
                <w:color w:val="auto"/>
                <w:sz w:val="21"/>
                <w:szCs w:val="21"/>
                <w:highlight w:val="none"/>
              </w:rPr>
            </w:pPr>
          </w:p>
        </w:tc>
        <w:tc>
          <w:tcPr>
            <w:tcW w:w="502" w:type="pct"/>
            <w:tcBorders>
              <w:right w:val="single" w:color="auto" w:sz="6" w:space="0"/>
            </w:tcBorders>
            <w:vAlign w:val="center"/>
          </w:tcPr>
          <w:p>
            <w:pPr>
              <w:spacing w:line="288" w:lineRule="auto"/>
              <w:jc w:val="center"/>
              <w:rPr>
                <w:rFonts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16" w:type="pct"/>
            <w:vAlign w:val="center"/>
          </w:tcPr>
          <w:p>
            <w:pPr>
              <w:spacing w:line="288" w:lineRule="auto"/>
              <w:jc w:val="center"/>
              <w:rPr>
                <w:rFonts w:hAnsi="宋体" w:cs="宋体"/>
                <w:color w:val="auto"/>
                <w:sz w:val="21"/>
                <w:szCs w:val="21"/>
                <w:highlight w:val="none"/>
              </w:rPr>
            </w:pPr>
          </w:p>
        </w:tc>
        <w:tc>
          <w:tcPr>
            <w:tcW w:w="518" w:type="pct"/>
            <w:vAlign w:val="center"/>
          </w:tcPr>
          <w:p>
            <w:pPr>
              <w:spacing w:line="288" w:lineRule="auto"/>
              <w:jc w:val="center"/>
              <w:rPr>
                <w:rFonts w:hAnsi="宋体" w:cs="宋体"/>
                <w:color w:val="auto"/>
                <w:sz w:val="21"/>
                <w:szCs w:val="21"/>
                <w:highlight w:val="none"/>
              </w:rPr>
            </w:pPr>
          </w:p>
        </w:tc>
        <w:tc>
          <w:tcPr>
            <w:tcW w:w="973" w:type="pct"/>
            <w:vAlign w:val="center"/>
          </w:tcPr>
          <w:p>
            <w:pPr>
              <w:spacing w:line="288" w:lineRule="auto"/>
              <w:jc w:val="center"/>
              <w:rPr>
                <w:rFonts w:hAnsi="宋体" w:cs="宋体"/>
                <w:color w:val="auto"/>
                <w:sz w:val="21"/>
                <w:szCs w:val="21"/>
                <w:highlight w:val="none"/>
              </w:rPr>
            </w:pPr>
          </w:p>
        </w:tc>
        <w:tc>
          <w:tcPr>
            <w:tcW w:w="386" w:type="pct"/>
            <w:vAlign w:val="center"/>
          </w:tcPr>
          <w:p>
            <w:pPr>
              <w:spacing w:line="288" w:lineRule="auto"/>
              <w:jc w:val="center"/>
              <w:rPr>
                <w:rFonts w:hAnsi="宋体" w:cs="宋体"/>
                <w:color w:val="auto"/>
                <w:sz w:val="21"/>
                <w:szCs w:val="21"/>
                <w:highlight w:val="none"/>
              </w:rPr>
            </w:pPr>
          </w:p>
        </w:tc>
        <w:tc>
          <w:tcPr>
            <w:tcW w:w="446" w:type="pct"/>
            <w:vAlign w:val="center"/>
          </w:tcPr>
          <w:p>
            <w:pPr>
              <w:spacing w:line="288" w:lineRule="auto"/>
              <w:jc w:val="center"/>
              <w:rPr>
                <w:rFonts w:hAnsi="宋体" w:cs="宋体"/>
                <w:color w:val="auto"/>
                <w:sz w:val="21"/>
                <w:szCs w:val="21"/>
                <w:highlight w:val="none"/>
              </w:rPr>
            </w:pPr>
          </w:p>
        </w:tc>
        <w:tc>
          <w:tcPr>
            <w:tcW w:w="715" w:type="pct"/>
            <w:vAlign w:val="center"/>
          </w:tcPr>
          <w:p>
            <w:pPr>
              <w:spacing w:line="288" w:lineRule="auto"/>
              <w:jc w:val="center"/>
              <w:rPr>
                <w:rFonts w:hAnsi="宋体" w:cs="宋体"/>
                <w:color w:val="auto"/>
                <w:sz w:val="21"/>
                <w:szCs w:val="21"/>
                <w:highlight w:val="none"/>
              </w:rPr>
            </w:pPr>
          </w:p>
        </w:tc>
        <w:tc>
          <w:tcPr>
            <w:tcW w:w="459" w:type="pct"/>
            <w:vAlign w:val="center"/>
          </w:tcPr>
          <w:p>
            <w:pPr>
              <w:spacing w:line="288" w:lineRule="auto"/>
              <w:jc w:val="center"/>
              <w:rPr>
                <w:rFonts w:hAnsi="宋体" w:cs="宋体"/>
                <w:color w:val="auto"/>
                <w:sz w:val="21"/>
                <w:szCs w:val="21"/>
                <w:highlight w:val="none"/>
              </w:rPr>
            </w:pPr>
          </w:p>
        </w:tc>
        <w:tc>
          <w:tcPr>
            <w:tcW w:w="580" w:type="pct"/>
            <w:vAlign w:val="center"/>
          </w:tcPr>
          <w:p>
            <w:pPr>
              <w:spacing w:line="288" w:lineRule="auto"/>
              <w:jc w:val="center"/>
              <w:rPr>
                <w:rFonts w:hAnsi="宋体" w:cs="宋体"/>
                <w:color w:val="auto"/>
                <w:sz w:val="21"/>
                <w:szCs w:val="21"/>
                <w:highlight w:val="none"/>
              </w:rPr>
            </w:pPr>
          </w:p>
        </w:tc>
        <w:tc>
          <w:tcPr>
            <w:tcW w:w="502" w:type="pct"/>
            <w:tcBorders>
              <w:right w:val="single" w:color="auto" w:sz="6" w:space="0"/>
            </w:tcBorders>
            <w:vAlign w:val="center"/>
          </w:tcPr>
          <w:p>
            <w:pPr>
              <w:spacing w:line="288" w:lineRule="auto"/>
              <w:jc w:val="center"/>
              <w:rPr>
                <w:rFonts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16" w:type="pct"/>
            <w:vAlign w:val="center"/>
          </w:tcPr>
          <w:p>
            <w:pPr>
              <w:spacing w:line="288" w:lineRule="auto"/>
              <w:jc w:val="center"/>
              <w:rPr>
                <w:rFonts w:hAnsi="宋体" w:cs="宋体"/>
                <w:color w:val="auto"/>
                <w:sz w:val="21"/>
                <w:szCs w:val="21"/>
                <w:highlight w:val="none"/>
              </w:rPr>
            </w:pPr>
          </w:p>
        </w:tc>
        <w:tc>
          <w:tcPr>
            <w:tcW w:w="518" w:type="pct"/>
            <w:vAlign w:val="center"/>
          </w:tcPr>
          <w:p>
            <w:pPr>
              <w:spacing w:line="288" w:lineRule="auto"/>
              <w:jc w:val="center"/>
              <w:rPr>
                <w:rFonts w:hAnsi="宋体" w:cs="宋体"/>
                <w:color w:val="auto"/>
                <w:sz w:val="21"/>
                <w:szCs w:val="21"/>
                <w:highlight w:val="none"/>
              </w:rPr>
            </w:pPr>
          </w:p>
        </w:tc>
        <w:tc>
          <w:tcPr>
            <w:tcW w:w="973" w:type="pct"/>
            <w:vAlign w:val="center"/>
          </w:tcPr>
          <w:p>
            <w:pPr>
              <w:spacing w:line="288" w:lineRule="auto"/>
              <w:jc w:val="center"/>
              <w:rPr>
                <w:rFonts w:hAnsi="宋体" w:cs="宋体"/>
                <w:color w:val="auto"/>
                <w:sz w:val="21"/>
                <w:szCs w:val="21"/>
                <w:highlight w:val="none"/>
              </w:rPr>
            </w:pPr>
          </w:p>
        </w:tc>
        <w:tc>
          <w:tcPr>
            <w:tcW w:w="386" w:type="pct"/>
            <w:vAlign w:val="center"/>
          </w:tcPr>
          <w:p>
            <w:pPr>
              <w:spacing w:line="288" w:lineRule="auto"/>
              <w:jc w:val="center"/>
              <w:rPr>
                <w:rFonts w:hAnsi="宋体" w:cs="宋体"/>
                <w:color w:val="auto"/>
                <w:sz w:val="21"/>
                <w:szCs w:val="21"/>
                <w:highlight w:val="none"/>
              </w:rPr>
            </w:pPr>
          </w:p>
        </w:tc>
        <w:tc>
          <w:tcPr>
            <w:tcW w:w="446" w:type="pct"/>
            <w:vAlign w:val="center"/>
          </w:tcPr>
          <w:p>
            <w:pPr>
              <w:spacing w:line="288" w:lineRule="auto"/>
              <w:jc w:val="center"/>
              <w:rPr>
                <w:rFonts w:hAnsi="宋体" w:cs="宋体"/>
                <w:color w:val="auto"/>
                <w:sz w:val="21"/>
                <w:szCs w:val="21"/>
                <w:highlight w:val="none"/>
              </w:rPr>
            </w:pPr>
          </w:p>
        </w:tc>
        <w:tc>
          <w:tcPr>
            <w:tcW w:w="715" w:type="pct"/>
            <w:vAlign w:val="center"/>
          </w:tcPr>
          <w:p>
            <w:pPr>
              <w:spacing w:line="288" w:lineRule="auto"/>
              <w:jc w:val="center"/>
              <w:rPr>
                <w:rFonts w:hAnsi="宋体" w:cs="宋体"/>
                <w:color w:val="auto"/>
                <w:sz w:val="21"/>
                <w:szCs w:val="21"/>
                <w:highlight w:val="none"/>
              </w:rPr>
            </w:pPr>
          </w:p>
        </w:tc>
        <w:tc>
          <w:tcPr>
            <w:tcW w:w="459" w:type="pct"/>
            <w:vAlign w:val="center"/>
          </w:tcPr>
          <w:p>
            <w:pPr>
              <w:spacing w:line="288" w:lineRule="auto"/>
              <w:jc w:val="center"/>
              <w:rPr>
                <w:rFonts w:hAnsi="宋体" w:cs="宋体"/>
                <w:color w:val="auto"/>
                <w:sz w:val="21"/>
                <w:szCs w:val="21"/>
                <w:highlight w:val="none"/>
              </w:rPr>
            </w:pPr>
          </w:p>
        </w:tc>
        <w:tc>
          <w:tcPr>
            <w:tcW w:w="580" w:type="pct"/>
            <w:vAlign w:val="center"/>
          </w:tcPr>
          <w:p>
            <w:pPr>
              <w:spacing w:line="288" w:lineRule="auto"/>
              <w:jc w:val="center"/>
              <w:rPr>
                <w:rFonts w:hAnsi="宋体" w:cs="宋体"/>
                <w:color w:val="auto"/>
                <w:sz w:val="21"/>
                <w:szCs w:val="21"/>
                <w:highlight w:val="none"/>
              </w:rPr>
            </w:pPr>
          </w:p>
        </w:tc>
        <w:tc>
          <w:tcPr>
            <w:tcW w:w="502" w:type="pct"/>
            <w:tcBorders>
              <w:right w:val="single" w:color="auto" w:sz="6" w:space="0"/>
            </w:tcBorders>
            <w:vAlign w:val="center"/>
          </w:tcPr>
          <w:p>
            <w:pPr>
              <w:spacing w:line="288" w:lineRule="auto"/>
              <w:jc w:val="center"/>
              <w:rPr>
                <w:rFonts w:hAnsi="宋体" w:cs="宋体"/>
                <w:color w:val="auto"/>
                <w:sz w:val="21"/>
                <w:szCs w:val="21"/>
                <w:highlight w:val="none"/>
              </w:rPr>
            </w:pPr>
          </w:p>
        </w:tc>
      </w:tr>
    </w:tbl>
    <w:p>
      <w:pPr>
        <w:ind w:firstLine="178" w:firstLineChars="85"/>
        <w:rPr>
          <w:rFonts w:hAnsi="宋体" w:cs="宋体"/>
          <w:color w:val="auto"/>
          <w:sz w:val="21"/>
          <w:szCs w:val="21"/>
          <w:highlight w:val="none"/>
        </w:rPr>
      </w:pPr>
    </w:p>
    <w:p>
      <w:pPr>
        <w:pStyle w:val="29"/>
        <w:tabs>
          <w:tab w:val="left" w:pos="5580"/>
        </w:tabs>
        <w:spacing w:line="240" w:lineRule="atLeast"/>
        <w:rPr>
          <w:rFonts w:hAnsi="宋体" w:cs="宋体"/>
          <w:color w:val="auto"/>
          <w:szCs w:val="21"/>
          <w:highlight w:val="none"/>
        </w:rPr>
      </w:pPr>
    </w:p>
    <w:p>
      <w:pPr>
        <w:pStyle w:val="29"/>
        <w:tabs>
          <w:tab w:val="left" w:pos="5580"/>
        </w:tabs>
        <w:spacing w:line="240" w:lineRule="atLeast"/>
        <w:rPr>
          <w:rFonts w:hAnsi="宋体" w:cs="宋体"/>
          <w:color w:val="auto"/>
          <w:szCs w:val="21"/>
          <w:highlight w:val="none"/>
        </w:rPr>
      </w:pPr>
      <w:r>
        <w:rPr>
          <w:rFonts w:hint="eastAsia" w:hAnsi="宋体" w:cs="宋体"/>
          <w:color w:val="auto"/>
          <w:szCs w:val="21"/>
          <w:highlight w:val="none"/>
        </w:rPr>
        <w:t xml:space="preserve">投标人名称（盖章）：                       </w:t>
      </w:r>
    </w:p>
    <w:p>
      <w:pPr>
        <w:rPr>
          <w:rFonts w:hAnsi="宋体" w:cs="宋体"/>
          <w:color w:val="auto"/>
          <w:sz w:val="21"/>
          <w:szCs w:val="21"/>
          <w:highlight w:val="none"/>
        </w:rPr>
      </w:pPr>
      <w:r>
        <w:rPr>
          <w:rFonts w:hint="eastAsia" w:hAnsi="宋体" w:cs="宋体"/>
          <w:color w:val="auto"/>
          <w:sz w:val="21"/>
          <w:szCs w:val="21"/>
          <w:highlight w:val="none"/>
        </w:rPr>
        <w:t>日期：</w:t>
      </w:r>
    </w:p>
    <w:p>
      <w:pPr>
        <w:rPr>
          <w:rFonts w:hAnsi="宋体" w:cs="宋体"/>
          <w:color w:val="auto"/>
          <w:sz w:val="21"/>
          <w:szCs w:val="21"/>
          <w:highlight w:val="none"/>
        </w:rPr>
      </w:pPr>
    </w:p>
    <w:p>
      <w:pPr>
        <w:pStyle w:val="8"/>
        <w:widowControl/>
        <w:numPr>
          <w:ilvl w:val="0"/>
          <w:numId w:val="33"/>
        </w:numPr>
        <w:jc w:val="center"/>
        <w:rPr>
          <w:rFonts w:ascii="宋体" w:hAnsi="宋体" w:eastAsia="宋体" w:cs="宋体"/>
          <w:color w:val="auto"/>
          <w:sz w:val="24"/>
          <w:szCs w:val="24"/>
          <w:highlight w:val="none"/>
        </w:rPr>
      </w:pPr>
      <w:r>
        <w:rPr>
          <w:rFonts w:hint="eastAsia" w:ascii="宋体" w:hAnsi="宋体" w:eastAsia="宋体" w:cs="宋体"/>
          <w:color w:val="auto"/>
          <w:sz w:val="21"/>
          <w:szCs w:val="21"/>
          <w:highlight w:val="none"/>
        </w:rPr>
        <w:br w:type="page"/>
      </w:r>
      <w:bookmarkEnd w:id="89"/>
      <w:r>
        <w:rPr>
          <w:rFonts w:hint="eastAsia" w:ascii="宋体" w:hAnsi="宋体" w:eastAsia="宋体" w:cs="宋体"/>
          <w:color w:val="auto"/>
          <w:highlight w:val="none"/>
        </w:rPr>
        <w:t>项目实施方案</w:t>
      </w:r>
    </w:p>
    <w:p>
      <w:pPr>
        <w:jc w:val="center"/>
        <w:rPr>
          <w:rFonts w:hAnsi="宋体" w:cs="宋体"/>
          <w:color w:val="auto"/>
          <w:sz w:val="32"/>
          <w:szCs w:val="32"/>
          <w:highlight w:val="none"/>
        </w:rPr>
      </w:pPr>
    </w:p>
    <w:p>
      <w:pPr>
        <w:spacing w:line="360" w:lineRule="auto"/>
        <w:ind w:left="778" w:leftChars="200" w:hanging="298" w:hangingChars="142"/>
        <w:rPr>
          <w:rFonts w:hAnsi="宋体" w:cs="宋体"/>
          <w:color w:val="auto"/>
          <w:sz w:val="21"/>
          <w:szCs w:val="21"/>
          <w:highlight w:val="none"/>
        </w:rPr>
      </w:pPr>
      <w:r>
        <w:rPr>
          <w:rFonts w:hint="eastAsia" w:hAnsi="宋体" w:cs="宋体"/>
          <w:color w:val="auto"/>
          <w:sz w:val="21"/>
          <w:szCs w:val="21"/>
          <w:highlight w:val="none"/>
        </w:rPr>
        <w:t>投标人根据用户需求书自行编写。</w:t>
      </w:r>
    </w:p>
    <w:p>
      <w:pPr>
        <w:spacing w:line="360" w:lineRule="auto"/>
        <w:ind w:left="778" w:leftChars="200" w:hanging="298" w:hangingChars="142"/>
        <w:rPr>
          <w:rFonts w:hAnsi="宋体" w:cs="宋体"/>
          <w:color w:val="auto"/>
          <w:sz w:val="21"/>
          <w:szCs w:val="21"/>
          <w:highlight w:val="none"/>
        </w:rPr>
      </w:pPr>
    </w:p>
    <w:p>
      <w:pPr>
        <w:spacing w:line="360" w:lineRule="auto"/>
        <w:ind w:left="778" w:leftChars="200" w:hanging="298" w:hangingChars="142"/>
        <w:rPr>
          <w:rFonts w:hAnsi="宋体" w:cs="宋体"/>
          <w:color w:val="auto"/>
          <w:sz w:val="21"/>
          <w:szCs w:val="21"/>
          <w:highlight w:val="none"/>
        </w:rPr>
      </w:pPr>
    </w:p>
    <w:p>
      <w:pPr>
        <w:rPr>
          <w:rFonts w:hAnsi="宋体" w:cs="宋体"/>
          <w:color w:val="auto"/>
          <w:sz w:val="21"/>
          <w:szCs w:val="21"/>
          <w:highlight w:val="none"/>
        </w:rPr>
      </w:pPr>
    </w:p>
    <w:p>
      <w:pPr>
        <w:rPr>
          <w:rFonts w:hAnsi="宋体" w:cs="宋体"/>
          <w:color w:val="auto"/>
          <w:sz w:val="21"/>
          <w:szCs w:val="21"/>
          <w:highlight w:val="none"/>
        </w:rPr>
      </w:pPr>
    </w:p>
    <w:p>
      <w:pPr>
        <w:spacing w:line="360" w:lineRule="auto"/>
        <w:rPr>
          <w:rFonts w:hAnsi="宋体" w:cs="宋体"/>
          <w:color w:val="auto"/>
          <w:sz w:val="21"/>
          <w:szCs w:val="21"/>
          <w:highlight w:val="none"/>
        </w:rPr>
      </w:pPr>
    </w:p>
    <w:p>
      <w:pPr>
        <w:jc w:val="center"/>
        <w:rPr>
          <w:rFonts w:hAnsi="宋体" w:cs="宋体"/>
          <w:b/>
          <w:color w:val="auto"/>
          <w:highlight w:val="none"/>
        </w:rPr>
      </w:pPr>
    </w:p>
    <w:p>
      <w:pPr>
        <w:rPr>
          <w:rFonts w:hAnsi="宋体" w:cs="宋体"/>
          <w:color w:val="auto"/>
          <w:sz w:val="21"/>
          <w:szCs w:val="21"/>
          <w:highlight w:val="none"/>
        </w:rPr>
      </w:pPr>
      <w:r>
        <w:rPr>
          <w:rFonts w:hAnsi="宋体" w:cs="宋体"/>
          <w:color w:val="auto"/>
          <w:sz w:val="21"/>
          <w:szCs w:val="21"/>
          <w:highlight w:val="none"/>
        </w:rPr>
        <w:br w:type="page"/>
      </w:r>
    </w:p>
    <w:p>
      <w:pPr>
        <w:pStyle w:val="8"/>
        <w:numPr>
          <w:ilvl w:val="0"/>
          <w:numId w:val="26"/>
        </w:numPr>
        <w:overflowPunct w:val="0"/>
        <w:spacing w:before="0" w:after="0" w:line="240" w:lineRule="auto"/>
        <w:rPr>
          <w:rFonts w:ascii="宋体" w:hAnsi="宋体" w:eastAsia="宋体" w:cs="宋体"/>
          <w:color w:val="auto"/>
          <w:sz w:val="21"/>
          <w:szCs w:val="21"/>
          <w:highlight w:val="none"/>
        </w:rPr>
      </w:pPr>
      <w:bookmarkStart w:id="90" w:name="_Toc27534"/>
      <w:r>
        <w:rPr>
          <w:rFonts w:hint="eastAsia" w:ascii="宋体" w:hAnsi="宋体" w:eastAsia="宋体" w:cs="宋体"/>
          <w:color w:val="auto"/>
          <w:sz w:val="32"/>
          <w:szCs w:val="32"/>
          <w:highlight w:val="none"/>
        </w:rPr>
        <w:t>唱标信封（单独编制装订成册，单独封装）</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2" w:type="dxa"/>
          </w:tcPr>
          <w:p>
            <w:pPr>
              <w:spacing w:line="360" w:lineRule="auto"/>
              <w:jc w:val="center"/>
              <w:rPr>
                <w:rFonts w:ascii="黑体" w:hAnsi="黑体" w:eastAsia="黑体"/>
                <w:bCs/>
                <w:color w:val="auto"/>
                <w:sz w:val="50"/>
                <w:szCs w:val="50"/>
                <w:highlight w:val="none"/>
              </w:rPr>
            </w:pPr>
          </w:p>
          <w:p>
            <w:pPr>
              <w:pStyle w:val="15"/>
              <w:ind w:firstLine="1000"/>
              <w:jc w:val="both"/>
              <w:rPr>
                <w:rFonts w:ascii="黑体" w:hAnsi="黑体" w:eastAsia="黑体"/>
                <w:bCs/>
                <w:color w:val="auto"/>
                <w:sz w:val="50"/>
                <w:szCs w:val="50"/>
                <w:highlight w:val="none"/>
              </w:rPr>
            </w:pPr>
          </w:p>
          <w:p>
            <w:pPr>
              <w:pStyle w:val="15"/>
              <w:ind w:firstLine="1000"/>
              <w:jc w:val="both"/>
              <w:rPr>
                <w:rFonts w:ascii="黑体" w:hAnsi="黑体" w:eastAsia="黑体"/>
                <w:bCs/>
                <w:color w:val="auto"/>
                <w:sz w:val="50"/>
                <w:szCs w:val="50"/>
                <w:highlight w:val="none"/>
              </w:rPr>
            </w:pPr>
          </w:p>
          <w:p>
            <w:pPr>
              <w:spacing w:line="360" w:lineRule="auto"/>
              <w:jc w:val="center"/>
              <w:rPr>
                <w:rFonts w:ascii="黑体" w:hAnsi="黑体" w:eastAsia="黑体"/>
                <w:b/>
                <w:color w:val="auto"/>
                <w:szCs w:val="21"/>
                <w:highlight w:val="none"/>
              </w:rPr>
            </w:pPr>
            <w:r>
              <w:rPr>
                <w:rFonts w:hint="eastAsia" w:ascii="黑体" w:hAnsi="黑体" w:eastAsia="黑体"/>
                <w:bCs/>
                <w:color w:val="auto"/>
                <w:sz w:val="50"/>
                <w:szCs w:val="50"/>
                <w:highlight w:val="none"/>
              </w:rPr>
              <w:t>（  项   目   名   称  ）</w:t>
            </w:r>
          </w:p>
          <w:p>
            <w:pPr>
              <w:spacing w:line="360" w:lineRule="auto"/>
              <w:jc w:val="center"/>
              <w:rPr>
                <w:rFonts w:ascii="黑体" w:hAnsi="黑体" w:eastAsia="黑体"/>
                <w:b/>
                <w:color w:val="auto"/>
                <w:szCs w:val="21"/>
                <w:highlight w:val="none"/>
              </w:rPr>
            </w:pPr>
            <w:r>
              <w:rPr>
                <w:rFonts w:hint="eastAsia" w:ascii="黑体" w:hAnsi="黑体" w:eastAsia="黑体"/>
                <w:b/>
                <w:color w:val="auto"/>
                <w:szCs w:val="21"/>
                <w:highlight w:val="none"/>
              </w:rPr>
              <w:t>（项目编号：</w:t>
            </w:r>
            <w:r>
              <w:rPr>
                <w:rFonts w:ascii="黑体" w:hAnsi="黑体" w:eastAsia="黑体"/>
                <w:b/>
                <w:color w:val="auto"/>
                <w:szCs w:val="21"/>
                <w:highlight w:val="none"/>
                <w:u w:val="single"/>
              </w:rPr>
              <w:t xml:space="preserve">             </w:t>
            </w:r>
            <w:r>
              <w:rPr>
                <w:rFonts w:hint="eastAsia" w:ascii="黑体" w:hAnsi="黑体" w:eastAsia="黑体"/>
                <w:b/>
                <w:color w:val="auto"/>
                <w:szCs w:val="21"/>
                <w:highlight w:val="none"/>
              </w:rPr>
              <w:t>）</w:t>
            </w:r>
          </w:p>
          <w:p>
            <w:pPr>
              <w:spacing w:line="360" w:lineRule="auto"/>
              <w:jc w:val="center"/>
              <w:rPr>
                <w:rFonts w:ascii="黑体" w:hAnsi="黑体" w:eastAsia="黑体"/>
                <w:b/>
                <w:color w:val="auto"/>
                <w:szCs w:val="21"/>
                <w:highlight w:val="none"/>
              </w:rPr>
            </w:pPr>
            <w:r>
              <w:rPr>
                <w:rFonts w:hint="eastAsia" w:ascii="黑体" w:hAnsi="黑体" w:eastAsia="黑体"/>
                <w:b/>
                <w:color w:val="auto"/>
                <w:szCs w:val="21"/>
                <w:highlight w:val="none"/>
              </w:rPr>
              <w:t>（包组号：</w:t>
            </w:r>
            <w:r>
              <w:rPr>
                <w:rFonts w:ascii="黑体" w:hAnsi="黑体" w:eastAsia="黑体"/>
                <w:b/>
                <w:color w:val="auto"/>
                <w:szCs w:val="21"/>
                <w:highlight w:val="none"/>
                <w:u w:val="single"/>
              </w:rPr>
              <w:t xml:space="preserve">    </w:t>
            </w:r>
            <w:r>
              <w:rPr>
                <w:rFonts w:hint="eastAsia" w:ascii="黑体" w:hAnsi="黑体" w:eastAsia="黑体"/>
                <w:bCs/>
                <w:color w:val="auto"/>
                <w:szCs w:val="21"/>
                <w:highlight w:val="none"/>
                <w:u w:val="single"/>
              </w:rPr>
              <w:t>如有</w:t>
            </w:r>
            <w:r>
              <w:rPr>
                <w:rFonts w:ascii="黑体" w:hAnsi="黑体" w:eastAsia="黑体"/>
                <w:b/>
                <w:color w:val="auto"/>
                <w:szCs w:val="21"/>
                <w:highlight w:val="none"/>
                <w:u w:val="single"/>
              </w:rPr>
              <w:t xml:space="preserve">     </w:t>
            </w:r>
            <w:r>
              <w:rPr>
                <w:rFonts w:hint="eastAsia" w:ascii="黑体" w:hAnsi="黑体" w:eastAsia="黑体"/>
                <w:b/>
                <w:color w:val="auto"/>
                <w:szCs w:val="21"/>
                <w:highlight w:val="none"/>
              </w:rPr>
              <w:t>）</w:t>
            </w:r>
          </w:p>
          <w:p>
            <w:pPr>
              <w:spacing w:before="1080" w:beforeLines="450" w:line="360" w:lineRule="auto"/>
              <w:jc w:val="center"/>
              <w:rPr>
                <w:rFonts w:ascii="黑体" w:hAnsi="黑体" w:eastAsia="黑体"/>
                <w:b/>
                <w:color w:val="auto"/>
                <w:spacing w:val="60"/>
                <w:sz w:val="72"/>
                <w:szCs w:val="72"/>
                <w:highlight w:val="none"/>
              </w:rPr>
            </w:pPr>
            <w:r>
              <w:rPr>
                <w:rFonts w:hint="eastAsia" w:ascii="黑体" w:hAnsi="黑体" w:eastAsia="黑体"/>
                <w:b/>
                <w:color w:val="auto"/>
                <w:spacing w:val="60"/>
                <w:sz w:val="72"/>
                <w:szCs w:val="72"/>
                <w:highlight w:val="none"/>
              </w:rPr>
              <w:t>唱标信封</w:t>
            </w:r>
          </w:p>
          <w:p>
            <w:pPr>
              <w:spacing w:after="1200" w:afterLines="500" w:line="360" w:lineRule="auto"/>
              <w:jc w:val="center"/>
              <w:rPr>
                <w:rFonts w:ascii="黑体" w:hAnsi="黑体" w:eastAsia="黑体"/>
                <w:b/>
                <w:color w:val="auto"/>
                <w:szCs w:val="21"/>
                <w:highlight w:val="none"/>
              </w:rPr>
            </w:pPr>
            <w:r>
              <w:rPr>
                <w:rFonts w:hint="eastAsia" w:ascii="黑体" w:hAnsi="黑体" w:eastAsia="黑体"/>
                <w:b/>
                <w:color w:val="auto"/>
                <w:szCs w:val="21"/>
                <w:highlight w:val="none"/>
              </w:rPr>
              <w:t>（封面格式仅供参考）</w:t>
            </w:r>
          </w:p>
          <w:tbl>
            <w:tblPr>
              <w:tblStyle w:val="52"/>
              <w:tblW w:w="4184" w:type="pct"/>
              <w:jc w:val="center"/>
              <w:tblLayout w:type="autofit"/>
              <w:tblCellMar>
                <w:top w:w="0" w:type="dxa"/>
                <w:left w:w="108" w:type="dxa"/>
                <w:bottom w:w="0" w:type="dxa"/>
                <w:right w:w="108" w:type="dxa"/>
              </w:tblCellMar>
            </w:tblPr>
            <w:tblGrid>
              <w:gridCol w:w="2160"/>
              <w:gridCol w:w="5445"/>
            </w:tblGrid>
            <w:tr>
              <w:tblPrEx>
                <w:tblCellMar>
                  <w:top w:w="0" w:type="dxa"/>
                  <w:left w:w="108" w:type="dxa"/>
                  <w:bottom w:w="0" w:type="dxa"/>
                  <w:right w:w="108" w:type="dxa"/>
                </w:tblCellMar>
              </w:tblPrEx>
              <w:trPr>
                <w:trHeight w:val="507" w:hRule="atLeast"/>
                <w:jc w:val="center"/>
              </w:trPr>
              <w:tc>
                <w:tcPr>
                  <w:tcW w:w="1420" w:type="pct"/>
                  <w:vAlign w:val="center"/>
                </w:tcPr>
                <w:p>
                  <w:pPr>
                    <w:spacing w:line="360" w:lineRule="auto"/>
                    <w:jc w:val="center"/>
                    <w:rPr>
                      <w:rFonts w:ascii="黑体" w:hAnsi="黑体" w:eastAsia="黑体"/>
                      <w:color w:val="auto"/>
                      <w:highlight w:val="none"/>
                    </w:rPr>
                  </w:pPr>
                  <w:r>
                    <w:rPr>
                      <w:rFonts w:hint="eastAsia" w:ascii="黑体" w:hAnsi="黑体" w:eastAsia="黑体"/>
                      <w:color w:val="auto"/>
                      <w:highlight w:val="none"/>
                    </w:rPr>
                    <w:t>投标人全称：</w:t>
                  </w:r>
                </w:p>
              </w:tc>
              <w:tc>
                <w:tcPr>
                  <w:tcW w:w="3579" w:type="pct"/>
                  <w:vAlign w:val="center"/>
                </w:tcPr>
                <w:p>
                  <w:pPr>
                    <w:spacing w:line="360" w:lineRule="auto"/>
                    <w:rPr>
                      <w:rFonts w:ascii="黑体" w:hAnsi="黑体" w:eastAsia="黑体"/>
                      <w:color w:val="auto"/>
                      <w:highlight w:val="none"/>
                      <w:u w:val="single"/>
                    </w:rPr>
                  </w:pPr>
                  <w:r>
                    <w:rPr>
                      <w:rFonts w:ascii="黑体" w:hAnsi="黑体" w:eastAsia="黑体"/>
                      <w:color w:val="auto"/>
                      <w:highlight w:val="none"/>
                      <w:u w:val="single"/>
                    </w:rPr>
                    <w:t xml:space="preserve">                                       </w:t>
                  </w:r>
                </w:p>
              </w:tc>
            </w:tr>
            <w:tr>
              <w:tblPrEx>
                <w:tblCellMar>
                  <w:top w:w="0" w:type="dxa"/>
                  <w:left w:w="108" w:type="dxa"/>
                  <w:bottom w:w="0" w:type="dxa"/>
                  <w:right w:w="108" w:type="dxa"/>
                </w:tblCellMar>
              </w:tblPrEx>
              <w:trPr>
                <w:trHeight w:val="556" w:hRule="atLeast"/>
                <w:jc w:val="center"/>
              </w:trPr>
              <w:tc>
                <w:tcPr>
                  <w:tcW w:w="1420" w:type="pct"/>
                  <w:vAlign w:val="center"/>
                </w:tcPr>
                <w:p>
                  <w:pPr>
                    <w:spacing w:line="360" w:lineRule="auto"/>
                    <w:jc w:val="center"/>
                    <w:rPr>
                      <w:rFonts w:ascii="黑体" w:hAnsi="黑体" w:eastAsia="黑体"/>
                      <w:color w:val="auto"/>
                      <w:highlight w:val="none"/>
                    </w:rPr>
                  </w:pPr>
                  <w:r>
                    <w:rPr>
                      <w:rFonts w:hint="eastAsia" w:ascii="黑体" w:hAnsi="黑体" w:eastAsia="黑体"/>
                      <w:color w:val="auto"/>
                      <w:highlight w:val="none"/>
                    </w:rPr>
                    <w:t>投标人地址：</w:t>
                  </w:r>
                </w:p>
              </w:tc>
              <w:tc>
                <w:tcPr>
                  <w:tcW w:w="3579" w:type="pct"/>
                  <w:vAlign w:val="center"/>
                </w:tcPr>
                <w:p>
                  <w:pPr>
                    <w:spacing w:line="360" w:lineRule="auto"/>
                    <w:rPr>
                      <w:rFonts w:ascii="黑体" w:hAnsi="黑体" w:eastAsia="黑体"/>
                      <w:color w:val="auto"/>
                      <w:highlight w:val="none"/>
                      <w:u w:val="single"/>
                    </w:rPr>
                  </w:pPr>
                  <w:r>
                    <w:rPr>
                      <w:rFonts w:ascii="黑体" w:hAnsi="黑体" w:eastAsia="黑体"/>
                      <w:color w:val="auto"/>
                      <w:highlight w:val="none"/>
                      <w:u w:val="single"/>
                    </w:rPr>
                    <w:t xml:space="preserve">                                       </w:t>
                  </w:r>
                </w:p>
              </w:tc>
            </w:tr>
            <w:tr>
              <w:tblPrEx>
                <w:tblCellMar>
                  <w:top w:w="0" w:type="dxa"/>
                  <w:left w:w="108" w:type="dxa"/>
                  <w:bottom w:w="0" w:type="dxa"/>
                  <w:right w:w="108" w:type="dxa"/>
                </w:tblCellMar>
              </w:tblPrEx>
              <w:trPr>
                <w:trHeight w:val="550" w:hRule="atLeast"/>
                <w:jc w:val="center"/>
              </w:trPr>
              <w:tc>
                <w:tcPr>
                  <w:tcW w:w="1420" w:type="pct"/>
                  <w:vAlign w:val="center"/>
                </w:tcPr>
                <w:p>
                  <w:pPr>
                    <w:spacing w:line="360" w:lineRule="auto"/>
                    <w:jc w:val="center"/>
                    <w:rPr>
                      <w:rFonts w:ascii="黑体" w:hAnsi="黑体" w:eastAsia="黑体"/>
                      <w:color w:val="auto"/>
                      <w:spacing w:val="-10"/>
                      <w:highlight w:val="none"/>
                    </w:rPr>
                  </w:pPr>
                  <w:r>
                    <w:rPr>
                      <w:rFonts w:hint="eastAsia" w:ascii="黑体" w:hAnsi="黑体" w:eastAsia="黑体"/>
                      <w:color w:val="auto"/>
                      <w:spacing w:val="-10"/>
                      <w:highlight w:val="none"/>
                    </w:rPr>
                    <w:t>投标人联系人：</w:t>
                  </w:r>
                </w:p>
              </w:tc>
              <w:tc>
                <w:tcPr>
                  <w:tcW w:w="3579" w:type="pct"/>
                  <w:vAlign w:val="center"/>
                </w:tcPr>
                <w:p>
                  <w:pPr>
                    <w:spacing w:line="360" w:lineRule="auto"/>
                    <w:rPr>
                      <w:rFonts w:ascii="黑体" w:hAnsi="黑体" w:eastAsia="黑体"/>
                      <w:color w:val="auto"/>
                      <w:highlight w:val="none"/>
                      <w:u w:val="single"/>
                    </w:rPr>
                  </w:pPr>
                  <w:r>
                    <w:rPr>
                      <w:rFonts w:ascii="黑体" w:hAnsi="黑体" w:eastAsia="黑体"/>
                      <w:color w:val="auto"/>
                      <w:highlight w:val="none"/>
                      <w:u w:val="single"/>
                    </w:rPr>
                    <w:t xml:space="preserve">                                       </w:t>
                  </w:r>
                </w:p>
              </w:tc>
            </w:tr>
            <w:tr>
              <w:tblPrEx>
                <w:tblCellMar>
                  <w:top w:w="0" w:type="dxa"/>
                  <w:left w:w="108" w:type="dxa"/>
                  <w:bottom w:w="0" w:type="dxa"/>
                  <w:right w:w="108" w:type="dxa"/>
                </w:tblCellMar>
              </w:tblPrEx>
              <w:trPr>
                <w:trHeight w:val="558" w:hRule="atLeast"/>
                <w:jc w:val="center"/>
              </w:trPr>
              <w:tc>
                <w:tcPr>
                  <w:tcW w:w="1420" w:type="pct"/>
                  <w:vAlign w:val="center"/>
                </w:tcPr>
                <w:p>
                  <w:pPr>
                    <w:spacing w:line="360" w:lineRule="auto"/>
                    <w:jc w:val="center"/>
                    <w:rPr>
                      <w:rFonts w:ascii="黑体" w:hAnsi="黑体" w:eastAsia="黑体"/>
                      <w:color w:val="auto"/>
                      <w:highlight w:val="none"/>
                    </w:rPr>
                  </w:pPr>
                  <w:r>
                    <w:rPr>
                      <w:rFonts w:hint="eastAsia" w:ascii="黑体" w:hAnsi="黑体" w:eastAsia="黑体"/>
                      <w:color w:val="auto"/>
                      <w:highlight w:val="none"/>
                    </w:rPr>
                    <w:t xml:space="preserve"> 投标人联系电话：</w:t>
                  </w:r>
                </w:p>
              </w:tc>
              <w:tc>
                <w:tcPr>
                  <w:tcW w:w="3579" w:type="pct"/>
                  <w:vAlign w:val="center"/>
                </w:tcPr>
                <w:p>
                  <w:pPr>
                    <w:spacing w:line="360" w:lineRule="auto"/>
                    <w:rPr>
                      <w:rFonts w:ascii="黑体" w:hAnsi="黑体" w:eastAsia="黑体"/>
                      <w:color w:val="auto"/>
                      <w:highlight w:val="none"/>
                      <w:u w:val="single"/>
                    </w:rPr>
                  </w:pPr>
                  <w:r>
                    <w:rPr>
                      <w:rFonts w:ascii="黑体" w:hAnsi="黑体" w:eastAsia="黑体"/>
                      <w:color w:val="auto"/>
                      <w:highlight w:val="none"/>
                      <w:u w:val="single"/>
                    </w:rPr>
                    <w:t xml:space="preserve">                                       </w:t>
                  </w:r>
                </w:p>
              </w:tc>
            </w:tr>
          </w:tbl>
          <w:p>
            <w:pPr>
              <w:spacing w:line="360" w:lineRule="auto"/>
              <w:jc w:val="both"/>
              <w:rPr>
                <w:rFonts w:ascii="黑体" w:hAnsi="黑体" w:eastAsia="黑体"/>
                <w:color w:val="auto"/>
                <w:szCs w:val="21"/>
                <w:highlight w:val="none"/>
              </w:rPr>
            </w:pPr>
          </w:p>
          <w:p>
            <w:pPr>
              <w:spacing w:before="240" w:beforeLines="100" w:after="120" w:afterLines="50" w:line="360" w:lineRule="auto"/>
              <w:jc w:val="center"/>
              <w:rPr>
                <w:rFonts w:ascii="黑体" w:hAnsi="黑体" w:eastAsia="黑体"/>
                <w:b/>
                <w:bCs/>
                <w:color w:val="auto"/>
                <w:spacing w:val="40"/>
                <w:highlight w:val="none"/>
              </w:rPr>
            </w:pPr>
            <w:r>
              <w:rPr>
                <w:rFonts w:hint="eastAsia" w:ascii="黑体" w:hAnsi="黑体" w:eastAsia="黑体"/>
                <w:b/>
                <w:color w:val="auto"/>
                <w:spacing w:val="40"/>
                <w:highlight w:val="none"/>
              </w:rPr>
              <w:t>日期：</w:t>
            </w:r>
            <w:r>
              <w:rPr>
                <w:rFonts w:hint="eastAsia" w:ascii="黑体" w:hAnsi="黑体" w:eastAsia="黑体"/>
                <w:b/>
                <w:color w:val="auto"/>
                <w:spacing w:val="20"/>
                <w:szCs w:val="21"/>
                <w:highlight w:val="none"/>
              </w:rPr>
              <w:t xml:space="preserve">    </w:t>
            </w:r>
            <w:r>
              <w:rPr>
                <w:rFonts w:hint="eastAsia" w:ascii="黑体" w:hAnsi="黑体" w:eastAsia="黑体"/>
                <w:b/>
                <w:color w:val="auto"/>
                <w:spacing w:val="40"/>
                <w:highlight w:val="none"/>
              </w:rPr>
              <w:t>年</w:t>
            </w:r>
            <w:r>
              <w:rPr>
                <w:rFonts w:ascii="黑体" w:hAnsi="黑体" w:eastAsia="黑体"/>
                <w:b/>
                <w:color w:val="auto"/>
                <w:spacing w:val="40"/>
                <w:highlight w:val="none"/>
              </w:rPr>
              <w:t xml:space="preserve"> </w:t>
            </w:r>
            <w:r>
              <w:rPr>
                <w:rFonts w:hint="eastAsia" w:ascii="黑体" w:hAnsi="黑体" w:eastAsia="黑体"/>
                <w:b/>
                <w:color w:val="auto"/>
                <w:spacing w:val="40"/>
                <w:highlight w:val="none"/>
              </w:rPr>
              <w:t>月 日</w:t>
            </w:r>
          </w:p>
          <w:p>
            <w:pPr>
              <w:spacing w:line="360" w:lineRule="auto"/>
              <w:jc w:val="center"/>
              <w:outlineLvl w:val="3"/>
              <w:rPr>
                <w:rFonts w:hAnsi="宋体" w:cs="宋体"/>
                <w:color w:val="auto"/>
                <w:kern w:val="2"/>
                <w:sz w:val="21"/>
                <w:szCs w:val="21"/>
                <w:highlight w:val="none"/>
                <w:lang w:val="zh-CN"/>
              </w:rPr>
            </w:pPr>
          </w:p>
        </w:tc>
      </w:tr>
    </w:tbl>
    <w:p>
      <w:pPr>
        <w:spacing w:line="360" w:lineRule="auto"/>
        <w:rPr>
          <w:rFonts w:hAnsi="宋体" w:cs="宋体"/>
          <w:color w:val="auto"/>
          <w:sz w:val="21"/>
          <w:szCs w:val="21"/>
          <w:highlight w:val="none"/>
        </w:rPr>
      </w:pPr>
      <w:r>
        <w:rPr>
          <w:rStyle w:val="166"/>
          <w:rFonts w:hint="eastAsia" w:ascii="宋体" w:hAnsi="宋体" w:eastAsia="宋体" w:cs="宋体"/>
          <w:color w:val="auto"/>
          <w:sz w:val="21"/>
          <w:szCs w:val="21"/>
          <w:highlight w:val="none"/>
        </w:rPr>
        <w:br w:type="page"/>
      </w:r>
      <w:r>
        <w:rPr>
          <w:rFonts w:hint="eastAsia" w:hAnsi="宋体" w:cs="宋体"/>
          <w:color w:val="auto"/>
          <w:sz w:val="21"/>
          <w:szCs w:val="21"/>
          <w:highlight w:val="none"/>
        </w:rPr>
        <w:t>唱标信封内装（内容务必与投标文件正本一致）：</w:t>
      </w:r>
    </w:p>
    <w:p>
      <w:pPr>
        <w:numPr>
          <w:ilvl w:val="0"/>
          <w:numId w:val="34"/>
        </w:numPr>
        <w:spacing w:line="360" w:lineRule="auto"/>
        <w:ind w:firstLineChars="200"/>
        <w:rPr>
          <w:rFonts w:hAnsi="宋体" w:cs="宋体"/>
          <w:color w:val="auto"/>
          <w:sz w:val="21"/>
          <w:szCs w:val="21"/>
          <w:highlight w:val="none"/>
        </w:rPr>
      </w:pPr>
      <w:r>
        <w:rPr>
          <w:rFonts w:hint="eastAsia" w:hAnsi="宋体" w:cs="宋体"/>
          <w:color w:val="auto"/>
          <w:sz w:val="21"/>
          <w:szCs w:val="21"/>
          <w:highlight w:val="none"/>
        </w:rPr>
        <w:t>投标函加盖投标人公章；</w:t>
      </w:r>
    </w:p>
    <w:p>
      <w:pPr>
        <w:numPr>
          <w:ilvl w:val="0"/>
          <w:numId w:val="34"/>
        </w:numPr>
        <w:spacing w:line="360" w:lineRule="auto"/>
        <w:ind w:firstLineChars="200"/>
        <w:rPr>
          <w:rFonts w:hAnsi="宋体" w:cs="宋体"/>
          <w:color w:val="auto"/>
          <w:sz w:val="21"/>
          <w:szCs w:val="21"/>
          <w:highlight w:val="none"/>
        </w:rPr>
      </w:pPr>
      <w:r>
        <w:rPr>
          <w:rFonts w:hint="eastAsia" w:hAnsi="宋体" w:cs="宋体"/>
          <w:color w:val="auto"/>
          <w:sz w:val="21"/>
          <w:szCs w:val="21"/>
          <w:highlight w:val="none"/>
        </w:rPr>
        <w:t>开标一览表</w:t>
      </w:r>
    </w:p>
    <w:p>
      <w:pPr>
        <w:numPr>
          <w:ilvl w:val="0"/>
          <w:numId w:val="34"/>
        </w:numPr>
        <w:spacing w:line="360" w:lineRule="auto"/>
        <w:ind w:firstLineChars="200"/>
        <w:rPr>
          <w:rFonts w:hAnsi="宋体" w:cs="宋体"/>
          <w:color w:val="auto"/>
          <w:sz w:val="21"/>
          <w:szCs w:val="21"/>
          <w:highlight w:val="none"/>
        </w:rPr>
      </w:pPr>
      <w:r>
        <w:rPr>
          <w:rFonts w:hint="eastAsia" w:hAnsi="宋体" w:cs="宋体"/>
          <w:color w:val="auto"/>
          <w:sz w:val="21"/>
          <w:szCs w:val="21"/>
          <w:highlight w:val="none"/>
        </w:rPr>
        <w:t>法定代表人证明书加盖公章；</w:t>
      </w:r>
    </w:p>
    <w:p>
      <w:pPr>
        <w:numPr>
          <w:ilvl w:val="0"/>
          <w:numId w:val="34"/>
        </w:numPr>
        <w:spacing w:line="360" w:lineRule="auto"/>
        <w:ind w:firstLineChars="200"/>
        <w:rPr>
          <w:rFonts w:hAnsi="宋体" w:cs="宋体"/>
          <w:color w:val="auto"/>
          <w:sz w:val="21"/>
          <w:szCs w:val="21"/>
          <w:highlight w:val="none"/>
        </w:rPr>
      </w:pPr>
      <w:r>
        <w:rPr>
          <w:rFonts w:hint="eastAsia" w:hAnsi="宋体" w:cs="宋体"/>
          <w:color w:val="auto"/>
          <w:sz w:val="21"/>
          <w:szCs w:val="21"/>
          <w:highlight w:val="none"/>
        </w:rPr>
        <w:t>法定代表人授权委托书加盖公章（法定代表人投标的除外）；</w:t>
      </w:r>
    </w:p>
    <w:p>
      <w:pPr>
        <w:numPr>
          <w:ilvl w:val="0"/>
          <w:numId w:val="34"/>
        </w:numPr>
        <w:spacing w:line="360" w:lineRule="auto"/>
        <w:ind w:firstLineChars="200"/>
        <w:rPr>
          <w:rFonts w:hAnsi="宋体" w:cs="宋体"/>
          <w:color w:val="auto"/>
          <w:sz w:val="21"/>
          <w:szCs w:val="21"/>
          <w:highlight w:val="none"/>
        </w:rPr>
      </w:pPr>
      <w:r>
        <w:rPr>
          <w:rFonts w:hint="eastAsia" w:hAnsi="宋体" w:cs="宋体"/>
          <w:color w:val="auto"/>
          <w:sz w:val="21"/>
          <w:szCs w:val="21"/>
          <w:highlight w:val="none"/>
        </w:rPr>
        <w:t>投标保证金汇入情况说明（含银行汇款凭证）或投标保函加盖公章；</w:t>
      </w:r>
    </w:p>
    <w:p>
      <w:pPr>
        <w:numPr>
          <w:ilvl w:val="0"/>
          <w:numId w:val="34"/>
        </w:numPr>
        <w:spacing w:line="360" w:lineRule="auto"/>
        <w:ind w:firstLineChars="200"/>
        <w:rPr>
          <w:rFonts w:hAnsi="宋体" w:cs="宋体"/>
          <w:color w:val="auto"/>
          <w:sz w:val="21"/>
          <w:szCs w:val="21"/>
          <w:highlight w:val="none"/>
        </w:rPr>
      </w:pPr>
      <w:r>
        <w:rPr>
          <w:rFonts w:hint="eastAsia" w:hAnsi="宋体" w:cs="宋体"/>
          <w:color w:val="auto"/>
          <w:sz w:val="21"/>
          <w:szCs w:val="21"/>
          <w:highlight w:val="none"/>
        </w:rPr>
        <w:t>投标文件电子文件（签名、盖章后的投标文件PDF格式扫描版电子文件, 可采用光盘介质或U盘装载）；</w:t>
      </w:r>
    </w:p>
    <w:bookmarkEnd w:id="51"/>
    <w:bookmarkEnd w:id="90"/>
    <w:p>
      <w:pPr>
        <w:pStyle w:val="23"/>
        <w:snapToGrid w:val="0"/>
        <w:spacing w:line="360" w:lineRule="auto"/>
        <w:ind w:left="0" w:leftChars="0"/>
        <w:rPr>
          <w:rFonts w:hAnsi="宋体" w:cs="宋体"/>
          <w:color w:val="auto"/>
          <w:szCs w:val="21"/>
          <w:highlight w:val="none"/>
        </w:rPr>
      </w:pPr>
    </w:p>
    <w:sectPr>
      <w:headerReference r:id="rId8" w:type="first"/>
      <w:footerReference r:id="rId11" w:type="first"/>
      <w:headerReference r:id="rId7" w:type="default"/>
      <w:footerReference r:id="rId9" w:type="default"/>
      <w:footerReference r:id="rId10" w:type="even"/>
      <w:type w:val="nextColumn"/>
      <w:pgSz w:w="11922" w:h="16840"/>
      <w:pgMar w:top="1440" w:right="1417" w:bottom="1440" w:left="1417" w:header="0" w:footer="907" w:gutter="0"/>
      <w:pgNumType w:start="2"/>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5F77ADC-5856-4571-B551-6A4AA51E8B88}"/>
  </w:font>
  <w:font w:name="黑体">
    <w:panose1 w:val="02010609060101010101"/>
    <w:charset w:val="86"/>
    <w:family w:val="auto"/>
    <w:pitch w:val="default"/>
    <w:sig w:usb0="800002BF" w:usb1="38CF7CFA" w:usb2="00000016" w:usb3="00000000" w:csb0="00040001" w:csb1="00000000"/>
    <w:embedRegular r:id="rId2" w:fontKey="{8BA78C28-9A51-41E9-88E4-C9CD4D9BE84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embedRegular r:id="rId3" w:fontKey="{8281ADFF-8A3B-4493-8C54-0E9CE2F6873E}"/>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embedRegular r:id="rId4" w:fontKey="{4B261136-D542-4AC1-B69A-9BEFE87FE6AB}"/>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ˎ̥">
    <w:altName w:val="Times New Roman"/>
    <w:panose1 w:val="00000000000000000000"/>
    <w:charset w:val="00"/>
    <w:family w:val="roman"/>
    <w:pitch w:val="default"/>
    <w:sig w:usb0="00000000" w:usb1="00000000" w:usb2="00000000" w:usb3="00000000" w:csb0="00040001" w:csb1="00000000"/>
    <w:embedRegular r:id="rId5" w:fontKey="{8DAA4D98-92A3-4807-B95A-79FAA76D8C1F}"/>
  </w:font>
  <w:font w:name="时尚中黑简体">
    <w:altName w:val="黑体"/>
    <w:panose1 w:val="00000000000000000000"/>
    <w:charset w:val="86"/>
    <w:family w:val="auto"/>
    <w:pitch w:val="default"/>
    <w:sig w:usb0="00000000" w:usb1="00000000" w:usb2="00000012" w:usb3="00000000" w:csb0="00040001" w:csb1="00000000"/>
    <w:embedRegular r:id="rId6" w:fontKey="{DCA7DCC6-B987-4665-97F0-33AD36AF5C6C}"/>
  </w:font>
  <w:font w:name="Wingdings 2">
    <w:panose1 w:val="05020102010507070707"/>
    <w:charset w:val="02"/>
    <w:family w:val="roman"/>
    <w:pitch w:val="default"/>
    <w:sig w:usb0="00000000" w:usb1="00000000" w:usb2="00000000" w:usb3="00000000" w:csb0="80000000" w:csb1="00000000"/>
    <w:embedRegular r:id="rId7" w:fontKey="{2BDAFD84-3F2D-4714-A3F5-321602895F4F}"/>
  </w:font>
  <w:font w:name="方正小标宋简体">
    <w:altName w:val="黑体"/>
    <w:panose1 w:val="00000000000000000000"/>
    <w:charset w:val="86"/>
    <w:family w:val="auto"/>
    <w:pitch w:val="default"/>
    <w:sig w:usb0="00000000" w:usb1="00000000" w:usb2="00000000" w:usb3="00000000" w:csb0="00040000" w:csb1="00000000"/>
    <w:embedRegular r:id="rId8" w:fontKey="{28FDF2FD-7A59-4486-BD95-A15E8115DEA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56"/>
      </w:rPr>
    </w:pPr>
    <w:r>
      <w:fldChar w:fldCharType="begin"/>
    </w:r>
    <w:r>
      <w:rPr>
        <w:rStyle w:val="56"/>
      </w:rPr>
      <w:instrText xml:space="preserve">PAGE  </w:instrText>
    </w:r>
    <w:r>
      <w:fldChar w:fldCharType="separate"/>
    </w:r>
    <w:r>
      <w:rPr>
        <w:rStyle w:val="56"/>
      </w:rPr>
      <w:t>5</w:t>
    </w:r>
    <w:r>
      <w:fldChar w:fldCharType="end"/>
    </w:r>
  </w:p>
  <w:p>
    <w:pPr>
      <w:pStyle w:val="3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rPr>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3"/>
                          </w:pPr>
                          <w:r>
                            <w:fldChar w:fldCharType="begin"/>
                          </w:r>
                          <w:r>
                            <w:instrText xml:space="preserve"> PAGE  \* MERGEFORMAT </w:instrText>
                          </w:r>
                          <w:r>
                            <w:fldChar w:fldCharType="separate"/>
                          </w:r>
                          <w:r>
                            <w:t>45</w:t>
                          </w:r>
                          <w:r>
                            <w:fldChar w:fldCharType="end"/>
                          </w:r>
                        </w:p>
                      </w:txbxContent>
                    </wps:txbx>
                    <wps:bodyPr wrap="none" lIns="0" tIns="0" rIns="0" bIns="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uiCsXMAQAAmAMAAA4AAABkcnMvZTJvRG9jLnhtbK1TS27bMBDd&#10;F8gdCO5jyQbSCILloIWRIEDRFkh7AJoiLQL8gUNb8gXaG3TVTfc9l8/RISU5RbrJohtqhjN8M+/N&#10;aH03GE2OIoBytqHLRUmJsNy1yu4b+vXL/XVFCURmW6adFQ09CaB3m6s3697XYuU6p1sRCIJYqHvf&#10;0C5GXxcF8E4YBgvnhcWgdMGwiG7YF21gPaIbXazK8m3Ru9D64LgAwNvtGKQTYngNoJNScbF1/GCE&#10;jSNqEJpFpASd8kA3uVspBY+fpAQRiW4oMo35xCJo79JZbNas3gfmO8WnFthrWnjByTBlsegFassi&#10;I4eg/oEyigcHTsYFd6YYiWRFkMWyfKHNU8e8yFxQavAX0eH/wfKPx8+BqLaht5RYZnDg5x/fzz9/&#10;n399I8sq6dN7qDHtyWNiHN67Abdmvge8TLQHGUz6IiGCcVT3dFFXDJHw9KhaVVWJIY6x2UH84vm5&#10;DxAfhDMkGQ0NOL6sKjt+gDimzimpmnX3Sus8Qm1Jj6g31e1NfnEJIbq2WCSxGLtNVhx2w0Rt59oT&#10;MutxBxpqceUp0Y8WJU7rMhthNnaTkcqDf3eI2ELuLKGOUFMxHFjmNi1X2oi//Zz1/ENt/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q6IKxcwBAACYAwAADgAAAAAAAAABACAAAAAiAQAAZHJz&#10;L2Uyb0RvYy54bWxQSwUGAAAAAAYABgBZAQAAYAUAAAAA&#10;">
              <v:fill on="f" focussize="0,0"/>
              <v:stroke on="f" weight="1.25pt"/>
              <v:imagedata o:title=""/>
              <o:lock v:ext="edit" aspectratio="f"/>
              <v:textbox inset="0mm,0mm,0mm,0mm" style="mso-fit-shape-to-text:t;">
                <w:txbxContent>
                  <w:p>
                    <w:pPr>
                      <w:pStyle w:val="33"/>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56"/>
      </w:rPr>
    </w:pPr>
    <w:r>
      <w:fldChar w:fldCharType="begin"/>
    </w:r>
    <w:r>
      <w:rPr>
        <w:rStyle w:val="56"/>
      </w:rPr>
      <w:instrText xml:space="preserve">PAGE  </w:instrText>
    </w:r>
    <w:r>
      <w:fldChar w:fldCharType="separate"/>
    </w:r>
    <w:r>
      <w:fldChar w:fldCharType="end"/>
    </w:r>
  </w:p>
  <w:p>
    <w:pPr>
      <w:pStyle w:val="3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43</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56</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D2eWrMAQAAmAMAAA4AAABkcnMvZTJvRG9jLnhtbK1TS27bMBDd&#10;F+gdCO5ryQaSCILlIIWRokDRFkhzAJoiLQL8gUNb8gXaG3TVTfc9l8/RISU5RbrJIhtqhjN8M+/N&#10;aH07GE2OIoBytqHLRUmJsNy1yu4b+vjt/l1FCURmW6adFQ09CaC3m7dv1r2vxcp1TrciEASxUPe+&#10;oV2Mvi4K4J0wDBbOC4tB6YJhEd2wL9rAekQ3uliV5XXRu9D64LgAwNvtGKQTYngJoJNScbF1/GCE&#10;jSNqEJpFpASd8kA3uVspBY9fpAQRiW4oMo35xCJo79JZbNas3gfmO8WnFthLWnjGyTBlsegFassi&#10;I4eg/oMyigcHTsYFd6YYiWRFkMWyfKbNQ8e8yFxQavAX0eH1YPnn49dAVNvQa0osMzjw888f519/&#10;zr+/k+VN0qf3UGPag8fEOLx3A27NfA94mWgPMpj0RUIE46ju6aKuGCLh6VG1qqoSQxxjs4P4xdNz&#10;HyB+EM6QZDQ04Piyquz4CeKYOqekatbdK63zCLUlPaJeVTdX+cUlhOjaYpHEYuw2WXHYDRO1nWtP&#10;yKzHHWioxZWnRH+0KHFal9kIs7GbjFQe/N0hYgu5s4Q6Qk3FcGCZ27RcaSP+9XPW0w+1+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kPZ5aswBAACYAwAADgAAAAAAAAABACAAAAAiAQAAZHJz&#10;L2Uyb0RvYy54bWxQSwUGAAAAAAYABgBZAQAAYAUAAAAA&#10;">
              <v:fill on="f" focussize="0,0"/>
              <v:stroke on="f" weight="1.25pt"/>
              <v:imagedata o:title=""/>
              <o:lock v:ext="edit" aspectratio="f"/>
              <v:textbox inset="0mm,0mm,0mm,0mm" style="mso-fit-shape-to-text:t;">
                <w:txbxContent>
                  <w:p>
                    <w:pPr>
                      <w:pStyle w:val="3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43</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56</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tabs>
        <w:tab w:val="left" w:pos="5049"/>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59264" behindDoc="1" locked="0" layoutInCell="1" allowOverlap="1">
          <wp:simplePos x="0" y="0"/>
          <wp:positionH relativeFrom="column">
            <wp:posOffset>3376930</wp:posOffset>
          </wp:positionH>
          <wp:positionV relativeFrom="paragraph">
            <wp:posOffset>-236855</wp:posOffset>
          </wp:positionV>
          <wp:extent cx="434340" cy="434340"/>
          <wp:effectExtent l="0" t="0" r="3810" b="3810"/>
          <wp:wrapNone/>
          <wp:docPr id="4" name="图片 12"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descr="公司logo"/>
                  <pic:cNvPicPr>
                    <a:picLocks noChangeAspect="1"/>
                  </pic:cNvPicPr>
                </pic:nvPicPr>
                <pic:blipFill>
                  <a:blip r:embed="rId1"/>
                  <a:stretch>
                    <a:fillRect/>
                  </a:stretch>
                </pic:blipFill>
                <pic:spPr>
                  <a:xfrm>
                    <a:off x="0" y="0"/>
                    <a:ext cx="434340" cy="434340"/>
                  </a:xfrm>
                  <a:prstGeom prst="rect">
                    <a:avLst/>
                  </a:prstGeom>
                  <a:noFill/>
                  <a:ln>
                    <a:noFill/>
                  </a:ln>
                </pic:spPr>
              </pic:pic>
            </a:graphicData>
          </a:graphic>
        </wp:anchor>
      </w:drawing>
    </w:r>
    <w:r>
      <w:rPr>
        <w:rFonts w:hint="eastAsia" w:ascii="时尚中黑简体" w:hAnsi="时尚中黑简体" w:eastAsia="时尚中黑简体" w:cs="时尚中黑简体"/>
        <w:bCs/>
        <w:sz w:val="21"/>
        <w:szCs w:val="21"/>
      </w:rPr>
      <w:t>代理机构  编制</w:t>
    </w:r>
  </w:p>
  <w:p>
    <w:pPr>
      <w:pStyle w:val="3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thickThinLargeGap" w:color="auto" w:sz="4" w:space="1"/>
      </w:pBdr>
      <w:wordWrap w:val="0"/>
      <w:jc w:val="right"/>
      <w:rPr>
        <w:rFonts w:ascii="时尚中黑简体" w:hAnsi="时尚中黑简体" w:eastAsia="时尚中黑简体" w:cs="时尚中黑简体"/>
        <w:bCs/>
        <w:sz w:val="21"/>
        <w:szCs w:val="21"/>
      </w:rPr>
    </w:pPr>
  </w:p>
  <w:p>
    <w:pPr>
      <w:pStyle w:val="35"/>
      <w:pBdr>
        <w:bottom w:val="thickThinLargeGap" w:color="auto" w:sz="4" w:space="1"/>
      </w:pBdr>
      <w:wordWrap w:val="0"/>
      <w:jc w:val="right"/>
      <w:rPr>
        <w:rFonts w:ascii="时尚中黑简体" w:hAnsi="时尚中黑简体" w:eastAsia="时尚中黑简体" w:cs="时尚中黑简体"/>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0288" behindDoc="1" locked="0" layoutInCell="1" allowOverlap="1">
          <wp:simplePos x="0" y="0"/>
          <wp:positionH relativeFrom="column">
            <wp:posOffset>3059430</wp:posOffset>
          </wp:positionH>
          <wp:positionV relativeFrom="paragraph">
            <wp:posOffset>92710</wp:posOffset>
          </wp:positionV>
          <wp:extent cx="434340" cy="434340"/>
          <wp:effectExtent l="0" t="0" r="3810" b="3810"/>
          <wp:wrapNone/>
          <wp:docPr id="5" name="图片 13"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3" descr="公司logo"/>
                  <pic:cNvPicPr>
                    <a:picLocks noChangeAspect="1"/>
                  </pic:cNvPicPr>
                </pic:nvPicPr>
                <pic:blipFill>
                  <a:blip r:embed="rId1"/>
                  <a:stretch>
                    <a:fillRect/>
                  </a:stretch>
                </pic:blipFill>
                <pic:spPr>
                  <a:xfrm>
                    <a:off x="0" y="0"/>
                    <a:ext cx="434340" cy="434340"/>
                  </a:xfrm>
                  <a:prstGeom prst="rect">
                    <a:avLst/>
                  </a:prstGeom>
                  <a:noFill/>
                  <a:ln>
                    <a:noFill/>
                  </a:ln>
                </pic:spPr>
              </pic:pic>
            </a:graphicData>
          </a:graphic>
        </wp:anchor>
      </w:drawing>
    </w:r>
  </w:p>
  <w:p>
    <w:pPr>
      <w:pStyle w:val="35"/>
      <w:pBdr>
        <w:bottom w:val="thickThinLargeGap" w:color="auto" w:sz="4" w:space="1"/>
      </w:pBdr>
      <w:wordWrap w:val="0"/>
      <w:jc w:val="right"/>
      <w:rPr>
        <w:rFonts w:ascii="时尚中黑简体" w:hAnsi="时尚中黑简体" w:eastAsia="时尚中黑简体" w:cs="时尚中黑简体"/>
        <w:bCs/>
        <w:sz w:val="21"/>
        <w:szCs w:val="21"/>
      </w:rPr>
    </w:pPr>
  </w:p>
  <w:p>
    <w:pPr>
      <w:pStyle w:val="35"/>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t>广东泰通伟业工程咨询有限公司  编制</w:t>
    </w:r>
  </w:p>
  <w:p>
    <w:pPr>
      <w:pStyle w:val="35"/>
      <w:pBdr>
        <w:top w:val="none" w:color="auto" w:sz="0" w:space="1"/>
        <w:left w:val="none" w:color="auto" w:sz="0" w:space="4"/>
        <w:bottom w:val="none" w:color="auto" w:sz="0" w:space="1"/>
        <w:right w:val="none" w:color="auto" w:sz="0" w:space="4"/>
      </w:pBdr>
      <w:spacing w:after="200"/>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left"/>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F2368"/>
    <w:multiLevelType w:val="singleLevel"/>
    <w:tmpl w:val="801F2368"/>
    <w:lvl w:ilvl="0" w:tentative="0">
      <w:start w:val="1"/>
      <w:numFmt w:val="decimalEnclosedCircleChinese"/>
      <w:suff w:val="nothing"/>
      <w:lvlText w:val="%1　"/>
      <w:lvlJc w:val="left"/>
      <w:pPr>
        <w:ind w:left="0" w:firstLine="400"/>
      </w:pPr>
      <w:rPr>
        <w:rFonts w:hint="eastAsia"/>
      </w:rPr>
    </w:lvl>
  </w:abstractNum>
  <w:abstractNum w:abstractNumId="1">
    <w:nsid w:val="84051B80"/>
    <w:multiLevelType w:val="singleLevel"/>
    <w:tmpl w:val="84051B80"/>
    <w:lvl w:ilvl="0" w:tentative="0">
      <w:start w:val="4"/>
      <w:numFmt w:val="decimal"/>
      <w:suff w:val="nothing"/>
      <w:lvlText w:val="%1、"/>
      <w:lvlJc w:val="left"/>
    </w:lvl>
  </w:abstractNum>
  <w:abstractNum w:abstractNumId="2">
    <w:nsid w:val="8D8A353B"/>
    <w:multiLevelType w:val="singleLevel"/>
    <w:tmpl w:val="8D8A353B"/>
    <w:lvl w:ilvl="0" w:tentative="0">
      <w:start w:val="1"/>
      <w:numFmt w:val="chineseCounting"/>
      <w:suff w:val="nothing"/>
      <w:lvlText w:val="（%1）"/>
      <w:lvlJc w:val="left"/>
      <w:pPr>
        <w:ind w:left="0" w:firstLine="420"/>
      </w:pPr>
      <w:rPr>
        <w:rFonts w:hint="eastAsia"/>
      </w:rPr>
    </w:lvl>
  </w:abstractNum>
  <w:abstractNum w:abstractNumId="3">
    <w:nsid w:val="A4CC8848"/>
    <w:multiLevelType w:val="singleLevel"/>
    <w:tmpl w:val="A4CC8848"/>
    <w:lvl w:ilvl="0" w:tentative="0">
      <w:start w:val="1"/>
      <w:numFmt w:val="chineseCounting"/>
      <w:suff w:val="nothing"/>
      <w:lvlText w:val="（%1）"/>
      <w:lvlJc w:val="left"/>
      <w:pPr>
        <w:ind w:left="0" w:firstLine="420"/>
      </w:pPr>
      <w:rPr>
        <w:rFonts w:hint="eastAsia"/>
        <w:sz w:val="28"/>
      </w:rPr>
    </w:lvl>
  </w:abstractNum>
  <w:abstractNum w:abstractNumId="4">
    <w:nsid w:val="C00AB112"/>
    <w:multiLevelType w:val="singleLevel"/>
    <w:tmpl w:val="C00AB112"/>
    <w:lvl w:ilvl="0" w:tentative="0">
      <w:start w:val="1"/>
      <w:numFmt w:val="decimalEnclosedCircleChinese"/>
      <w:suff w:val="nothing"/>
      <w:lvlText w:val="%1　"/>
      <w:lvlJc w:val="left"/>
      <w:pPr>
        <w:ind w:left="0" w:firstLine="400"/>
      </w:pPr>
      <w:rPr>
        <w:rFonts w:hint="eastAsia"/>
        <w:color w:val="000000"/>
      </w:rPr>
    </w:lvl>
  </w:abstractNum>
  <w:abstractNum w:abstractNumId="5">
    <w:nsid w:val="C2CC4BEB"/>
    <w:multiLevelType w:val="multilevel"/>
    <w:tmpl w:val="C2CC4BEB"/>
    <w:lvl w:ilvl="0" w:tentative="0">
      <w:start w:val="1"/>
      <w:numFmt w:val="decimal"/>
      <w:lvlText w:val="（%1）"/>
      <w:lvlJc w:val="left"/>
      <w:pPr>
        <w:tabs>
          <w:tab w:val="left" w:pos="960"/>
        </w:tabs>
        <w:ind w:left="960" w:hanging="420"/>
      </w:pPr>
      <w:rPr>
        <w:rFonts w:hint="eastAsia"/>
      </w:rPr>
    </w:lvl>
    <w:lvl w:ilvl="1" w:tentative="0">
      <w:start w:val="1"/>
      <w:numFmt w:val="lowerLetter"/>
      <w:lvlText w:val="%2)"/>
      <w:lvlJc w:val="left"/>
      <w:pPr>
        <w:tabs>
          <w:tab w:val="left" w:pos="960"/>
        </w:tabs>
        <w:ind w:left="960" w:hanging="420"/>
      </w:pPr>
    </w:lvl>
    <w:lvl w:ilvl="2" w:tentative="0">
      <w:start w:val="1"/>
      <w:numFmt w:val="lowerRoman"/>
      <w:lvlText w:val="%3."/>
      <w:lvlJc w:val="right"/>
      <w:pPr>
        <w:tabs>
          <w:tab w:val="left" w:pos="1380"/>
        </w:tabs>
        <w:ind w:left="1380" w:hanging="420"/>
      </w:pPr>
    </w:lvl>
    <w:lvl w:ilvl="3" w:tentative="0">
      <w:start w:val="1"/>
      <w:numFmt w:val="decimal"/>
      <w:lvlText w:val="%4."/>
      <w:lvlJc w:val="left"/>
      <w:pPr>
        <w:tabs>
          <w:tab w:val="left" w:pos="1800"/>
        </w:tabs>
        <w:ind w:left="1800" w:hanging="420"/>
      </w:pPr>
    </w:lvl>
    <w:lvl w:ilvl="4" w:tentative="0">
      <w:start w:val="1"/>
      <w:numFmt w:val="lowerLetter"/>
      <w:lvlText w:val="%5)"/>
      <w:lvlJc w:val="left"/>
      <w:pPr>
        <w:tabs>
          <w:tab w:val="left" w:pos="2220"/>
        </w:tabs>
        <w:ind w:left="2220" w:hanging="420"/>
      </w:pPr>
    </w:lvl>
    <w:lvl w:ilvl="5" w:tentative="0">
      <w:start w:val="1"/>
      <w:numFmt w:val="lowerRoman"/>
      <w:lvlText w:val="%6."/>
      <w:lvlJc w:val="right"/>
      <w:pPr>
        <w:tabs>
          <w:tab w:val="left" w:pos="2640"/>
        </w:tabs>
        <w:ind w:left="2640" w:hanging="420"/>
      </w:pPr>
    </w:lvl>
    <w:lvl w:ilvl="6" w:tentative="0">
      <w:start w:val="1"/>
      <w:numFmt w:val="decimal"/>
      <w:lvlText w:val="%7."/>
      <w:lvlJc w:val="left"/>
      <w:pPr>
        <w:tabs>
          <w:tab w:val="left" w:pos="3060"/>
        </w:tabs>
        <w:ind w:left="3060" w:hanging="420"/>
      </w:pPr>
    </w:lvl>
    <w:lvl w:ilvl="7" w:tentative="0">
      <w:start w:val="1"/>
      <w:numFmt w:val="lowerLetter"/>
      <w:lvlText w:val="%8)"/>
      <w:lvlJc w:val="left"/>
      <w:pPr>
        <w:tabs>
          <w:tab w:val="left" w:pos="3480"/>
        </w:tabs>
        <w:ind w:left="3480" w:hanging="420"/>
      </w:pPr>
    </w:lvl>
    <w:lvl w:ilvl="8" w:tentative="0">
      <w:start w:val="1"/>
      <w:numFmt w:val="lowerRoman"/>
      <w:lvlText w:val="%9."/>
      <w:lvlJc w:val="right"/>
      <w:pPr>
        <w:tabs>
          <w:tab w:val="left" w:pos="3900"/>
        </w:tabs>
        <w:ind w:left="3900" w:hanging="420"/>
      </w:pPr>
    </w:lvl>
  </w:abstractNum>
  <w:abstractNum w:abstractNumId="6">
    <w:nsid w:val="C8256046"/>
    <w:multiLevelType w:val="singleLevel"/>
    <w:tmpl w:val="C8256046"/>
    <w:lvl w:ilvl="0" w:tentative="0">
      <w:start w:val="2"/>
      <w:numFmt w:val="decimal"/>
      <w:suff w:val="nothing"/>
      <w:lvlText w:val="%1．"/>
      <w:lvlJc w:val="left"/>
    </w:lvl>
  </w:abstractNum>
  <w:abstractNum w:abstractNumId="7">
    <w:nsid w:val="D0047B7E"/>
    <w:multiLevelType w:val="singleLevel"/>
    <w:tmpl w:val="D0047B7E"/>
    <w:lvl w:ilvl="0" w:tentative="0">
      <w:start w:val="1"/>
      <w:numFmt w:val="decimal"/>
      <w:suff w:val="nothing"/>
      <w:lvlText w:val="%1、"/>
      <w:lvlJc w:val="left"/>
    </w:lvl>
  </w:abstractNum>
  <w:abstractNum w:abstractNumId="8">
    <w:nsid w:val="E1B46632"/>
    <w:multiLevelType w:val="singleLevel"/>
    <w:tmpl w:val="E1B46632"/>
    <w:lvl w:ilvl="0" w:tentative="0">
      <w:start w:val="1"/>
      <w:numFmt w:val="chineseCounting"/>
      <w:suff w:val="nothing"/>
      <w:lvlText w:val="（%1）"/>
      <w:lvlJc w:val="left"/>
      <w:pPr>
        <w:ind w:left="0" w:firstLine="420"/>
      </w:pPr>
      <w:rPr>
        <w:rFonts w:hint="eastAsia"/>
      </w:rPr>
    </w:lvl>
  </w:abstractNum>
  <w:abstractNum w:abstractNumId="9">
    <w:nsid w:val="F3051630"/>
    <w:multiLevelType w:val="singleLevel"/>
    <w:tmpl w:val="F3051630"/>
    <w:lvl w:ilvl="0" w:tentative="0">
      <w:start w:val="1"/>
      <w:numFmt w:val="chineseCounting"/>
      <w:suff w:val="nothing"/>
      <w:lvlText w:val="（%1）"/>
      <w:lvlJc w:val="left"/>
      <w:pPr>
        <w:ind w:left="0" w:firstLine="420"/>
      </w:pPr>
      <w:rPr>
        <w:rFonts w:hint="eastAsia"/>
      </w:rPr>
    </w:lvl>
  </w:abstractNum>
  <w:abstractNum w:abstractNumId="10">
    <w:nsid w:val="F50BAB2F"/>
    <w:multiLevelType w:val="singleLevel"/>
    <w:tmpl w:val="F50BAB2F"/>
    <w:lvl w:ilvl="0" w:tentative="0">
      <w:start w:val="1"/>
      <w:numFmt w:val="chineseCounting"/>
      <w:suff w:val="nothing"/>
      <w:lvlText w:val="（%1）"/>
      <w:lvlJc w:val="left"/>
      <w:pPr>
        <w:ind w:left="0" w:firstLine="420"/>
      </w:pPr>
      <w:rPr>
        <w:rFonts w:hint="eastAsia"/>
        <w:sz w:val="28"/>
      </w:rPr>
    </w:lvl>
  </w:abstractNum>
  <w:abstractNum w:abstractNumId="11">
    <w:nsid w:val="0000000F"/>
    <w:multiLevelType w:val="multilevel"/>
    <w:tmpl w:val="0000000F"/>
    <w:lvl w:ilvl="0" w:tentative="0">
      <w:start w:val="1"/>
      <w:numFmt w:val="decimal"/>
      <w:pStyle w:val="18"/>
      <w:lvlText w:val="%1、"/>
      <w:lvlJc w:val="left"/>
      <w:pPr>
        <w:tabs>
          <w:tab w:val="left" w:pos="420"/>
        </w:tabs>
        <w:ind w:left="840" w:hanging="420"/>
      </w:pPr>
      <w:rPr>
        <w:rFonts w:ascii="Times New Roman" w:hAnsi="Times New Roman" w:eastAsia="Times New Roman" w:cs="Times New Roman"/>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decimal"/>
      <w:lvlText w:val="%3."/>
      <w:lvlJc w:val="left"/>
      <w:pPr>
        <w:tabs>
          <w:tab w:val="left" w:pos="1745"/>
        </w:tabs>
        <w:ind w:left="1745" w:hanging="705"/>
      </w:pPr>
      <w:rPr>
        <w:rFonts w:hint="default"/>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12">
    <w:nsid w:val="00000010"/>
    <w:multiLevelType w:val="multilevel"/>
    <w:tmpl w:val="00000010"/>
    <w:lvl w:ilvl="0" w:tentative="0">
      <w:start w:val="1"/>
      <w:numFmt w:val="decimal"/>
      <w:lvlText w:val="%1"/>
      <w:lvlJc w:val="left"/>
      <w:pPr>
        <w:tabs>
          <w:tab w:val="left" w:pos="425"/>
        </w:tabs>
        <w:ind w:left="425" w:hanging="425"/>
      </w:pPr>
    </w:lvl>
    <w:lvl w:ilvl="1" w:tentative="0">
      <w:start w:val="1"/>
      <w:numFmt w:val="decimal"/>
      <w:pStyle w:val="160"/>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3">
    <w:nsid w:val="00000011"/>
    <w:multiLevelType w:val="multilevel"/>
    <w:tmpl w:val="00000011"/>
    <w:lvl w:ilvl="0" w:tentative="0">
      <w:start w:val="4"/>
      <w:numFmt w:val="japaneseCounting"/>
      <w:lvlText w:val="第%1篇"/>
      <w:lvlJc w:val="left"/>
      <w:pPr>
        <w:tabs>
          <w:tab w:val="left" w:pos="1080"/>
        </w:tabs>
        <w:ind w:left="1080" w:hanging="1080"/>
      </w:pPr>
      <w:rPr>
        <w:rFonts w:hint="default"/>
      </w:rPr>
    </w:lvl>
    <w:lvl w:ilvl="1" w:tentative="0">
      <w:start w:val="3"/>
      <w:numFmt w:val="japaneseCounting"/>
      <w:lvlText w:val="%2、"/>
      <w:lvlJc w:val="left"/>
      <w:pPr>
        <w:tabs>
          <w:tab w:val="left" w:pos="900"/>
        </w:tabs>
        <w:ind w:left="900" w:hanging="48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12"/>
    <w:multiLevelType w:val="multilevel"/>
    <w:tmpl w:val="00000012"/>
    <w:lvl w:ilvl="0" w:tentative="0">
      <w:start w:val="1"/>
      <w:numFmt w:val="bullet"/>
      <w:pStyle w:val="7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
    <w:nsid w:val="00000013"/>
    <w:multiLevelType w:val="multilevel"/>
    <w:tmpl w:val="00000013"/>
    <w:lvl w:ilvl="0" w:tentative="0">
      <w:start w:val="1"/>
      <w:numFmt w:val="decimal"/>
      <w:pStyle w:val="131"/>
      <w:lvlText w:val="%1、"/>
      <w:lvlJc w:val="left"/>
      <w:pPr>
        <w:tabs>
          <w:tab w:val="left" w:pos="786"/>
        </w:tabs>
        <w:ind w:left="786" w:hanging="360"/>
      </w:pPr>
    </w:lvl>
    <w:lvl w:ilvl="1" w:tentative="0">
      <w:start w:val="1"/>
      <w:numFmt w:val="decimal"/>
      <w:lvlText w:val="%2、"/>
      <w:lvlJc w:val="left"/>
      <w:pPr>
        <w:tabs>
          <w:tab w:val="left" w:pos="1206"/>
        </w:tabs>
        <w:ind w:left="1206" w:hanging="360"/>
      </w:pPr>
    </w:lvl>
    <w:lvl w:ilvl="2" w:tentative="0">
      <w:start w:val="1"/>
      <w:numFmt w:val="lowerRoman"/>
      <w:lvlText w:val="%3."/>
      <w:lvlJc w:val="right"/>
      <w:pPr>
        <w:tabs>
          <w:tab w:val="left" w:pos="1686"/>
        </w:tabs>
        <w:ind w:left="1686" w:hanging="420"/>
      </w:pPr>
    </w:lvl>
    <w:lvl w:ilvl="3" w:tentative="0">
      <w:start w:val="2"/>
      <w:numFmt w:val="decimal"/>
      <w:lvlText w:val="%4）"/>
      <w:lvlJc w:val="left"/>
      <w:pPr>
        <w:tabs>
          <w:tab w:val="left" w:pos="2046"/>
        </w:tabs>
        <w:ind w:left="2046"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00000016"/>
    <w:multiLevelType w:val="multilevel"/>
    <w:tmpl w:val="00000016"/>
    <w:lvl w:ilvl="0" w:tentative="0">
      <w:start w:val="1"/>
      <w:numFmt w:val="decimal"/>
      <w:pStyle w:val="17"/>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18"/>
    <w:multiLevelType w:val="multilevel"/>
    <w:tmpl w:val="00000018"/>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1D"/>
    <w:multiLevelType w:val="multilevel"/>
    <w:tmpl w:val="0000001D"/>
    <w:lvl w:ilvl="0" w:tentative="0">
      <w:start w:val="1"/>
      <w:numFmt w:val="decimal"/>
      <w:lvlText w:val="（%1）"/>
      <w:lvlJc w:val="left"/>
      <w:pPr>
        <w:tabs>
          <w:tab w:val="left" w:pos="960"/>
        </w:tabs>
        <w:ind w:left="960" w:hanging="420"/>
      </w:pPr>
      <w:rPr>
        <w:rFonts w:hint="eastAsia"/>
      </w:rPr>
    </w:lvl>
    <w:lvl w:ilvl="1" w:tentative="0">
      <w:start w:val="1"/>
      <w:numFmt w:val="lowerLetter"/>
      <w:lvlText w:val="%2)"/>
      <w:lvlJc w:val="left"/>
      <w:pPr>
        <w:tabs>
          <w:tab w:val="left" w:pos="960"/>
        </w:tabs>
        <w:ind w:left="960" w:hanging="420"/>
      </w:pPr>
    </w:lvl>
    <w:lvl w:ilvl="2" w:tentative="0">
      <w:start w:val="1"/>
      <w:numFmt w:val="lowerRoman"/>
      <w:lvlText w:val="%3."/>
      <w:lvlJc w:val="right"/>
      <w:pPr>
        <w:tabs>
          <w:tab w:val="left" w:pos="1380"/>
        </w:tabs>
        <w:ind w:left="1380" w:hanging="420"/>
      </w:pPr>
    </w:lvl>
    <w:lvl w:ilvl="3" w:tentative="0">
      <w:start w:val="1"/>
      <w:numFmt w:val="decimal"/>
      <w:lvlText w:val="%4."/>
      <w:lvlJc w:val="left"/>
      <w:pPr>
        <w:tabs>
          <w:tab w:val="left" w:pos="1800"/>
        </w:tabs>
        <w:ind w:left="1800" w:hanging="420"/>
      </w:pPr>
    </w:lvl>
    <w:lvl w:ilvl="4" w:tentative="0">
      <w:start w:val="1"/>
      <w:numFmt w:val="lowerLetter"/>
      <w:lvlText w:val="%5)"/>
      <w:lvlJc w:val="left"/>
      <w:pPr>
        <w:tabs>
          <w:tab w:val="left" w:pos="2220"/>
        </w:tabs>
        <w:ind w:left="2220" w:hanging="420"/>
      </w:pPr>
    </w:lvl>
    <w:lvl w:ilvl="5" w:tentative="0">
      <w:start w:val="1"/>
      <w:numFmt w:val="lowerRoman"/>
      <w:lvlText w:val="%6."/>
      <w:lvlJc w:val="right"/>
      <w:pPr>
        <w:tabs>
          <w:tab w:val="left" w:pos="2640"/>
        </w:tabs>
        <w:ind w:left="2640" w:hanging="420"/>
      </w:pPr>
    </w:lvl>
    <w:lvl w:ilvl="6" w:tentative="0">
      <w:start w:val="1"/>
      <w:numFmt w:val="decimal"/>
      <w:lvlText w:val="%7."/>
      <w:lvlJc w:val="left"/>
      <w:pPr>
        <w:tabs>
          <w:tab w:val="left" w:pos="3060"/>
        </w:tabs>
        <w:ind w:left="3060" w:hanging="420"/>
      </w:pPr>
    </w:lvl>
    <w:lvl w:ilvl="7" w:tentative="0">
      <w:start w:val="1"/>
      <w:numFmt w:val="lowerLetter"/>
      <w:lvlText w:val="%8)"/>
      <w:lvlJc w:val="left"/>
      <w:pPr>
        <w:tabs>
          <w:tab w:val="left" w:pos="3480"/>
        </w:tabs>
        <w:ind w:left="3480" w:hanging="420"/>
      </w:pPr>
    </w:lvl>
    <w:lvl w:ilvl="8" w:tentative="0">
      <w:start w:val="1"/>
      <w:numFmt w:val="lowerRoman"/>
      <w:lvlText w:val="%9."/>
      <w:lvlJc w:val="right"/>
      <w:pPr>
        <w:tabs>
          <w:tab w:val="left" w:pos="3900"/>
        </w:tabs>
        <w:ind w:left="3900" w:hanging="420"/>
      </w:pPr>
    </w:lvl>
  </w:abstractNum>
  <w:abstractNum w:abstractNumId="19">
    <w:nsid w:val="00000020"/>
    <w:multiLevelType w:val="multilevel"/>
    <w:tmpl w:val="00000020"/>
    <w:lvl w:ilvl="0" w:tentative="0">
      <w:start w:val="1"/>
      <w:numFmt w:val="bullet"/>
      <w:pStyle w:val="86"/>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0">
    <w:nsid w:val="00000021"/>
    <w:multiLevelType w:val="multilevel"/>
    <w:tmpl w:val="00000021"/>
    <w:lvl w:ilvl="0" w:tentative="0">
      <w:start w:val="1"/>
      <w:numFmt w:val="chineseCounting"/>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00000025"/>
    <w:multiLevelType w:val="singleLevel"/>
    <w:tmpl w:val="00000025"/>
    <w:lvl w:ilvl="0" w:tentative="0">
      <w:start w:val="2"/>
      <w:numFmt w:val="chineseCounting"/>
      <w:suff w:val="nothing"/>
      <w:lvlText w:val="%1、"/>
      <w:lvlJc w:val="left"/>
    </w:lvl>
  </w:abstractNum>
  <w:abstractNum w:abstractNumId="22">
    <w:nsid w:val="00000028"/>
    <w:multiLevelType w:val="multilevel"/>
    <w:tmpl w:val="00000028"/>
    <w:lvl w:ilvl="0" w:tentative="0">
      <w:start w:val="1"/>
      <w:numFmt w:val="japaneseCounting"/>
      <w:lvlText w:val="第%1篇"/>
      <w:lvlJc w:val="left"/>
      <w:pPr>
        <w:ind w:left="1080" w:hanging="1080"/>
      </w:pPr>
      <w:rPr>
        <w:rFonts w:hint="default"/>
      </w:rPr>
    </w:lvl>
    <w:lvl w:ilvl="1" w:tentative="0">
      <w:start w:val="1"/>
      <w:numFmt w:val="japaneseCounting"/>
      <w:lvlText w:val="（%2）"/>
      <w:lvlJc w:val="left"/>
      <w:pPr>
        <w:ind w:left="1185" w:hanging="76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00000029"/>
    <w:multiLevelType w:val="multilevel"/>
    <w:tmpl w:val="00000029"/>
    <w:lvl w:ilvl="0" w:tentative="0">
      <w:start w:val="1"/>
      <w:numFmt w:val="bullet"/>
      <w:pStyle w:val="49"/>
      <w:lvlText w:val=""/>
      <w:lvlJc w:val="left"/>
      <w:pPr>
        <w:tabs>
          <w:tab w:val="left" w:pos="2121"/>
        </w:tabs>
        <w:ind w:left="2121" w:hanging="420"/>
      </w:pPr>
      <w:rPr>
        <w:rFonts w:hint="default" w:ascii="Wingdings" w:hAnsi="Wingdings"/>
      </w:rPr>
    </w:lvl>
    <w:lvl w:ilvl="1" w:tentative="0">
      <w:start w:val="1"/>
      <w:numFmt w:val="bullet"/>
      <w:lvlText w:val=""/>
      <w:lvlJc w:val="left"/>
      <w:pPr>
        <w:tabs>
          <w:tab w:val="left" w:pos="2541"/>
        </w:tabs>
        <w:ind w:left="2541" w:hanging="420"/>
      </w:pPr>
      <w:rPr>
        <w:rFonts w:hint="default" w:ascii="Wingdings" w:hAnsi="Wingdings"/>
      </w:rPr>
    </w:lvl>
    <w:lvl w:ilvl="2" w:tentative="0">
      <w:start w:val="1"/>
      <w:numFmt w:val="bullet"/>
      <w:lvlText w:val=""/>
      <w:lvlJc w:val="left"/>
      <w:pPr>
        <w:tabs>
          <w:tab w:val="left" w:pos="2961"/>
        </w:tabs>
        <w:ind w:left="2961" w:hanging="420"/>
      </w:pPr>
      <w:rPr>
        <w:rFonts w:hint="default" w:ascii="Wingdings" w:hAnsi="Wingdings"/>
      </w:rPr>
    </w:lvl>
    <w:lvl w:ilvl="3" w:tentative="0">
      <w:start w:val="1"/>
      <w:numFmt w:val="bullet"/>
      <w:lvlText w:val=""/>
      <w:lvlJc w:val="left"/>
      <w:pPr>
        <w:tabs>
          <w:tab w:val="left" w:pos="3381"/>
        </w:tabs>
        <w:ind w:left="3381" w:hanging="420"/>
      </w:pPr>
      <w:rPr>
        <w:rFonts w:hint="default" w:ascii="Wingdings" w:hAnsi="Wingdings"/>
      </w:rPr>
    </w:lvl>
    <w:lvl w:ilvl="4" w:tentative="0">
      <w:start w:val="1"/>
      <w:numFmt w:val="bullet"/>
      <w:lvlText w:val=""/>
      <w:lvlJc w:val="left"/>
      <w:pPr>
        <w:tabs>
          <w:tab w:val="left" w:pos="3801"/>
        </w:tabs>
        <w:ind w:left="3801" w:hanging="420"/>
      </w:pPr>
      <w:rPr>
        <w:rFonts w:hint="default" w:ascii="Wingdings" w:hAnsi="Wingdings"/>
      </w:rPr>
    </w:lvl>
    <w:lvl w:ilvl="5" w:tentative="0">
      <w:start w:val="1"/>
      <w:numFmt w:val="bullet"/>
      <w:lvlText w:val=""/>
      <w:lvlJc w:val="left"/>
      <w:pPr>
        <w:tabs>
          <w:tab w:val="left" w:pos="4221"/>
        </w:tabs>
        <w:ind w:left="4221" w:hanging="420"/>
      </w:pPr>
      <w:rPr>
        <w:rFonts w:hint="default" w:ascii="Wingdings" w:hAnsi="Wingdings"/>
      </w:rPr>
    </w:lvl>
    <w:lvl w:ilvl="6" w:tentative="0">
      <w:start w:val="1"/>
      <w:numFmt w:val="bullet"/>
      <w:lvlText w:val=""/>
      <w:lvlJc w:val="left"/>
      <w:pPr>
        <w:tabs>
          <w:tab w:val="left" w:pos="4641"/>
        </w:tabs>
        <w:ind w:left="4641" w:hanging="420"/>
      </w:pPr>
      <w:rPr>
        <w:rFonts w:hint="default" w:ascii="Wingdings" w:hAnsi="Wingdings"/>
      </w:rPr>
    </w:lvl>
    <w:lvl w:ilvl="7" w:tentative="0">
      <w:start w:val="1"/>
      <w:numFmt w:val="bullet"/>
      <w:lvlText w:val=""/>
      <w:lvlJc w:val="left"/>
      <w:pPr>
        <w:tabs>
          <w:tab w:val="left" w:pos="5061"/>
        </w:tabs>
        <w:ind w:left="5061" w:hanging="420"/>
      </w:pPr>
      <w:rPr>
        <w:rFonts w:hint="default" w:ascii="Wingdings" w:hAnsi="Wingdings"/>
      </w:rPr>
    </w:lvl>
    <w:lvl w:ilvl="8" w:tentative="0">
      <w:start w:val="1"/>
      <w:numFmt w:val="bullet"/>
      <w:lvlText w:val=""/>
      <w:lvlJc w:val="left"/>
      <w:pPr>
        <w:tabs>
          <w:tab w:val="left" w:pos="5481"/>
        </w:tabs>
        <w:ind w:left="5481" w:hanging="420"/>
      </w:pPr>
      <w:rPr>
        <w:rFonts w:hint="default" w:ascii="Wingdings" w:hAnsi="Wingdings"/>
      </w:rPr>
    </w:lvl>
  </w:abstractNum>
  <w:abstractNum w:abstractNumId="24">
    <w:nsid w:val="05944A07"/>
    <w:multiLevelType w:val="singleLevel"/>
    <w:tmpl w:val="05944A07"/>
    <w:lvl w:ilvl="0" w:tentative="0">
      <w:start w:val="1"/>
      <w:numFmt w:val="chineseCounting"/>
      <w:suff w:val="nothing"/>
      <w:lvlText w:val="%1、"/>
      <w:lvlJc w:val="left"/>
      <w:rPr>
        <w:rFonts w:hint="eastAsia"/>
      </w:rPr>
    </w:lvl>
  </w:abstractNum>
  <w:abstractNum w:abstractNumId="25">
    <w:nsid w:val="11EF8A8C"/>
    <w:multiLevelType w:val="singleLevel"/>
    <w:tmpl w:val="11EF8A8C"/>
    <w:lvl w:ilvl="0" w:tentative="0">
      <w:start w:val="1"/>
      <w:numFmt w:val="chineseCounting"/>
      <w:suff w:val="nothing"/>
      <w:lvlText w:val="（%1）"/>
      <w:lvlJc w:val="left"/>
      <w:pPr>
        <w:ind w:left="0" w:firstLine="420"/>
      </w:pPr>
      <w:rPr>
        <w:rFonts w:hint="eastAsia"/>
        <w:sz w:val="28"/>
      </w:rPr>
    </w:lvl>
  </w:abstractNum>
  <w:abstractNum w:abstractNumId="26">
    <w:nsid w:val="2487313E"/>
    <w:multiLevelType w:val="singleLevel"/>
    <w:tmpl w:val="2487313E"/>
    <w:lvl w:ilvl="0" w:tentative="0">
      <w:start w:val="1"/>
      <w:numFmt w:val="decimalEnclosedCircleChinese"/>
      <w:suff w:val="nothing"/>
      <w:lvlText w:val="%1　"/>
      <w:lvlJc w:val="left"/>
      <w:pPr>
        <w:ind w:left="0" w:firstLine="400"/>
      </w:pPr>
      <w:rPr>
        <w:rFonts w:hint="eastAsia"/>
      </w:rPr>
    </w:lvl>
  </w:abstractNum>
  <w:abstractNum w:abstractNumId="27">
    <w:nsid w:val="2FFA4A8A"/>
    <w:multiLevelType w:val="singleLevel"/>
    <w:tmpl w:val="2FFA4A8A"/>
    <w:lvl w:ilvl="0" w:tentative="0">
      <w:start w:val="1"/>
      <w:numFmt w:val="chineseCounting"/>
      <w:suff w:val="nothing"/>
      <w:lvlText w:val="%1、"/>
      <w:lvlJc w:val="left"/>
      <w:pPr>
        <w:ind w:left="60" w:firstLine="420"/>
      </w:pPr>
      <w:rPr>
        <w:rFonts w:hint="eastAsia"/>
        <w:sz w:val="32"/>
      </w:rPr>
    </w:lvl>
  </w:abstractNum>
  <w:abstractNum w:abstractNumId="28">
    <w:nsid w:val="4BD28B33"/>
    <w:multiLevelType w:val="multilevel"/>
    <w:tmpl w:val="4BD28B33"/>
    <w:lvl w:ilvl="0" w:tentative="0">
      <w:start w:val="1"/>
      <w:numFmt w:val="decimal"/>
      <w:lvlText w:val="（%1）"/>
      <w:lvlJc w:val="left"/>
      <w:pPr>
        <w:tabs>
          <w:tab w:val="left" w:pos="960"/>
        </w:tabs>
        <w:ind w:left="960" w:hanging="420"/>
      </w:pPr>
      <w:rPr>
        <w:rFonts w:hint="eastAsia"/>
      </w:rPr>
    </w:lvl>
    <w:lvl w:ilvl="1" w:tentative="0">
      <w:start w:val="1"/>
      <w:numFmt w:val="lowerLetter"/>
      <w:lvlText w:val="%2)"/>
      <w:lvlJc w:val="left"/>
      <w:pPr>
        <w:tabs>
          <w:tab w:val="left" w:pos="960"/>
        </w:tabs>
        <w:ind w:left="960" w:hanging="420"/>
      </w:pPr>
    </w:lvl>
    <w:lvl w:ilvl="2" w:tentative="0">
      <w:start w:val="1"/>
      <w:numFmt w:val="lowerRoman"/>
      <w:lvlText w:val="%3."/>
      <w:lvlJc w:val="right"/>
      <w:pPr>
        <w:tabs>
          <w:tab w:val="left" w:pos="1380"/>
        </w:tabs>
        <w:ind w:left="1380" w:hanging="420"/>
      </w:pPr>
    </w:lvl>
    <w:lvl w:ilvl="3" w:tentative="0">
      <w:start w:val="1"/>
      <w:numFmt w:val="decimal"/>
      <w:lvlText w:val="%4."/>
      <w:lvlJc w:val="left"/>
      <w:pPr>
        <w:tabs>
          <w:tab w:val="left" w:pos="1800"/>
        </w:tabs>
        <w:ind w:left="1800" w:hanging="420"/>
      </w:pPr>
    </w:lvl>
    <w:lvl w:ilvl="4" w:tentative="0">
      <w:start w:val="1"/>
      <w:numFmt w:val="lowerLetter"/>
      <w:lvlText w:val="%5)"/>
      <w:lvlJc w:val="left"/>
      <w:pPr>
        <w:tabs>
          <w:tab w:val="left" w:pos="2220"/>
        </w:tabs>
        <w:ind w:left="2220" w:hanging="420"/>
      </w:pPr>
    </w:lvl>
    <w:lvl w:ilvl="5" w:tentative="0">
      <w:start w:val="1"/>
      <w:numFmt w:val="lowerRoman"/>
      <w:lvlText w:val="%6."/>
      <w:lvlJc w:val="right"/>
      <w:pPr>
        <w:tabs>
          <w:tab w:val="left" w:pos="2640"/>
        </w:tabs>
        <w:ind w:left="2640" w:hanging="420"/>
      </w:pPr>
    </w:lvl>
    <w:lvl w:ilvl="6" w:tentative="0">
      <w:start w:val="1"/>
      <w:numFmt w:val="decimal"/>
      <w:lvlText w:val="%7."/>
      <w:lvlJc w:val="left"/>
      <w:pPr>
        <w:tabs>
          <w:tab w:val="left" w:pos="3060"/>
        </w:tabs>
        <w:ind w:left="3060" w:hanging="420"/>
      </w:pPr>
    </w:lvl>
    <w:lvl w:ilvl="7" w:tentative="0">
      <w:start w:val="1"/>
      <w:numFmt w:val="lowerLetter"/>
      <w:lvlText w:val="%8)"/>
      <w:lvlJc w:val="left"/>
      <w:pPr>
        <w:tabs>
          <w:tab w:val="left" w:pos="3480"/>
        </w:tabs>
        <w:ind w:left="3480" w:hanging="420"/>
      </w:pPr>
    </w:lvl>
    <w:lvl w:ilvl="8" w:tentative="0">
      <w:start w:val="1"/>
      <w:numFmt w:val="lowerRoman"/>
      <w:lvlText w:val="%9."/>
      <w:lvlJc w:val="right"/>
      <w:pPr>
        <w:tabs>
          <w:tab w:val="left" w:pos="3900"/>
        </w:tabs>
        <w:ind w:left="3900" w:hanging="420"/>
      </w:pPr>
    </w:lvl>
  </w:abstractNum>
  <w:abstractNum w:abstractNumId="29">
    <w:nsid w:val="59C5D728"/>
    <w:multiLevelType w:val="singleLevel"/>
    <w:tmpl w:val="59C5D728"/>
    <w:lvl w:ilvl="0" w:tentative="0">
      <w:start w:val="1"/>
      <w:numFmt w:val="chineseCounting"/>
      <w:suff w:val="nothing"/>
      <w:lvlText w:val="%1、"/>
      <w:lvlJc w:val="left"/>
      <w:pPr>
        <w:ind w:left="0" w:firstLine="420"/>
      </w:pPr>
      <w:rPr>
        <w:rFonts w:hint="eastAsia"/>
      </w:rPr>
    </w:lvl>
  </w:abstractNum>
  <w:abstractNum w:abstractNumId="30">
    <w:nsid w:val="59E48005"/>
    <w:multiLevelType w:val="singleLevel"/>
    <w:tmpl w:val="59E48005"/>
    <w:lvl w:ilvl="0" w:tentative="0">
      <w:start w:val="2"/>
      <w:numFmt w:val="chineseCounting"/>
      <w:suff w:val="nothing"/>
      <w:lvlText w:val="（%1）"/>
      <w:lvlJc w:val="left"/>
    </w:lvl>
  </w:abstractNum>
  <w:abstractNum w:abstractNumId="31">
    <w:nsid w:val="59F3F544"/>
    <w:multiLevelType w:val="singleLevel"/>
    <w:tmpl w:val="59F3F544"/>
    <w:lvl w:ilvl="0" w:tentative="0">
      <w:start w:val="1"/>
      <w:numFmt w:val="decimal"/>
      <w:lvlText w:val="%1."/>
      <w:lvlJc w:val="left"/>
      <w:pPr>
        <w:ind w:left="425" w:hanging="425"/>
      </w:pPr>
      <w:rPr>
        <w:rFonts w:hint="default"/>
      </w:rPr>
    </w:lvl>
  </w:abstractNum>
  <w:abstractNum w:abstractNumId="32">
    <w:nsid w:val="59F3F6CD"/>
    <w:multiLevelType w:val="singleLevel"/>
    <w:tmpl w:val="59F3F6CD"/>
    <w:lvl w:ilvl="0" w:tentative="0">
      <w:start w:val="1"/>
      <w:numFmt w:val="chineseCounting"/>
      <w:suff w:val="nothing"/>
      <w:lvlText w:val="（%1）"/>
      <w:lvlJc w:val="left"/>
      <w:pPr>
        <w:ind w:left="0" w:firstLine="420"/>
      </w:pPr>
      <w:rPr>
        <w:rFonts w:hint="eastAsia"/>
      </w:rPr>
    </w:lvl>
  </w:abstractNum>
  <w:abstractNum w:abstractNumId="33">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6"/>
  </w:num>
  <w:num w:numId="2">
    <w:abstractNumId w:val="11"/>
  </w:num>
  <w:num w:numId="3">
    <w:abstractNumId w:val="23"/>
  </w:num>
  <w:num w:numId="4">
    <w:abstractNumId w:val="14"/>
  </w:num>
  <w:num w:numId="5">
    <w:abstractNumId w:val="19"/>
  </w:num>
  <w:num w:numId="6">
    <w:abstractNumId w:val="15"/>
  </w:num>
  <w:num w:numId="7">
    <w:abstractNumId w:val="12"/>
  </w:num>
  <w:num w:numId="8">
    <w:abstractNumId w:val="22"/>
  </w:num>
  <w:num w:numId="9">
    <w:abstractNumId w:val="20"/>
  </w:num>
  <w:num w:numId="10">
    <w:abstractNumId w:val="9"/>
  </w:num>
  <w:num w:numId="11">
    <w:abstractNumId w:val="8"/>
  </w:num>
  <w:num w:numId="12">
    <w:abstractNumId w:val="2"/>
  </w:num>
  <w:num w:numId="13">
    <w:abstractNumId w:val="24"/>
  </w:num>
  <w:num w:numId="14">
    <w:abstractNumId w:val="21"/>
  </w:num>
  <w:num w:numId="15">
    <w:abstractNumId w:val="17"/>
  </w:num>
  <w:num w:numId="16">
    <w:abstractNumId w:val="18"/>
  </w:num>
  <w:num w:numId="17">
    <w:abstractNumId w:val="5"/>
  </w:num>
  <w:num w:numId="18">
    <w:abstractNumId w:val="28"/>
  </w:num>
  <w:num w:numId="19">
    <w:abstractNumId w:val="0"/>
  </w:num>
  <w:num w:numId="20">
    <w:abstractNumId w:val="4"/>
  </w:num>
  <w:num w:numId="21">
    <w:abstractNumId w:val="26"/>
  </w:num>
  <w:num w:numId="22">
    <w:abstractNumId w:val="13"/>
  </w:num>
  <w:num w:numId="23">
    <w:abstractNumId w:val="32"/>
  </w:num>
  <w:num w:numId="24">
    <w:abstractNumId w:val="30"/>
  </w:num>
  <w:num w:numId="25">
    <w:abstractNumId w:val="31"/>
  </w:num>
  <w:num w:numId="26">
    <w:abstractNumId w:val="27"/>
  </w:num>
  <w:num w:numId="27">
    <w:abstractNumId w:val="3"/>
  </w:num>
  <w:num w:numId="28">
    <w:abstractNumId w:val="10"/>
  </w:num>
  <w:num w:numId="29">
    <w:abstractNumId w:val="33"/>
  </w:num>
  <w:num w:numId="30">
    <w:abstractNumId w:val="6"/>
  </w:num>
  <w:num w:numId="31">
    <w:abstractNumId w:val="1"/>
  </w:num>
  <w:num w:numId="32">
    <w:abstractNumId w:val="7"/>
  </w:num>
  <w:num w:numId="33">
    <w:abstractNumId w:val="25"/>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1ZTUwZjA3NGE1NjFjNGQ2Njc2ZDg3MjRkNDM1NmEifQ=="/>
  </w:docVars>
  <w:rsids>
    <w:rsidRoot w:val="00172A27"/>
    <w:rsid w:val="000060F5"/>
    <w:rsid w:val="00007B67"/>
    <w:rsid w:val="00010435"/>
    <w:rsid w:val="000310C4"/>
    <w:rsid w:val="00055CD6"/>
    <w:rsid w:val="000823D9"/>
    <w:rsid w:val="00090328"/>
    <w:rsid w:val="000968E0"/>
    <w:rsid w:val="000A4E90"/>
    <w:rsid w:val="000C6420"/>
    <w:rsid w:val="000E413D"/>
    <w:rsid w:val="00111EF8"/>
    <w:rsid w:val="001145FF"/>
    <w:rsid w:val="00131CBD"/>
    <w:rsid w:val="00135223"/>
    <w:rsid w:val="00164DB4"/>
    <w:rsid w:val="001672AF"/>
    <w:rsid w:val="00172A27"/>
    <w:rsid w:val="001A0202"/>
    <w:rsid w:val="001A5AE9"/>
    <w:rsid w:val="001B5855"/>
    <w:rsid w:val="001D4260"/>
    <w:rsid w:val="001E2687"/>
    <w:rsid w:val="00201FF9"/>
    <w:rsid w:val="00214A66"/>
    <w:rsid w:val="00220B97"/>
    <w:rsid w:val="00221762"/>
    <w:rsid w:val="002227F0"/>
    <w:rsid w:val="00245BCB"/>
    <w:rsid w:val="00252EDC"/>
    <w:rsid w:val="00267764"/>
    <w:rsid w:val="002908F6"/>
    <w:rsid w:val="00296431"/>
    <w:rsid w:val="002B2BC0"/>
    <w:rsid w:val="002C4DA3"/>
    <w:rsid w:val="002C4FD0"/>
    <w:rsid w:val="002D4509"/>
    <w:rsid w:val="002D687C"/>
    <w:rsid w:val="002F678B"/>
    <w:rsid w:val="003051E1"/>
    <w:rsid w:val="003174CA"/>
    <w:rsid w:val="00336A7E"/>
    <w:rsid w:val="00354364"/>
    <w:rsid w:val="00366C48"/>
    <w:rsid w:val="0038490F"/>
    <w:rsid w:val="0039370F"/>
    <w:rsid w:val="003965B7"/>
    <w:rsid w:val="003A1A5C"/>
    <w:rsid w:val="003B2098"/>
    <w:rsid w:val="003B52AE"/>
    <w:rsid w:val="003C431B"/>
    <w:rsid w:val="003C616E"/>
    <w:rsid w:val="003D2168"/>
    <w:rsid w:val="003E00B5"/>
    <w:rsid w:val="003E41AE"/>
    <w:rsid w:val="0041594E"/>
    <w:rsid w:val="00415B47"/>
    <w:rsid w:val="00445E45"/>
    <w:rsid w:val="004566D0"/>
    <w:rsid w:val="0046375D"/>
    <w:rsid w:val="00472A2B"/>
    <w:rsid w:val="00474CD5"/>
    <w:rsid w:val="00493F98"/>
    <w:rsid w:val="0049506C"/>
    <w:rsid w:val="00495472"/>
    <w:rsid w:val="00497C4D"/>
    <w:rsid w:val="004B3FC7"/>
    <w:rsid w:val="00510E22"/>
    <w:rsid w:val="00514C69"/>
    <w:rsid w:val="00530588"/>
    <w:rsid w:val="00543147"/>
    <w:rsid w:val="00563F71"/>
    <w:rsid w:val="005A7E47"/>
    <w:rsid w:val="005B2AFE"/>
    <w:rsid w:val="005B4183"/>
    <w:rsid w:val="005B5C14"/>
    <w:rsid w:val="005D5EA9"/>
    <w:rsid w:val="005E502E"/>
    <w:rsid w:val="00612CC9"/>
    <w:rsid w:val="006214A5"/>
    <w:rsid w:val="00642305"/>
    <w:rsid w:val="00646479"/>
    <w:rsid w:val="006516EE"/>
    <w:rsid w:val="00657849"/>
    <w:rsid w:val="00660151"/>
    <w:rsid w:val="006619AC"/>
    <w:rsid w:val="00683FB2"/>
    <w:rsid w:val="0068756B"/>
    <w:rsid w:val="006B349B"/>
    <w:rsid w:val="006B72AE"/>
    <w:rsid w:val="00707424"/>
    <w:rsid w:val="00715643"/>
    <w:rsid w:val="007254AA"/>
    <w:rsid w:val="007266BA"/>
    <w:rsid w:val="0075709F"/>
    <w:rsid w:val="00765168"/>
    <w:rsid w:val="00766AFF"/>
    <w:rsid w:val="00785855"/>
    <w:rsid w:val="00792925"/>
    <w:rsid w:val="00796DAF"/>
    <w:rsid w:val="007A2AFB"/>
    <w:rsid w:val="007B5CD0"/>
    <w:rsid w:val="007B78B3"/>
    <w:rsid w:val="007C5586"/>
    <w:rsid w:val="007D1DF3"/>
    <w:rsid w:val="007F31C3"/>
    <w:rsid w:val="00803A96"/>
    <w:rsid w:val="008151EA"/>
    <w:rsid w:val="0084074C"/>
    <w:rsid w:val="00842EC4"/>
    <w:rsid w:val="008438E5"/>
    <w:rsid w:val="00852188"/>
    <w:rsid w:val="00854104"/>
    <w:rsid w:val="008606B2"/>
    <w:rsid w:val="00874C85"/>
    <w:rsid w:val="00876080"/>
    <w:rsid w:val="0089080B"/>
    <w:rsid w:val="00894E92"/>
    <w:rsid w:val="008A1658"/>
    <w:rsid w:val="008C4968"/>
    <w:rsid w:val="008C76B3"/>
    <w:rsid w:val="008D72AD"/>
    <w:rsid w:val="008E4970"/>
    <w:rsid w:val="008F443F"/>
    <w:rsid w:val="00904C02"/>
    <w:rsid w:val="009125E3"/>
    <w:rsid w:val="009422CE"/>
    <w:rsid w:val="009451EB"/>
    <w:rsid w:val="00951A8F"/>
    <w:rsid w:val="009612CE"/>
    <w:rsid w:val="009B351B"/>
    <w:rsid w:val="009F065F"/>
    <w:rsid w:val="009F19CE"/>
    <w:rsid w:val="009F26B4"/>
    <w:rsid w:val="00A04522"/>
    <w:rsid w:val="00A11A47"/>
    <w:rsid w:val="00A33FE6"/>
    <w:rsid w:val="00A557BD"/>
    <w:rsid w:val="00A57825"/>
    <w:rsid w:val="00A774EB"/>
    <w:rsid w:val="00A82F2A"/>
    <w:rsid w:val="00A87D03"/>
    <w:rsid w:val="00A928BF"/>
    <w:rsid w:val="00AA7D8C"/>
    <w:rsid w:val="00AB39E7"/>
    <w:rsid w:val="00AE624C"/>
    <w:rsid w:val="00B33553"/>
    <w:rsid w:val="00B70DD2"/>
    <w:rsid w:val="00B818AE"/>
    <w:rsid w:val="00B82703"/>
    <w:rsid w:val="00B87320"/>
    <w:rsid w:val="00B925C9"/>
    <w:rsid w:val="00B95C3E"/>
    <w:rsid w:val="00BB1038"/>
    <w:rsid w:val="00BB6963"/>
    <w:rsid w:val="00BB768F"/>
    <w:rsid w:val="00BD7A24"/>
    <w:rsid w:val="00C22D79"/>
    <w:rsid w:val="00C33495"/>
    <w:rsid w:val="00C365E3"/>
    <w:rsid w:val="00C602B4"/>
    <w:rsid w:val="00C61390"/>
    <w:rsid w:val="00C65B62"/>
    <w:rsid w:val="00C9061D"/>
    <w:rsid w:val="00CA099E"/>
    <w:rsid w:val="00CA3933"/>
    <w:rsid w:val="00CB78C0"/>
    <w:rsid w:val="00CC3CDE"/>
    <w:rsid w:val="00CE2873"/>
    <w:rsid w:val="00CE7EF7"/>
    <w:rsid w:val="00D27971"/>
    <w:rsid w:val="00D44717"/>
    <w:rsid w:val="00D463B5"/>
    <w:rsid w:val="00D566C3"/>
    <w:rsid w:val="00D90C21"/>
    <w:rsid w:val="00D90DFD"/>
    <w:rsid w:val="00DC0A99"/>
    <w:rsid w:val="00DC182D"/>
    <w:rsid w:val="00DD0BF6"/>
    <w:rsid w:val="00DE6E1A"/>
    <w:rsid w:val="00E00739"/>
    <w:rsid w:val="00E00C6F"/>
    <w:rsid w:val="00E018C5"/>
    <w:rsid w:val="00E0228F"/>
    <w:rsid w:val="00E06F04"/>
    <w:rsid w:val="00E339E8"/>
    <w:rsid w:val="00E41504"/>
    <w:rsid w:val="00E55837"/>
    <w:rsid w:val="00E56467"/>
    <w:rsid w:val="00E66D9B"/>
    <w:rsid w:val="00E76404"/>
    <w:rsid w:val="00E819BD"/>
    <w:rsid w:val="00EB1ABE"/>
    <w:rsid w:val="00ED27B8"/>
    <w:rsid w:val="00EF32FE"/>
    <w:rsid w:val="00EF6736"/>
    <w:rsid w:val="00F014C7"/>
    <w:rsid w:val="00F04039"/>
    <w:rsid w:val="00F07594"/>
    <w:rsid w:val="00F10D63"/>
    <w:rsid w:val="00F24D4A"/>
    <w:rsid w:val="00F31719"/>
    <w:rsid w:val="00F67F6C"/>
    <w:rsid w:val="00F73F48"/>
    <w:rsid w:val="00FA0B78"/>
    <w:rsid w:val="00FD0A3F"/>
    <w:rsid w:val="00FD17FD"/>
    <w:rsid w:val="00FD7532"/>
    <w:rsid w:val="00FE0617"/>
    <w:rsid w:val="00FE3EFC"/>
    <w:rsid w:val="00FF156B"/>
    <w:rsid w:val="00FF234D"/>
    <w:rsid w:val="01016788"/>
    <w:rsid w:val="010B18A0"/>
    <w:rsid w:val="014F6D4A"/>
    <w:rsid w:val="01517FEE"/>
    <w:rsid w:val="0156462A"/>
    <w:rsid w:val="01630778"/>
    <w:rsid w:val="018728A0"/>
    <w:rsid w:val="01B32DF9"/>
    <w:rsid w:val="01D142D7"/>
    <w:rsid w:val="01E96504"/>
    <w:rsid w:val="021F4C81"/>
    <w:rsid w:val="02414B92"/>
    <w:rsid w:val="028366E4"/>
    <w:rsid w:val="02947726"/>
    <w:rsid w:val="02AE2989"/>
    <w:rsid w:val="02C560C8"/>
    <w:rsid w:val="02D14D37"/>
    <w:rsid w:val="02EB558C"/>
    <w:rsid w:val="02EB79C2"/>
    <w:rsid w:val="03240B2D"/>
    <w:rsid w:val="034C641D"/>
    <w:rsid w:val="035324D3"/>
    <w:rsid w:val="037D584E"/>
    <w:rsid w:val="038D7EAA"/>
    <w:rsid w:val="03A34AFA"/>
    <w:rsid w:val="03A964DC"/>
    <w:rsid w:val="03AA5570"/>
    <w:rsid w:val="03E2162C"/>
    <w:rsid w:val="03EF7C67"/>
    <w:rsid w:val="041856DF"/>
    <w:rsid w:val="0437435F"/>
    <w:rsid w:val="043D07E1"/>
    <w:rsid w:val="0441683D"/>
    <w:rsid w:val="04716FBC"/>
    <w:rsid w:val="04811D0D"/>
    <w:rsid w:val="048D3C72"/>
    <w:rsid w:val="049E01CA"/>
    <w:rsid w:val="04A812AB"/>
    <w:rsid w:val="04AA7A54"/>
    <w:rsid w:val="04BD597C"/>
    <w:rsid w:val="04DC1E95"/>
    <w:rsid w:val="05065C2E"/>
    <w:rsid w:val="050F0FD3"/>
    <w:rsid w:val="053A424A"/>
    <w:rsid w:val="053B507A"/>
    <w:rsid w:val="053C2D22"/>
    <w:rsid w:val="055F754A"/>
    <w:rsid w:val="056B6415"/>
    <w:rsid w:val="056F7E9D"/>
    <w:rsid w:val="05856950"/>
    <w:rsid w:val="05A04252"/>
    <w:rsid w:val="05B531D5"/>
    <w:rsid w:val="05B64EE1"/>
    <w:rsid w:val="05D70893"/>
    <w:rsid w:val="05EF3BF5"/>
    <w:rsid w:val="06457035"/>
    <w:rsid w:val="066C2DCB"/>
    <w:rsid w:val="066D1D54"/>
    <w:rsid w:val="0684556E"/>
    <w:rsid w:val="06B55684"/>
    <w:rsid w:val="06DB2670"/>
    <w:rsid w:val="06F81B82"/>
    <w:rsid w:val="07005EC6"/>
    <w:rsid w:val="071F2807"/>
    <w:rsid w:val="07200C91"/>
    <w:rsid w:val="07385D1A"/>
    <w:rsid w:val="073D3F2F"/>
    <w:rsid w:val="07447966"/>
    <w:rsid w:val="074D0B91"/>
    <w:rsid w:val="0784472B"/>
    <w:rsid w:val="079875BF"/>
    <w:rsid w:val="079B0031"/>
    <w:rsid w:val="07B9070D"/>
    <w:rsid w:val="07C410AA"/>
    <w:rsid w:val="07E16810"/>
    <w:rsid w:val="07EF4800"/>
    <w:rsid w:val="081B51B4"/>
    <w:rsid w:val="0863511D"/>
    <w:rsid w:val="0873640D"/>
    <w:rsid w:val="087411DC"/>
    <w:rsid w:val="08783888"/>
    <w:rsid w:val="08A74300"/>
    <w:rsid w:val="08A74737"/>
    <w:rsid w:val="08C30F20"/>
    <w:rsid w:val="096266DF"/>
    <w:rsid w:val="09A37C42"/>
    <w:rsid w:val="09B71979"/>
    <w:rsid w:val="09BF271D"/>
    <w:rsid w:val="09CA4C87"/>
    <w:rsid w:val="0A1846AD"/>
    <w:rsid w:val="0A1F630E"/>
    <w:rsid w:val="0A334DE9"/>
    <w:rsid w:val="0A3673D1"/>
    <w:rsid w:val="0A4550A2"/>
    <w:rsid w:val="0A470C82"/>
    <w:rsid w:val="0A6540E0"/>
    <w:rsid w:val="0A676425"/>
    <w:rsid w:val="0A7C2CCC"/>
    <w:rsid w:val="0A82487B"/>
    <w:rsid w:val="0A981399"/>
    <w:rsid w:val="0AA12C61"/>
    <w:rsid w:val="0AB257D2"/>
    <w:rsid w:val="0ABB7DC0"/>
    <w:rsid w:val="0AD50B07"/>
    <w:rsid w:val="0AD63670"/>
    <w:rsid w:val="0AF3230B"/>
    <w:rsid w:val="0B0D3780"/>
    <w:rsid w:val="0B1E5674"/>
    <w:rsid w:val="0B2E5519"/>
    <w:rsid w:val="0B912402"/>
    <w:rsid w:val="0BED5616"/>
    <w:rsid w:val="0C405D06"/>
    <w:rsid w:val="0C5F45C4"/>
    <w:rsid w:val="0C6352C9"/>
    <w:rsid w:val="0C6661F5"/>
    <w:rsid w:val="0C6E22F8"/>
    <w:rsid w:val="0C752414"/>
    <w:rsid w:val="0CA4014A"/>
    <w:rsid w:val="0CA91F0D"/>
    <w:rsid w:val="0CF9441B"/>
    <w:rsid w:val="0CF956ED"/>
    <w:rsid w:val="0D213AEC"/>
    <w:rsid w:val="0D33119A"/>
    <w:rsid w:val="0D346299"/>
    <w:rsid w:val="0D350DE1"/>
    <w:rsid w:val="0D4A2577"/>
    <w:rsid w:val="0D4D7EA2"/>
    <w:rsid w:val="0D596969"/>
    <w:rsid w:val="0D5E0448"/>
    <w:rsid w:val="0D63094F"/>
    <w:rsid w:val="0D6D348A"/>
    <w:rsid w:val="0D856EEA"/>
    <w:rsid w:val="0D8C26A8"/>
    <w:rsid w:val="0DB53D88"/>
    <w:rsid w:val="0DC77E1F"/>
    <w:rsid w:val="0DE500C7"/>
    <w:rsid w:val="0E214015"/>
    <w:rsid w:val="0E231F93"/>
    <w:rsid w:val="0E30061A"/>
    <w:rsid w:val="0E4770E3"/>
    <w:rsid w:val="0E702916"/>
    <w:rsid w:val="0EAB15DF"/>
    <w:rsid w:val="0EC12B61"/>
    <w:rsid w:val="0EC4295E"/>
    <w:rsid w:val="0F342FE0"/>
    <w:rsid w:val="0F554B61"/>
    <w:rsid w:val="0F5A5680"/>
    <w:rsid w:val="0F6D1BF3"/>
    <w:rsid w:val="0FA658B8"/>
    <w:rsid w:val="0FB125A0"/>
    <w:rsid w:val="0FF13439"/>
    <w:rsid w:val="1007384E"/>
    <w:rsid w:val="102753CC"/>
    <w:rsid w:val="107201B7"/>
    <w:rsid w:val="107645ED"/>
    <w:rsid w:val="107962EB"/>
    <w:rsid w:val="10AC7391"/>
    <w:rsid w:val="10C4053D"/>
    <w:rsid w:val="10D62D62"/>
    <w:rsid w:val="10D763F7"/>
    <w:rsid w:val="11053959"/>
    <w:rsid w:val="111406E5"/>
    <w:rsid w:val="111A2A3D"/>
    <w:rsid w:val="11394425"/>
    <w:rsid w:val="113D0264"/>
    <w:rsid w:val="114253E0"/>
    <w:rsid w:val="114B1675"/>
    <w:rsid w:val="115D274C"/>
    <w:rsid w:val="11604CE2"/>
    <w:rsid w:val="116813A4"/>
    <w:rsid w:val="11AF2642"/>
    <w:rsid w:val="11B31695"/>
    <w:rsid w:val="11B472DB"/>
    <w:rsid w:val="124364E9"/>
    <w:rsid w:val="12AC1D0D"/>
    <w:rsid w:val="12C2266E"/>
    <w:rsid w:val="12ED2577"/>
    <w:rsid w:val="12F50446"/>
    <w:rsid w:val="12F90EE0"/>
    <w:rsid w:val="130C0FBE"/>
    <w:rsid w:val="135A4CFD"/>
    <w:rsid w:val="13693296"/>
    <w:rsid w:val="136C60F8"/>
    <w:rsid w:val="13741B2A"/>
    <w:rsid w:val="13763091"/>
    <w:rsid w:val="13945C02"/>
    <w:rsid w:val="139D51BB"/>
    <w:rsid w:val="13CD3DBB"/>
    <w:rsid w:val="13CE5FC4"/>
    <w:rsid w:val="13E122AF"/>
    <w:rsid w:val="140F468F"/>
    <w:rsid w:val="14495991"/>
    <w:rsid w:val="144C6770"/>
    <w:rsid w:val="144F0CC6"/>
    <w:rsid w:val="1472597A"/>
    <w:rsid w:val="147778EA"/>
    <w:rsid w:val="14943CCC"/>
    <w:rsid w:val="14AE7E64"/>
    <w:rsid w:val="14CD7B2A"/>
    <w:rsid w:val="14D75B26"/>
    <w:rsid w:val="14F865C3"/>
    <w:rsid w:val="150F189B"/>
    <w:rsid w:val="151C0B70"/>
    <w:rsid w:val="15413FAA"/>
    <w:rsid w:val="15457698"/>
    <w:rsid w:val="154A5906"/>
    <w:rsid w:val="158A75E1"/>
    <w:rsid w:val="1592511B"/>
    <w:rsid w:val="159A5F1D"/>
    <w:rsid w:val="15A520DA"/>
    <w:rsid w:val="15BE4A3D"/>
    <w:rsid w:val="15D77617"/>
    <w:rsid w:val="15E6513C"/>
    <w:rsid w:val="16353ED8"/>
    <w:rsid w:val="165A6A0F"/>
    <w:rsid w:val="165B5F0F"/>
    <w:rsid w:val="166320D6"/>
    <w:rsid w:val="167B7AAC"/>
    <w:rsid w:val="167F7D9A"/>
    <w:rsid w:val="169C50AA"/>
    <w:rsid w:val="16B17104"/>
    <w:rsid w:val="16DA674D"/>
    <w:rsid w:val="16E051E8"/>
    <w:rsid w:val="16ED26EB"/>
    <w:rsid w:val="16F24237"/>
    <w:rsid w:val="17066EDE"/>
    <w:rsid w:val="172F1D58"/>
    <w:rsid w:val="1735490C"/>
    <w:rsid w:val="17970727"/>
    <w:rsid w:val="17AD6BA2"/>
    <w:rsid w:val="17B1375A"/>
    <w:rsid w:val="17B60D70"/>
    <w:rsid w:val="18092CD5"/>
    <w:rsid w:val="180D00A7"/>
    <w:rsid w:val="181A6207"/>
    <w:rsid w:val="18214341"/>
    <w:rsid w:val="18754F48"/>
    <w:rsid w:val="189D5A85"/>
    <w:rsid w:val="18DB5821"/>
    <w:rsid w:val="18DE453C"/>
    <w:rsid w:val="18E514CE"/>
    <w:rsid w:val="19032B5E"/>
    <w:rsid w:val="190B5314"/>
    <w:rsid w:val="19107D27"/>
    <w:rsid w:val="191474B7"/>
    <w:rsid w:val="192C0FEE"/>
    <w:rsid w:val="19331160"/>
    <w:rsid w:val="19377C8F"/>
    <w:rsid w:val="19433B98"/>
    <w:rsid w:val="19496281"/>
    <w:rsid w:val="194A1BAC"/>
    <w:rsid w:val="196F6FC1"/>
    <w:rsid w:val="19711A8D"/>
    <w:rsid w:val="19992BD1"/>
    <w:rsid w:val="19AB5ACC"/>
    <w:rsid w:val="19BF321E"/>
    <w:rsid w:val="19CA0483"/>
    <w:rsid w:val="19E5317A"/>
    <w:rsid w:val="19E57C61"/>
    <w:rsid w:val="1A020607"/>
    <w:rsid w:val="1A450189"/>
    <w:rsid w:val="1A6375DD"/>
    <w:rsid w:val="1A6E6871"/>
    <w:rsid w:val="1AB94A4F"/>
    <w:rsid w:val="1AED2C9A"/>
    <w:rsid w:val="1B0D6EF9"/>
    <w:rsid w:val="1B193AF0"/>
    <w:rsid w:val="1B195DEC"/>
    <w:rsid w:val="1B285B17"/>
    <w:rsid w:val="1B3016CD"/>
    <w:rsid w:val="1B4563C1"/>
    <w:rsid w:val="1B4A6BAE"/>
    <w:rsid w:val="1B4B370A"/>
    <w:rsid w:val="1B860FD9"/>
    <w:rsid w:val="1B9E66D2"/>
    <w:rsid w:val="1BBB5B72"/>
    <w:rsid w:val="1BC40E99"/>
    <w:rsid w:val="1BCA7890"/>
    <w:rsid w:val="1BCB6A47"/>
    <w:rsid w:val="1BD1319B"/>
    <w:rsid w:val="1BD36015"/>
    <w:rsid w:val="1BFB1779"/>
    <w:rsid w:val="1BFB4FA4"/>
    <w:rsid w:val="1BFE502A"/>
    <w:rsid w:val="1C1327C3"/>
    <w:rsid w:val="1C3139DF"/>
    <w:rsid w:val="1C357F42"/>
    <w:rsid w:val="1C4557BA"/>
    <w:rsid w:val="1C817251"/>
    <w:rsid w:val="1C8E545D"/>
    <w:rsid w:val="1CA84C87"/>
    <w:rsid w:val="1CC877C0"/>
    <w:rsid w:val="1CCC24BC"/>
    <w:rsid w:val="1CD60CB4"/>
    <w:rsid w:val="1CE512E6"/>
    <w:rsid w:val="1CEF2480"/>
    <w:rsid w:val="1CFE020F"/>
    <w:rsid w:val="1D216C8C"/>
    <w:rsid w:val="1D7D39CA"/>
    <w:rsid w:val="1D8A0E3C"/>
    <w:rsid w:val="1DA15E50"/>
    <w:rsid w:val="1DB27B15"/>
    <w:rsid w:val="1DB6761E"/>
    <w:rsid w:val="1DB87E85"/>
    <w:rsid w:val="1DBE7147"/>
    <w:rsid w:val="1DC934BA"/>
    <w:rsid w:val="1DEB61F5"/>
    <w:rsid w:val="1E326799"/>
    <w:rsid w:val="1E730883"/>
    <w:rsid w:val="1E927FD6"/>
    <w:rsid w:val="1ED20877"/>
    <w:rsid w:val="1EE55F6C"/>
    <w:rsid w:val="1EF77DC5"/>
    <w:rsid w:val="1F354107"/>
    <w:rsid w:val="1F383ACC"/>
    <w:rsid w:val="1F39438A"/>
    <w:rsid w:val="1F893090"/>
    <w:rsid w:val="1F9062F5"/>
    <w:rsid w:val="202209B9"/>
    <w:rsid w:val="20280066"/>
    <w:rsid w:val="20284745"/>
    <w:rsid w:val="20304AD2"/>
    <w:rsid w:val="203B6599"/>
    <w:rsid w:val="204F6722"/>
    <w:rsid w:val="208B032D"/>
    <w:rsid w:val="20902778"/>
    <w:rsid w:val="20944C4A"/>
    <w:rsid w:val="20AF30C4"/>
    <w:rsid w:val="20C20F88"/>
    <w:rsid w:val="20F82ADF"/>
    <w:rsid w:val="20FD5C7C"/>
    <w:rsid w:val="2115662C"/>
    <w:rsid w:val="21361A04"/>
    <w:rsid w:val="214418DF"/>
    <w:rsid w:val="21492C01"/>
    <w:rsid w:val="21B95143"/>
    <w:rsid w:val="21C04FD1"/>
    <w:rsid w:val="220D6242"/>
    <w:rsid w:val="220E6B61"/>
    <w:rsid w:val="22166AC6"/>
    <w:rsid w:val="224B48EF"/>
    <w:rsid w:val="227F4143"/>
    <w:rsid w:val="22986CE6"/>
    <w:rsid w:val="22C00F73"/>
    <w:rsid w:val="22C65EAC"/>
    <w:rsid w:val="22EA20C5"/>
    <w:rsid w:val="22ED5F44"/>
    <w:rsid w:val="23170396"/>
    <w:rsid w:val="231903C4"/>
    <w:rsid w:val="231A56E2"/>
    <w:rsid w:val="231F7C19"/>
    <w:rsid w:val="23481CC9"/>
    <w:rsid w:val="235F1272"/>
    <w:rsid w:val="23863DAE"/>
    <w:rsid w:val="23892C32"/>
    <w:rsid w:val="23F63C79"/>
    <w:rsid w:val="24336E0A"/>
    <w:rsid w:val="244A3719"/>
    <w:rsid w:val="24581E80"/>
    <w:rsid w:val="246270E4"/>
    <w:rsid w:val="24772C2B"/>
    <w:rsid w:val="24A243E4"/>
    <w:rsid w:val="24DF22D5"/>
    <w:rsid w:val="257008BE"/>
    <w:rsid w:val="25A11337"/>
    <w:rsid w:val="260F00E3"/>
    <w:rsid w:val="26901218"/>
    <w:rsid w:val="26977FBF"/>
    <w:rsid w:val="26D17DBC"/>
    <w:rsid w:val="26D24757"/>
    <w:rsid w:val="26DC292C"/>
    <w:rsid w:val="26F70A5D"/>
    <w:rsid w:val="27076DAC"/>
    <w:rsid w:val="274D17E4"/>
    <w:rsid w:val="274F26C8"/>
    <w:rsid w:val="274F5074"/>
    <w:rsid w:val="27580617"/>
    <w:rsid w:val="275D2642"/>
    <w:rsid w:val="276764C4"/>
    <w:rsid w:val="277E63C5"/>
    <w:rsid w:val="278816F3"/>
    <w:rsid w:val="278911C7"/>
    <w:rsid w:val="27A57C3A"/>
    <w:rsid w:val="27D131FC"/>
    <w:rsid w:val="27D20BC1"/>
    <w:rsid w:val="27F43F60"/>
    <w:rsid w:val="280F3EB6"/>
    <w:rsid w:val="281253C2"/>
    <w:rsid w:val="281563BC"/>
    <w:rsid w:val="28163476"/>
    <w:rsid w:val="28297613"/>
    <w:rsid w:val="286F250E"/>
    <w:rsid w:val="287D2504"/>
    <w:rsid w:val="28A87389"/>
    <w:rsid w:val="28D71E65"/>
    <w:rsid w:val="2901078E"/>
    <w:rsid w:val="29070703"/>
    <w:rsid w:val="291176CC"/>
    <w:rsid w:val="291B3E4A"/>
    <w:rsid w:val="29573123"/>
    <w:rsid w:val="297F7A53"/>
    <w:rsid w:val="2992095F"/>
    <w:rsid w:val="29A040A0"/>
    <w:rsid w:val="29AC6651"/>
    <w:rsid w:val="29C4608A"/>
    <w:rsid w:val="29F51AC1"/>
    <w:rsid w:val="29F51D07"/>
    <w:rsid w:val="29FC30C2"/>
    <w:rsid w:val="2A783D0E"/>
    <w:rsid w:val="2A79056E"/>
    <w:rsid w:val="2AA12898"/>
    <w:rsid w:val="2AB54BE9"/>
    <w:rsid w:val="2AD0515C"/>
    <w:rsid w:val="2AF16E8B"/>
    <w:rsid w:val="2B2D4BDC"/>
    <w:rsid w:val="2B4A5A90"/>
    <w:rsid w:val="2B767712"/>
    <w:rsid w:val="2B7C19BF"/>
    <w:rsid w:val="2B7D41B3"/>
    <w:rsid w:val="2B8816D8"/>
    <w:rsid w:val="2B883BF0"/>
    <w:rsid w:val="2BA11DD5"/>
    <w:rsid w:val="2BBA3D8B"/>
    <w:rsid w:val="2BDE525F"/>
    <w:rsid w:val="2BFC26B9"/>
    <w:rsid w:val="2C095C42"/>
    <w:rsid w:val="2C340EF0"/>
    <w:rsid w:val="2C393AA7"/>
    <w:rsid w:val="2C596FFF"/>
    <w:rsid w:val="2CA6566A"/>
    <w:rsid w:val="2CAE7599"/>
    <w:rsid w:val="2CBB6294"/>
    <w:rsid w:val="2CF75313"/>
    <w:rsid w:val="2D010746"/>
    <w:rsid w:val="2D0E0416"/>
    <w:rsid w:val="2D2E04D4"/>
    <w:rsid w:val="2D3A4057"/>
    <w:rsid w:val="2D3A70CA"/>
    <w:rsid w:val="2D590FD0"/>
    <w:rsid w:val="2D716170"/>
    <w:rsid w:val="2D7C653D"/>
    <w:rsid w:val="2D994DBE"/>
    <w:rsid w:val="2D9D1B16"/>
    <w:rsid w:val="2DAA4117"/>
    <w:rsid w:val="2DB43FC5"/>
    <w:rsid w:val="2DBB5A9D"/>
    <w:rsid w:val="2DC71C9E"/>
    <w:rsid w:val="2DD53F02"/>
    <w:rsid w:val="2DD77866"/>
    <w:rsid w:val="2DD83397"/>
    <w:rsid w:val="2DEA73D0"/>
    <w:rsid w:val="2E0A0263"/>
    <w:rsid w:val="2E2E08F8"/>
    <w:rsid w:val="2E73484D"/>
    <w:rsid w:val="2E823302"/>
    <w:rsid w:val="2E9A7164"/>
    <w:rsid w:val="2EA02520"/>
    <w:rsid w:val="2EA1439C"/>
    <w:rsid w:val="2EB549E1"/>
    <w:rsid w:val="2EE1137A"/>
    <w:rsid w:val="2EEA76F0"/>
    <w:rsid w:val="2F2C56BA"/>
    <w:rsid w:val="2F356A16"/>
    <w:rsid w:val="2F3906E2"/>
    <w:rsid w:val="2F390775"/>
    <w:rsid w:val="2F4614DA"/>
    <w:rsid w:val="2F700B22"/>
    <w:rsid w:val="2F7A696B"/>
    <w:rsid w:val="2F812001"/>
    <w:rsid w:val="2FA00DAE"/>
    <w:rsid w:val="2FB84664"/>
    <w:rsid w:val="2FD5542F"/>
    <w:rsid w:val="305C1DFE"/>
    <w:rsid w:val="30834B79"/>
    <w:rsid w:val="30947D41"/>
    <w:rsid w:val="30BA4C0B"/>
    <w:rsid w:val="30C01658"/>
    <w:rsid w:val="30F92A44"/>
    <w:rsid w:val="310E13C6"/>
    <w:rsid w:val="31132F3A"/>
    <w:rsid w:val="31232963"/>
    <w:rsid w:val="314277DA"/>
    <w:rsid w:val="315857B1"/>
    <w:rsid w:val="31AB6658"/>
    <w:rsid w:val="31AF3F9A"/>
    <w:rsid w:val="31B77B92"/>
    <w:rsid w:val="31DB0A90"/>
    <w:rsid w:val="31DE7244"/>
    <w:rsid w:val="31F13480"/>
    <w:rsid w:val="320D162A"/>
    <w:rsid w:val="32137CF0"/>
    <w:rsid w:val="32340C69"/>
    <w:rsid w:val="32471F5A"/>
    <w:rsid w:val="324B5A3E"/>
    <w:rsid w:val="329715E4"/>
    <w:rsid w:val="32B7356F"/>
    <w:rsid w:val="32BC6677"/>
    <w:rsid w:val="32D3237F"/>
    <w:rsid w:val="32F75E6E"/>
    <w:rsid w:val="330C088A"/>
    <w:rsid w:val="330F475C"/>
    <w:rsid w:val="332A5E08"/>
    <w:rsid w:val="333D028C"/>
    <w:rsid w:val="33AF4FB4"/>
    <w:rsid w:val="33DE4357"/>
    <w:rsid w:val="33F01F18"/>
    <w:rsid w:val="33FA6785"/>
    <w:rsid w:val="34184290"/>
    <w:rsid w:val="34223427"/>
    <w:rsid w:val="342732F1"/>
    <w:rsid w:val="342B2E3E"/>
    <w:rsid w:val="342E31B3"/>
    <w:rsid w:val="34461690"/>
    <w:rsid w:val="34461BC1"/>
    <w:rsid w:val="344F3C87"/>
    <w:rsid w:val="34537273"/>
    <w:rsid w:val="3454463B"/>
    <w:rsid w:val="34726C75"/>
    <w:rsid w:val="348B3167"/>
    <w:rsid w:val="34941B80"/>
    <w:rsid w:val="34A814FE"/>
    <w:rsid w:val="34AA4F73"/>
    <w:rsid w:val="351760DF"/>
    <w:rsid w:val="352B6C5A"/>
    <w:rsid w:val="352F57CF"/>
    <w:rsid w:val="35520294"/>
    <w:rsid w:val="356510AB"/>
    <w:rsid w:val="357C1D84"/>
    <w:rsid w:val="35B073AE"/>
    <w:rsid w:val="35B33BC9"/>
    <w:rsid w:val="35C6444C"/>
    <w:rsid w:val="35F34A42"/>
    <w:rsid w:val="36237D2D"/>
    <w:rsid w:val="363503EB"/>
    <w:rsid w:val="3647637B"/>
    <w:rsid w:val="364A6DFC"/>
    <w:rsid w:val="36601EAC"/>
    <w:rsid w:val="367F686D"/>
    <w:rsid w:val="368B12D3"/>
    <w:rsid w:val="36A14C50"/>
    <w:rsid w:val="36B412F5"/>
    <w:rsid w:val="36CC7A6D"/>
    <w:rsid w:val="36FB00F6"/>
    <w:rsid w:val="370E451C"/>
    <w:rsid w:val="37166D43"/>
    <w:rsid w:val="372B30FF"/>
    <w:rsid w:val="372B3BDD"/>
    <w:rsid w:val="372F768E"/>
    <w:rsid w:val="37337890"/>
    <w:rsid w:val="37606BAF"/>
    <w:rsid w:val="376A4278"/>
    <w:rsid w:val="377870B5"/>
    <w:rsid w:val="377D5E16"/>
    <w:rsid w:val="377E65D4"/>
    <w:rsid w:val="37872B44"/>
    <w:rsid w:val="379F77DA"/>
    <w:rsid w:val="37A7041E"/>
    <w:rsid w:val="37A80A27"/>
    <w:rsid w:val="37E71EF2"/>
    <w:rsid w:val="38267090"/>
    <w:rsid w:val="382A6BED"/>
    <w:rsid w:val="38337F9E"/>
    <w:rsid w:val="38801A63"/>
    <w:rsid w:val="38894B13"/>
    <w:rsid w:val="38C80CB4"/>
    <w:rsid w:val="38D205AF"/>
    <w:rsid w:val="38DD791D"/>
    <w:rsid w:val="38DF7840"/>
    <w:rsid w:val="38EC6436"/>
    <w:rsid w:val="39106CC1"/>
    <w:rsid w:val="3920221B"/>
    <w:rsid w:val="3928065C"/>
    <w:rsid w:val="393007F5"/>
    <w:rsid w:val="39334BFF"/>
    <w:rsid w:val="39691B98"/>
    <w:rsid w:val="397460A4"/>
    <w:rsid w:val="39851179"/>
    <w:rsid w:val="39B2752B"/>
    <w:rsid w:val="39B41F0E"/>
    <w:rsid w:val="39B50EF3"/>
    <w:rsid w:val="39B565E1"/>
    <w:rsid w:val="39D04CC6"/>
    <w:rsid w:val="39D74E5C"/>
    <w:rsid w:val="3A003F1A"/>
    <w:rsid w:val="3A161D3F"/>
    <w:rsid w:val="3A4C6E95"/>
    <w:rsid w:val="3A921749"/>
    <w:rsid w:val="3A9A596C"/>
    <w:rsid w:val="3AA14E9E"/>
    <w:rsid w:val="3AA96749"/>
    <w:rsid w:val="3AC2239F"/>
    <w:rsid w:val="3B003F2D"/>
    <w:rsid w:val="3B0B7D97"/>
    <w:rsid w:val="3B66210B"/>
    <w:rsid w:val="3B972AF7"/>
    <w:rsid w:val="3BB70D15"/>
    <w:rsid w:val="3BC91BB9"/>
    <w:rsid w:val="3BD57167"/>
    <w:rsid w:val="3BEC4C24"/>
    <w:rsid w:val="3C120308"/>
    <w:rsid w:val="3C1F5F71"/>
    <w:rsid w:val="3C42650A"/>
    <w:rsid w:val="3C517746"/>
    <w:rsid w:val="3C9B51F8"/>
    <w:rsid w:val="3CDD4059"/>
    <w:rsid w:val="3CE05DC4"/>
    <w:rsid w:val="3D0C1182"/>
    <w:rsid w:val="3D101034"/>
    <w:rsid w:val="3D331E0B"/>
    <w:rsid w:val="3D5B4211"/>
    <w:rsid w:val="3D7663DD"/>
    <w:rsid w:val="3DA13720"/>
    <w:rsid w:val="3DFB2620"/>
    <w:rsid w:val="3E200D38"/>
    <w:rsid w:val="3E4203B8"/>
    <w:rsid w:val="3E8A1A02"/>
    <w:rsid w:val="3E8E765E"/>
    <w:rsid w:val="3EAE011F"/>
    <w:rsid w:val="3EB06CD2"/>
    <w:rsid w:val="3EC00BB2"/>
    <w:rsid w:val="3EC2400B"/>
    <w:rsid w:val="3EC7715A"/>
    <w:rsid w:val="3ECB27C9"/>
    <w:rsid w:val="3ED16A4F"/>
    <w:rsid w:val="3ED3065F"/>
    <w:rsid w:val="3EDD3826"/>
    <w:rsid w:val="3F2B7413"/>
    <w:rsid w:val="3F375A43"/>
    <w:rsid w:val="3F4E170B"/>
    <w:rsid w:val="3F5871FB"/>
    <w:rsid w:val="3F8E35DC"/>
    <w:rsid w:val="3F8E699F"/>
    <w:rsid w:val="3F8F5DC2"/>
    <w:rsid w:val="3FA46F4F"/>
    <w:rsid w:val="3FA567D3"/>
    <w:rsid w:val="3FB7550A"/>
    <w:rsid w:val="3FBF5991"/>
    <w:rsid w:val="3FE10717"/>
    <w:rsid w:val="3FE168AC"/>
    <w:rsid w:val="3FE436BD"/>
    <w:rsid w:val="400F3347"/>
    <w:rsid w:val="40157C85"/>
    <w:rsid w:val="40181902"/>
    <w:rsid w:val="401901D4"/>
    <w:rsid w:val="402900A4"/>
    <w:rsid w:val="402A046A"/>
    <w:rsid w:val="40342001"/>
    <w:rsid w:val="404742BD"/>
    <w:rsid w:val="4071177C"/>
    <w:rsid w:val="408172C4"/>
    <w:rsid w:val="40C02FE5"/>
    <w:rsid w:val="40E06246"/>
    <w:rsid w:val="40E10DBD"/>
    <w:rsid w:val="40E21CB8"/>
    <w:rsid w:val="410F31C3"/>
    <w:rsid w:val="411B6EC4"/>
    <w:rsid w:val="411F0E53"/>
    <w:rsid w:val="41550C30"/>
    <w:rsid w:val="417B430D"/>
    <w:rsid w:val="41875FCE"/>
    <w:rsid w:val="418F4ED4"/>
    <w:rsid w:val="4190424D"/>
    <w:rsid w:val="41973812"/>
    <w:rsid w:val="419E4953"/>
    <w:rsid w:val="426E4D94"/>
    <w:rsid w:val="42AD210C"/>
    <w:rsid w:val="42BB1B68"/>
    <w:rsid w:val="43090048"/>
    <w:rsid w:val="431918B1"/>
    <w:rsid w:val="43270B23"/>
    <w:rsid w:val="433428B4"/>
    <w:rsid w:val="43366434"/>
    <w:rsid w:val="434A0913"/>
    <w:rsid w:val="436A64E9"/>
    <w:rsid w:val="43711057"/>
    <w:rsid w:val="439C4F5E"/>
    <w:rsid w:val="43C8297A"/>
    <w:rsid w:val="43E630D7"/>
    <w:rsid w:val="43EF0860"/>
    <w:rsid w:val="43F02783"/>
    <w:rsid w:val="443F72D5"/>
    <w:rsid w:val="445645C5"/>
    <w:rsid w:val="44656E26"/>
    <w:rsid w:val="449457D3"/>
    <w:rsid w:val="44BE5C95"/>
    <w:rsid w:val="44CA00B8"/>
    <w:rsid w:val="44DD1035"/>
    <w:rsid w:val="44E36037"/>
    <w:rsid w:val="450F2BC2"/>
    <w:rsid w:val="451E392D"/>
    <w:rsid w:val="4530079D"/>
    <w:rsid w:val="454746DD"/>
    <w:rsid w:val="45523E4E"/>
    <w:rsid w:val="455367B2"/>
    <w:rsid w:val="456355DA"/>
    <w:rsid w:val="45A02EDD"/>
    <w:rsid w:val="45E61BCA"/>
    <w:rsid w:val="460E7456"/>
    <w:rsid w:val="460F4D8D"/>
    <w:rsid w:val="46162856"/>
    <w:rsid w:val="46231447"/>
    <w:rsid w:val="464002B5"/>
    <w:rsid w:val="46416C3D"/>
    <w:rsid w:val="46526D41"/>
    <w:rsid w:val="46584865"/>
    <w:rsid w:val="468200E4"/>
    <w:rsid w:val="46EA2D45"/>
    <w:rsid w:val="46EF1E7F"/>
    <w:rsid w:val="46F27DC7"/>
    <w:rsid w:val="47001117"/>
    <w:rsid w:val="473A7092"/>
    <w:rsid w:val="47492E75"/>
    <w:rsid w:val="475F3AC1"/>
    <w:rsid w:val="47615D53"/>
    <w:rsid w:val="476C355C"/>
    <w:rsid w:val="479C1F5F"/>
    <w:rsid w:val="47C13542"/>
    <w:rsid w:val="47D83A49"/>
    <w:rsid w:val="47D94249"/>
    <w:rsid w:val="48095D89"/>
    <w:rsid w:val="48113D01"/>
    <w:rsid w:val="4827475A"/>
    <w:rsid w:val="484C7B11"/>
    <w:rsid w:val="485E0A04"/>
    <w:rsid w:val="48654BCD"/>
    <w:rsid w:val="48761BE3"/>
    <w:rsid w:val="488F2D32"/>
    <w:rsid w:val="48956512"/>
    <w:rsid w:val="48A4548A"/>
    <w:rsid w:val="48A57E1F"/>
    <w:rsid w:val="48AB5953"/>
    <w:rsid w:val="48BD3312"/>
    <w:rsid w:val="48CE1F8B"/>
    <w:rsid w:val="48FD7CFE"/>
    <w:rsid w:val="49013B33"/>
    <w:rsid w:val="492C5155"/>
    <w:rsid w:val="49304CB2"/>
    <w:rsid w:val="49454F88"/>
    <w:rsid w:val="494C42B2"/>
    <w:rsid w:val="496F6EBE"/>
    <w:rsid w:val="497C2D21"/>
    <w:rsid w:val="49A364F7"/>
    <w:rsid w:val="49C42AE7"/>
    <w:rsid w:val="49C4569B"/>
    <w:rsid w:val="4A090DC7"/>
    <w:rsid w:val="4A14567E"/>
    <w:rsid w:val="4A1E4774"/>
    <w:rsid w:val="4A2308FE"/>
    <w:rsid w:val="4A35465B"/>
    <w:rsid w:val="4A470AAB"/>
    <w:rsid w:val="4A5133EE"/>
    <w:rsid w:val="4A5925CA"/>
    <w:rsid w:val="4A6C3E97"/>
    <w:rsid w:val="4A7B537E"/>
    <w:rsid w:val="4A955A49"/>
    <w:rsid w:val="4A98399C"/>
    <w:rsid w:val="4A9F211A"/>
    <w:rsid w:val="4AB10DA0"/>
    <w:rsid w:val="4ABC13E5"/>
    <w:rsid w:val="4AD80F53"/>
    <w:rsid w:val="4B2C75A6"/>
    <w:rsid w:val="4B2F1206"/>
    <w:rsid w:val="4B2F25FD"/>
    <w:rsid w:val="4B3E31E1"/>
    <w:rsid w:val="4B4330E6"/>
    <w:rsid w:val="4B480CD5"/>
    <w:rsid w:val="4B4A018D"/>
    <w:rsid w:val="4B650149"/>
    <w:rsid w:val="4BB15678"/>
    <w:rsid w:val="4BB76960"/>
    <w:rsid w:val="4BD03593"/>
    <w:rsid w:val="4BD87666"/>
    <w:rsid w:val="4BD9774C"/>
    <w:rsid w:val="4BE6691C"/>
    <w:rsid w:val="4BF467F9"/>
    <w:rsid w:val="4C080E93"/>
    <w:rsid w:val="4C4352D0"/>
    <w:rsid w:val="4C850277"/>
    <w:rsid w:val="4CAD084B"/>
    <w:rsid w:val="4D144986"/>
    <w:rsid w:val="4D354FF0"/>
    <w:rsid w:val="4D3852BE"/>
    <w:rsid w:val="4D386487"/>
    <w:rsid w:val="4D4C32B8"/>
    <w:rsid w:val="4DAE3419"/>
    <w:rsid w:val="4DBB048A"/>
    <w:rsid w:val="4DCA0357"/>
    <w:rsid w:val="4DFF3F61"/>
    <w:rsid w:val="4E0A5BFD"/>
    <w:rsid w:val="4E363F2F"/>
    <w:rsid w:val="4E3D05AB"/>
    <w:rsid w:val="4E401BB1"/>
    <w:rsid w:val="4E6F473D"/>
    <w:rsid w:val="4EA30437"/>
    <w:rsid w:val="4EAF3AED"/>
    <w:rsid w:val="4EB0019E"/>
    <w:rsid w:val="4EBE2289"/>
    <w:rsid w:val="4EC223BE"/>
    <w:rsid w:val="4ED32851"/>
    <w:rsid w:val="4ED35762"/>
    <w:rsid w:val="4EEF568B"/>
    <w:rsid w:val="4EF5014E"/>
    <w:rsid w:val="4F0F5E78"/>
    <w:rsid w:val="4F33554E"/>
    <w:rsid w:val="4F413878"/>
    <w:rsid w:val="4F6904A4"/>
    <w:rsid w:val="4F7B292B"/>
    <w:rsid w:val="4FC7042D"/>
    <w:rsid w:val="4FD27D59"/>
    <w:rsid w:val="4FDC58FD"/>
    <w:rsid w:val="4FDE1C0C"/>
    <w:rsid w:val="4FE91F62"/>
    <w:rsid w:val="4FE973DE"/>
    <w:rsid w:val="50216FE4"/>
    <w:rsid w:val="50614DD7"/>
    <w:rsid w:val="50702651"/>
    <w:rsid w:val="50787CFE"/>
    <w:rsid w:val="50AD12F1"/>
    <w:rsid w:val="50AE1AE4"/>
    <w:rsid w:val="50C16250"/>
    <w:rsid w:val="50D04AD5"/>
    <w:rsid w:val="50E92174"/>
    <w:rsid w:val="51167E7F"/>
    <w:rsid w:val="51316CBC"/>
    <w:rsid w:val="51390032"/>
    <w:rsid w:val="513A1037"/>
    <w:rsid w:val="514B005E"/>
    <w:rsid w:val="515C74D2"/>
    <w:rsid w:val="51652C0F"/>
    <w:rsid w:val="516662EA"/>
    <w:rsid w:val="518B20E9"/>
    <w:rsid w:val="518B2A41"/>
    <w:rsid w:val="518D4538"/>
    <w:rsid w:val="51A55251"/>
    <w:rsid w:val="51AB3EBC"/>
    <w:rsid w:val="51F577C4"/>
    <w:rsid w:val="51FD0367"/>
    <w:rsid w:val="51FE0545"/>
    <w:rsid w:val="52064146"/>
    <w:rsid w:val="521771B1"/>
    <w:rsid w:val="52377D55"/>
    <w:rsid w:val="527C6137"/>
    <w:rsid w:val="52984624"/>
    <w:rsid w:val="529C339B"/>
    <w:rsid w:val="52B77B19"/>
    <w:rsid w:val="52BE404B"/>
    <w:rsid w:val="52C73032"/>
    <w:rsid w:val="52CD5F8E"/>
    <w:rsid w:val="52E23011"/>
    <w:rsid w:val="52F10B24"/>
    <w:rsid w:val="5336530A"/>
    <w:rsid w:val="534A2585"/>
    <w:rsid w:val="536179FB"/>
    <w:rsid w:val="538765A5"/>
    <w:rsid w:val="539004A1"/>
    <w:rsid w:val="53BD6E3A"/>
    <w:rsid w:val="53C33A31"/>
    <w:rsid w:val="53E637C7"/>
    <w:rsid w:val="53F45929"/>
    <w:rsid w:val="544044D8"/>
    <w:rsid w:val="5468198B"/>
    <w:rsid w:val="54A655A6"/>
    <w:rsid w:val="54DB156B"/>
    <w:rsid w:val="54E037BB"/>
    <w:rsid w:val="54EB74E4"/>
    <w:rsid w:val="550042F1"/>
    <w:rsid w:val="55284AD7"/>
    <w:rsid w:val="5530324E"/>
    <w:rsid w:val="553440C9"/>
    <w:rsid w:val="55457E29"/>
    <w:rsid w:val="555B0657"/>
    <w:rsid w:val="556032BE"/>
    <w:rsid w:val="55912592"/>
    <w:rsid w:val="55EC5382"/>
    <w:rsid w:val="55FF3036"/>
    <w:rsid w:val="561E0739"/>
    <w:rsid w:val="56292705"/>
    <w:rsid w:val="564B448F"/>
    <w:rsid w:val="564E3203"/>
    <w:rsid w:val="56634629"/>
    <w:rsid w:val="566B4055"/>
    <w:rsid w:val="567D2A14"/>
    <w:rsid w:val="56837A94"/>
    <w:rsid w:val="5696376A"/>
    <w:rsid w:val="569A4DDE"/>
    <w:rsid w:val="56D9224C"/>
    <w:rsid w:val="56ED600D"/>
    <w:rsid w:val="570B1892"/>
    <w:rsid w:val="571D33CA"/>
    <w:rsid w:val="573F3BE7"/>
    <w:rsid w:val="57414A8A"/>
    <w:rsid w:val="57444728"/>
    <w:rsid w:val="577C6EA4"/>
    <w:rsid w:val="578F7B7D"/>
    <w:rsid w:val="57926FF9"/>
    <w:rsid w:val="579E1098"/>
    <w:rsid w:val="57DC160A"/>
    <w:rsid w:val="57E738F8"/>
    <w:rsid w:val="57EB5B27"/>
    <w:rsid w:val="57EC2D60"/>
    <w:rsid w:val="57F4076E"/>
    <w:rsid w:val="57F87D34"/>
    <w:rsid w:val="58263426"/>
    <w:rsid w:val="585B7AF5"/>
    <w:rsid w:val="587522C3"/>
    <w:rsid w:val="58916494"/>
    <w:rsid w:val="58A3772F"/>
    <w:rsid w:val="58BB4173"/>
    <w:rsid w:val="58C605DE"/>
    <w:rsid w:val="58CC5EFE"/>
    <w:rsid w:val="591A0B89"/>
    <w:rsid w:val="59230422"/>
    <w:rsid w:val="592418FC"/>
    <w:rsid w:val="59393A95"/>
    <w:rsid w:val="59693F87"/>
    <w:rsid w:val="59A62C94"/>
    <w:rsid w:val="59BB77BA"/>
    <w:rsid w:val="59C26374"/>
    <w:rsid w:val="59DF22E6"/>
    <w:rsid w:val="59F44D48"/>
    <w:rsid w:val="5A010425"/>
    <w:rsid w:val="5A232B71"/>
    <w:rsid w:val="5A4C0E52"/>
    <w:rsid w:val="5A7B33E5"/>
    <w:rsid w:val="5AA83A50"/>
    <w:rsid w:val="5AC20EBF"/>
    <w:rsid w:val="5AD007CE"/>
    <w:rsid w:val="5B05576F"/>
    <w:rsid w:val="5B254732"/>
    <w:rsid w:val="5B5C5E93"/>
    <w:rsid w:val="5B74024A"/>
    <w:rsid w:val="5BC75965"/>
    <w:rsid w:val="5BF26C79"/>
    <w:rsid w:val="5BF62976"/>
    <w:rsid w:val="5BFC1106"/>
    <w:rsid w:val="5C16597D"/>
    <w:rsid w:val="5C333EB3"/>
    <w:rsid w:val="5C6B076C"/>
    <w:rsid w:val="5C707C6C"/>
    <w:rsid w:val="5C875876"/>
    <w:rsid w:val="5CB1025F"/>
    <w:rsid w:val="5CC76C7C"/>
    <w:rsid w:val="5CCA7B44"/>
    <w:rsid w:val="5CF36024"/>
    <w:rsid w:val="5CFE3D8C"/>
    <w:rsid w:val="5CFF01AA"/>
    <w:rsid w:val="5D1344DD"/>
    <w:rsid w:val="5D336A78"/>
    <w:rsid w:val="5D5838CC"/>
    <w:rsid w:val="5D5E1B8E"/>
    <w:rsid w:val="5D7B6EDD"/>
    <w:rsid w:val="5D806796"/>
    <w:rsid w:val="5D827D40"/>
    <w:rsid w:val="5DAA6363"/>
    <w:rsid w:val="5DCD3255"/>
    <w:rsid w:val="5E0C65C1"/>
    <w:rsid w:val="5E29578F"/>
    <w:rsid w:val="5E532ADD"/>
    <w:rsid w:val="5E91320F"/>
    <w:rsid w:val="5E915A7A"/>
    <w:rsid w:val="5EA33A97"/>
    <w:rsid w:val="5EBF1FA8"/>
    <w:rsid w:val="5ED134B6"/>
    <w:rsid w:val="5EDF38ED"/>
    <w:rsid w:val="5EE27F82"/>
    <w:rsid w:val="5EF55DBA"/>
    <w:rsid w:val="5F0D7956"/>
    <w:rsid w:val="5F252DD0"/>
    <w:rsid w:val="5F302198"/>
    <w:rsid w:val="5F9E7984"/>
    <w:rsid w:val="5FA306FD"/>
    <w:rsid w:val="5FA96E03"/>
    <w:rsid w:val="5FC866E5"/>
    <w:rsid w:val="5FF743AB"/>
    <w:rsid w:val="60090629"/>
    <w:rsid w:val="605A26EA"/>
    <w:rsid w:val="606A3C6B"/>
    <w:rsid w:val="60786C32"/>
    <w:rsid w:val="609B5019"/>
    <w:rsid w:val="60B0102E"/>
    <w:rsid w:val="60D77F80"/>
    <w:rsid w:val="6113163D"/>
    <w:rsid w:val="6119401A"/>
    <w:rsid w:val="61530F65"/>
    <w:rsid w:val="61652DB1"/>
    <w:rsid w:val="619565F7"/>
    <w:rsid w:val="61970BE7"/>
    <w:rsid w:val="61E6537B"/>
    <w:rsid w:val="61F07F1A"/>
    <w:rsid w:val="620A3859"/>
    <w:rsid w:val="62204E0F"/>
    <w:rsid w:val="62207D5C"/>
    <w:rsid w:val="62595B4D"/>
    <w:rsid w:val="62845968"/>
    <w:rsid w:val="628B37D3"/>
    <w:rsid w:val="62AB09D7"/>
    <w:rsid w:val="62B35B81"/>
    <w:rsid w:val="62B75EDD"/>
    <w:rsid w:val="62C01D55"/>
    <w:rsid w:val="62C7516B"/>
    <w:rsid w:val="62C92F2D"/>
    <w:rsid w:val="62D2159E"/>
    <w:rsid w:val="62D93169"/>
    <w:rsid w:val="62F5393F"/>
    <w:rsid w:val="631D5B18"/>
    <w:rsid w:val="631E201F"/>
    <w:rsid w:val="63300A3F"/>
    <w:rsid w:val="63577D60"/>
    <w:rsid w:val="636514C6"/>
    <w:rsid w:val="636F701B"/>
    <w:rsid w:val="63796117"/>
    <w:rsid w:val="6382662F"/>
    <w:rsid w:val="63971613"/>
    <w:rsid w:val="63CB4107"/>
    <w:rsid w:val="63EF0CD5"/>
    <w:rsid w:val="64090834"/>
    <w:rsid w:val="64116EAE"/>
    <w:rsid w:val="641900EE"/>
    <w:rsid w:val="641A3E84"/>
    <w:rsid w:val="64244F31"/>
    <w:rsid w:val="642E31A5"/>
    <w:rsid w:val="6465551D"/>
    <w:rsid w:val="6467063D"/>
    <w:rsid w:val="649146E0"/>
    <w:rsid w:val="64937E71"/>
    <w:rsid w:val="6495646A"/>
    <w:rsid w:val="64A75D1A"/>
    <w:rsid w:val="65133D02"/>
    <w:rsid w:val="65191B50"/>
    <w:rsid w:val="654F64D2"/>
    <w:rsid w:val="6594249D"/>
    <w:rsid w:val="65E1661E"/>
    <w:rsid w:val="660918F9"/>
    <w:rsid w:val="6624505A"/>
    <w:rsid w:val="663C1302"/>
    <w:rsid w:val="6653662C"/>
    <w:rsid w:val="666E5AF3"/>
    <w:rsid w:val="667D74D6"/>
    <w:rsid w:val="66895D42"/>
    <w:rsid w:val="669A5886"/>
    <w:rsid w:val="66CC6DEA"/>
    <w:rsid w:val="66D7199B"/>
    <w:rsid w:val="66EC0618"/>
    <w:rsid w:val="67101119"/>
    <w:rsid w:val="67322850"/>
    <w:rsid w:val="673228B3"/>
    <w:rsid w:val="67400D4D"/>
    <w:rsid w:val="6744583B"/>
    <w:rsid w:val="678261B8"/>
    <w:rsid w:val="678C65EC"/>
    <w:rsid w:val="679D7826"/>
    <w:rsid w:val="67BA6E2F"/>
    <w:rsid w:val="67C952B3"/>
    <w:rsid w:val="67D41CE1"/>
    <w:rsid w:val="67D55FD4"/>
    <w:rsid w:val="67E37F9E"/>
    <w:rsid w:val="67ED15AC"/>
    <w:rsid w:val="67F96416"/>
    <w:rsid w:val="680E0EDC"/>
    <w:rsid w:val="68157763"/>
    <w:rsid w:val="6829425D"/>
    <w:rsid w:val="68583F24"/>
    <w:rsid w:val="68720AE2"/>
    <w:rsid w:val="68AC192A"/>
    <w:rsid w:val="68C429FA"/>
    <w:rsid w:val="68CC795D"/>
    <w:rsid w:val="68D20260"/>
    <w:rsid w:val="68E85E7D"/>
    <w:rsid w:val="68ED6911"/>
    <w:rsid w:val="6903642B"/>
    <w:rsid w:val="692F5E27"/>
    <w:rsid w:val="6938470E"/>
    <w:rsid w:val="69466675"/>
    <w:rsid w:val="69680B7A"/>
    <w:rsid w:val="697B39E6"/>
    <w:rsid w:val="697D6577"/>
    <w:rsid w:val="69816700"/>
    <w:rsid w:val="698C2B7F"/>
    <w:rsid w:val="699055EA"/>
    <w:rsid w:val="69AB5D7A"/>
    <w:rsid w:val="69DF21B7"/>
    <w:rsid w:val="69DF37C8"/>
    <w:rsid w:val="6A1D4678"/>
    <w:rsid w:val="6A204DBF"/>
    <w:rsid w:val="6A2E0C34"/>
    <w:rsid w:val="6A4C7335"/>
    <w:rsid w:val="6A545ADB"/>
    <w:rsid w:val="6A657F94"/>
    <w:rsid w:val="6A6B273C"/>
    <w:rsid w:val="6AAA18E6"/>
    <w:rsid w:val="6AC938A9"/>
    <w:rsid w:val="6AF72705"/>
    <w:rsid w:val="6B024AB2"/>
    <w:rsid w:val="6B2F05BC"/>
    <w:rsid w:val="6B3E32AC"/>
    <w:rsid w:val="6B9C0F5A"/>
    <w:rsid w:val="6BA438DC"/>
    <w:rsid w:val="6BD3585A"/>
    <w:rsid w:val="6BDD617C"/>
    <w:rsid w:val="6BDF1336"/>
    <w:rsid w:val="6BEC1F85"/>
    <w:rsid w:val="6C000C32"/>
    <w:rsid w:val="6C1763DF"/>
    <w:rsid w:val="6C3161F1"/>
    <w:rsid w:val="6C387770"/>
    <w:rsid w:val="6C577559"/>
    <w:rsid w:val="6C6A2AB8"/>
    <w:rsid w:val="6C822CC5"/>
    <w:rsid w:val="6C8F3EF6"/>
    <w:rsid w:val="6CAD55CC"/>
    <w:rsid w:val="6CBE1616"/>
    <w:rsid w:val="6CC15F94"/>
    <w:rsid w:val="6CC71DE4"/>
    <w:rsid w:val="6D0C01A9"/>
    <w:rsid w:val="6D551BE3"/>
    <w:rsid w:val="6DAD51A4"/>
    <w:rsid w:val="6DEF711E"/>
    <w:rsid w:val="6DEF745F"/>
    <w:rsid w:val="6E4B47E5"/>
    <w:rsid w:val="6E814EFB"/>
    <w:rsid w:val="6EA04E08"/>
    <w:rsid w:val="6EAA18F7"/>
    <w:rsid w:val="6EAE08F7"/>
    <w:rsid w:val="6EB92732"/>
    <w:rsid w:val="6EFE50BC"/>
    <w:rsid w:val="6F037E6A"/>
    <w:rsid w:val="6F6C114E"/>
    <w:rsid w:val="6FB02090"/>
    <w:rsid w:val="6FC26F58"/>
    <w:rsid w:val="6FCC38BC"/>
    <w:rsid w:val="6FCC4486"/>
    <w:rsid w:val="6FD761EC"/>
    <w:rsid w:val="70185EFE"/>
    <w:rsid w:val="70750A7A"/>
    <w:rsid w:val="70763A2A"/>
    <w:rsid w:val="70963FBA"/>
    <w:rsid w:val="709A5C21"/>
    <w:rsid w:val="70A55E95"/>
    <w:rsid w:val="70BF05CB"/>
    <w:rsid w:val="70C576E6"/>
    <w:rsid w:val="70D02722"/>
    <w:rsid w:val="70EC5AA6"/>
    <w:rsid w:val="71026622"/>
    <w:rsid w:val="714D2D21"/>
    <w:rsid w:val="71804215"/>
    <w:rsid w:val="71836742"/>
    <w:rsid w:val="718472AB"/>
    <w:rsid w:val="71943DF6"/>
    <w:rsid w:val="71CD054E"/>
    <w:rsid w:val="71D8215F"/>
    <w:rsid w:val="71DF1D07"/>
    <w:rsid w:val="71F56D21"/>
    <w:rsid w:val="71F91297"/>
    <w:rsid w:val="71FB41EE"/>
    <w:rsid w:val="72046959"/>
    <w:rsid w:val="720D209A"/>
    <w:rsid w:val="720F10E0"/>
    <w:rsid w:val="721D22C0"/>
    <w:rsid w:val="7221044F"/>
    <w:rsid w:val="724C22E8"/>
    <w:rsid w:val="725F0F01"/>
    <w:rsid w:val="7270591B"/>
    <w:rsid w:val="727C6653"/>
    <w:rsid w:val="729169F3"/>
    <w:rsid w:val="729572A8"/>
    <w:rsid w:val="729D5E1F"/>
    <w:rsid w:val="72D329C2"/>
    <w:rsid w:val="72E72EAA"/>
    <w:rsid w:val="73231555"/>
    <w:rsid w:val="7331658B"/>
    <w:rsid w:val="735423E7"/>
    <w:rsid w:val="73560C2B"/>
    <w:rsid w:val="736750AE"/>
    <w:rsid w:val="737943AB"/>
    <w:rsid w:val="737C5076"/>
    <w:rsid w:val="73902D7F"/>
    <w:rsid w:val="73981615"/>
    <w:rsid w:val="73D51780"/>
    <w:rsid w:val="73DE36CC"/>
    <w:rsid w:val="73F006A6"/>
    <w:rsid w:val="73F022C4"/>
    <w:rsid w:val="741B5970"/>
    <w:rsid w:val="741C4BB4"/>
    <w:rsid w:val="74244123"/>
    <w:rsid w:val="746371B3"/>
    <w:rsid w:val="746B2BC4"/>
    <w:rsid w:val="746F72F0"/>
    <w:rsid w:val="747A43C9"/>
    <w:rsid w:val="7497724D"/>
    <w:rsid w:val="74CC7235"/>
    <w:rsid w:val="751C22AA"/>
    <w:rsid w:val="75397634"/>
    <w:rsid w:val="754205F8"/>
    <w:rsid w:val="75595BE3"/>
    <w:rsid w:val="756735EC"/>
    <w:rsid w:val="757606EF"/>
    <w:rsid w:val="757847A3"/>
    <w:rsid w:val="757D627F"/>
    <w:rsid w:val="758322AB"/>
    <w:rsid w:val="75A971FA"/>
    <w:rsid w:val="75CC3902"/>
    <w:rsid w:val="76043466"/>
    <w:rsid w:val="761A409E"/>
    <w:rsid w:val="761B0268"/>
    <w:rsid w:val="761D1811"/>
    <w:rsid w:val="762F02D7"/>
    <w:rsid w:val="763D7340"/>
    <w:rsid w:val="76703EDF"/>
    <w:rsid w:val="76B17BE7"/>
    <w:rsid w:val="76B36415"/>
    <w:rsid w:val="76BA43D5"/>
    <w:rsid w:val="76CD5B13"/>
    <w:rsid w:val="76EB41A9"/>
    <w:rsid w:val="76F1351F"/>
    <w:rsid w:val="76F4165C"/>
    <w:rsid w:val="76F71295"/>
    <w:rsid w:val="76FC3F5B"/>
    <w:rsid w:val="77021D3C"/>
    <w:rsid w:val="7706359E"/>
    <w:rsid w:val="770D7C9C"/>
    <w:rsid w:val="7715234A"/>
    <w:rsid w:val="771A5653"/>
    <w:rsid w:val="7734542F"/>
    <w:rsid w:val="774073C9"/>
    <w:rsid w:val="77460079"/>
    <w:rsid w:val="77567D26"/>
    <w:rsid w:val="7760235E"/>
    <w:rsid w:val="776D0AE4"/>
    <w:rsid w:val="77AC6CA6"/>
    <w:rsid w:val="77C64121"/>
    <w:rsid w:val="77CE3B79"/>
    <w:rsid w:val="77FD4667"/>
    <w:rsid w:val="781200C6"/>
    <w:rsid w:val="78126A72"/>
    <w:rsid w:val="78150104"/>
    <w:rsid w:val="781C6EB1"/>
    <w:rsid w:val="78217B43"/>
    <w:rsid w:val="78622D75"/>
    <w:rsid w:val="787041AC"/>
    <w:rsid w:val="7875719F"/>
    <w:rsid w:val="78AE41F8"/>
    <w:rsid w:val="79050385"/>
    <w:rsid w:val="791063B8"/>
    <w:rsid w:val="793E7F2E"/>
    <w:rsid w:val="79520FBF"/>
    <w:rsid w:val="796362D3"/>
    <w:rsid w:val="796A27A6"/>
    <w:rsid w:val="797F13D1"/>
    <w:rsid w:val="798834D2"/>
    <w:rsid w:val="798968C0"/>
    <w:rsid w:val="79995762"/>
    <w:rsid w:val="79AE3E1A"/>
    <w:rsid w:val="79B7369F"/>
    <w:rsid w:val="79D510F0"/>
    <w:rsid w:val="79EC6905"/>
    <w:rsid w:val="79F56CDC"/>
    <w:rsid w:val="7A032271"/>
    <w:rsid w:val="7A0A309B"/>
    <w:rsid w:val="7A430E7B"/>
    <w:rsid w:val="7A534512"/>
    <w:rsid w:val="7A566F50"/>
    <w:rsid w:val="7A5B6EDF"/>
    <w:rsid w:val="7A676444"/>
    <w:rsid w:val="7AA27F96"/>
    <w:rsid w:val="7ABC2796"/>
    <w:rsid w:val="7AEA2FE4"/>
    <w:rsid w:val="7AFB7BE5"/>
    <w:rsid w:val="7B0A4A21"/>
    <w:rsid w:val="7B137629"/>
    <w:rsid w:val="7B1B29C2"/>
    <w:rsid w:val="7B3D6D3E"/>
    <w:rsid w:val="7B3E03E8"/>
    <w:rsid w:val="7B4129E6"/>
    <w:rsid w:val="7BA57F90"/>
    <w:rsid w:val="7BBC18FF"/>
    <w:rsid w:val="7BDF099D"/>
    <w:rsid w:val="7BFA1A82"/>
    <w:rsid w:val="7C100290"/>
    <w:rsid w:val="7C151FE3"/>
    <w:rsid w:val="7C1D63E0"/>
    <w:rsid w:val="7C246DC1"/>
    <w:rsid w:val="7C5D069A"/>
    <w:rsid w:val="7C730DF9"/>
    <w:rsid w:val="7C7654E0"/>
    <w:rsid w:val="7C9E2AE3"/>
    <w:rsid w:val="7CAF7498"/>
    <w:rsid w:val="7CD80658"/>
    <w:rsid w:val="7CDA126B"/>
    <w:rsid w:val="7CE01045"/>
    <w:rsid w:val="7CF21306"/>
    <w:rsid w:val="7D1819A4"/>
    <w:rsid w:val="7D300592"/>
    <w:rsid w:val="7D4A01C2"/>
    <w:rsid w:val="7D522787"/>
    <w:rsid w:val="7D9956A3"/>
    <w:rsid w:val="7DE374F5"/>
    <w:rsid w:val="7E0C2BAF"/>
    <w:rsid w:val="7E2744A2"/>
    <w:rsid w:val="7E2F39B4"/>
    <w:rsid w:val="7E327A3B"/>
    <w:rsid w:val="7E350DAB"/>
    <w:rsid w:val="7E424C31"/>
    <w:rsid w:val="7E5B3FF6"/>
    <w:rsid w:val="7E782BA9"/>
    <w:rsid w:val="7E9213CC"/>
    <w:rsid w:val="7EA926FF"/>
    <w:rsid w:val="7EAA18EA"/>
    <w:rsid w:val="7EC93E9C"/>
    <w:rsid w:val="7EF33F65"/>
    <w:rsid w:val="7EF348BB"/>
    <w:rsid w:val="7F522D98"/>
    <w:rsid w:val="7F71022A"/>
    <w:rsid w:val="7F72222C"/>
    <w:rsid w:val="7F826632"/>
    <w:rsid w:val="7FA31856"/>
    <w:rsid w:val="7FB2207D"/>
    <w:rsid w:val="7FFD3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5">
    <w:name w:val="heading 1"/>
    <w:basedOn w:val="1"/>
    <w:next w:val="1"/>
    <w:link w:val="165"/>
    <w:qFormat/>
    <w:uiPriority w:val="0"/>
    <w:pPr>
      <w:outlineLvl w:val="0"/>
    </w:pPr>
  </w:style>
  <w:style w:type="paragraph" w:styleId="6">
    <w:name w:val="heading 2"/>
    <w:basedOn w:val="1"/>
    <w:next w:val="1"/>
    <w:qFormat/>
    <w:uiPriority w:val="0"/>
    <w:pPr>
      <w:outlineLvl w:val="1"/>
    </w:pPr>
    <w:rPr>
      <w:rFonts w:hAnsi="宋体"/>
      <w:b/>
    </w:rPr>
  </w:style>
  <w:style w:type="paragraph" w:styleId="7">
    <w:name w:val="heading 3"/>
    <w:basedOn w:val="1"/>
    <w:next w:val="1"/>
    <w:qFormat/>
    <w:uiPriority w:val="0"/>
    <w:pPr>
      <w:outlineLvl w:val="2"/>
    </w:pPr>
  </w:style>
  <w:style w:type="paragraph" w:styleId="8">
    <w:name w:val="heading 4"/>
    <w:basedOn w:val="1"/>
    <w:next w:val="1"/>
    <w:link w:val="166"/>
    <w:qFormat/>
    <w:uiPriority w:val="9"/>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qFormat/>
    <w:uiPriority w:val="0"/>
    <w:pPr>
      <w:keepNext/>
      <w:keepLines/>
      <w:widowControl/>
      <w:tabs>
        <w:tab w:val="left" w:pos="1008"/>
      </w:tabs>
      <w:autoSpaceDE/>
      <w:autoSpaceDN/>
      <w:adjustRightInd/>
      <w:spacing w:before="280" w:after="290" w:line="376" w:lineRule="auto"/>
      <w:ind w:left="1008" w:hanging="1008"/>
      <w:outlineLvl w:val="4"/>
    </w:pPr>
    <w:rPr>
      <w:rFonts w:ascii="Times New Roman"/>
      <w:b/>
      <w:bCs/>
      <w:sz w:val="28"/>
      <w:szCs w:val="28"/>
    </w:rPr>
  </w:style>
  <w:style w:type="paragraph" w:styleId="10">
    <w:name w:val="heading 6"/>
    <w:basedOn w:val="1"/>
    <w:next w:val="1"/>
    <w:qFormat/>
    <w:uiPriority w:val="0"/>
    <w:pPr>
      <w:keepNext/>
      <w:keepLines/>
      <w:widowControl/>
      <w:tabs>
        <w:tab w:val="left" w:pos="1152"/>
      </w:tabs>
      <w:autoSpaceDE/>
      <w:autoSpaceDN/>
      <w:adjustRightInd/>
      <w:spacing w:before="240" w:after="64" w:line="320" w:lineRule="auto"/>
      <w:ind w:left="1152" w:hanging="1152"/>
      <w:outlineLvl w:val="5"/>
    </w:pPr>
    <w:rPr>
      <w:rFonts w:ascii="Arial" w:hAnsi="Arial" w:eastAsia="黑体"/>
      <w:b/>
      <w:bCs/>
    </w:rPr>
  </w:style>
  <w:style w:type="paragraph" w:styleId="11">
    <w:name w:val="heading 7"/>
    <w:basedOn w:val="1"/>
    <w:next w:val="1"/>
    <w:qFormat/>
    <w:uiPriority w:val="0"/>
    <w:pPr>
      <w:keepNext/>
      <w:keepLines/>
      <w:widowControl/>
      <w:tabs>
        <w:tab w:val="left" w:pos="1296"/>
      </w:tabs>
      <w:autoSpaceDE/>
      <w:autoSpaceDN/>
      <w:adjustRightInd/>
      <w:spacing w:before="240" w:after="64" w:line="320" w:lineRule="auto"/>
      <w:ind w:left="1296" w:hanging="1296"/>
      <w:outlineLvl w:val="6"/>
    </w:pPr>
    <w:rPr>
      <w:rFonts w:ascii="Times New Roman"/>
      <w:b/>
      <w:bCs/>
    </w:rPr>
  </w:style>
  <w:style w:type="paragraph" w:styleId="12">
    <w:name w:val="heading 8"/>
    <w:basedOn w:val="1"/>
    <w:next w:val="1"/>
    <w:qFormat/>
    <w:uiPriority w:val="0"/>
    <w:pPr>
      <w:keepNext/>
      <w:keepLines/>
      <w:widowControl/>
      <w:tabs>
        <w:tab w:val="left" w:pos="1440"/>
      </w:tabs>
      <w:autoSpaceDE/>
      <w:autoSpaceDN/>
      <w:adjustRightInd/>
      <w:spacing w:before="240" w:after="64" w:line="320" w:lineRule="auto"/>
      <w:ind w:left="1440" w:hanging="1440"/>
      <w:outlineLvl w:val="7"/>
    </w:pPr>
    <w:rPr>
      <w:rFonts w:ascii="Arial" w:hAnsi="Arial" w:eastAsia="黑体"/>
    </w:rPr>
  </w:style>
  <w:style w:type="paragraph" w:styleId="13">
    <w:name w:val="heading 9"/>
    <w:basedOn w:val="1"/>
    <w:next w:val="1"/>
    <w:qFormat/>
    <w:uiPriority w:val="0"/>
    <w:pPr>
      <w:keepNext/>
      <w:keepLines/>
      <w:widowControl/>
      <w:tabs>
        <w:tab w:val="left" w:pos="1584"/>
      </w:tabs>
      <w:autoSpaceDE/>
      <w:autoSpaceDN/>
      <w:adjustRightInd/>
      <w:spacing w:before="240" w:after="64" w:line="320" w:lineRule="auto"/>
      <w:ind w:left="1584" w:hanging="1584"/>
      <w:outlineLvl w:val="8"/>
    </w:pPr>
    <w:rPr>
      <w:rFonts w:ascii="Arial" w:hAnsi="Arial" w:eastAsia="黑体"/>
      <w:sz w:val="21"/>
      <w:szCs w:val="21"/>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64"/>
    <w:qFormat/>
    <w:uiPriority w:val="0"/>
    <w:pPr>
      <w:ind w:right="-26"/>
      <w:jc w:val="center"/>
    </w:pPr>
    <w:rPr>
      <w:b/>
      <w:bCs/>
      <w:kern w:val="2"/>
      <w:sz w:val="84"/>
      <w:szCs w:val="84"/>
      <w:lang w:val="zh-CN"/>
    </w:rPr>
  </w:style>
  <w:style w:type="paragraph" w:styleId="3">
    <w:name w:val="Body Text First Indent"/>
    <w:basedOn w:val="2"/>
    <w:next w:val="4"/>
    <w:qFormat/>
    <w:uiPriority w:val="0"/>
    <w:pPr>
      <w:widowControl/>
      <w:autoSpaceDE/>
      <w:autoSpaceDN/>
      <w:adjustRightInd/>
      <w:spacing w:after="120"/>
      <w:ind w:right="0" w:firstLine="420" w:firstLineChars="100"/>
      <w:jc w:val="left"/>
    </w:pPr>
    <w:rPr>
      <w:rFonts w:ascii="Times New Roman"/>
      <w:b w:val="0"/>
      <w:bCs w:val="0"/>
      <w:kern w:val="0"/>
      <w:sz w:val="21"/>
      <w:szCs w:val="20"/>
      <w:lang w:val="en-US"/>
    </w:rPr>
  </w:style>
  <w:style w:type="paragraph" w:styleId="4">
    <w:name w:val="toc 6"/>
    <w:basedOn w:val="1"/>
    <w:next w:val="1"/>
    <w:qFormat/>
    <w:uiPriority w:val="0"/>
    <w:pPr>
      <w:ind w:left="1200"/>
    </w:pPr>
    <w:rPr>
      <w:rFonts w:ascii="Calibri" w:hAnsi="Calibri" w:cs="Calibri"/>
      <w:sz w:val="18"/>
      <w:szCs w:val="18"/>
    </w:rPr>
  </w:style>
  <w:style w:type="paragraph" w:styleId="14">
    <w:name w:val="toc 7"/>
    <w:basedOn w:val="1"/>
    <w:next w:val="1"/>
    <w:qFormat/>
    <w:uiPriority w:val="0"/>
    <w:pPr>
      <w:ind w:left="1440"/>
    </w:pPr>
    <w:rPr>
      <w:rFonts w:ascii="Calibri" w:hAnsi="Calibri" w:cs="Calibri"/>
      <w:sz w:val="18"/>
      <w:szCs w:val="18"/>
    </w:rPr>
  </w:style>
  <w:style w:type="paragraph" w:styleId="15">
    <w:name w:val="Normal Indent"/>
    <w:basedOn w:val="1"/>
    <w:link w:val="167"/>
    <w:qFormat/>
    <w:uiPriority w:val="0"/>
    <w:pPr>
      <w:widowControl/>
      <w:autoSpaceDE/>
      <w:autoSpaceDN/>
      <w:adjustRightInd/>
      <w:ind w:firstLine="420" w:firstLineChars="200"/>
    </w:pPr>
    <w:rPr>
      <w:rFonts w:ascii="Times New Roman"/>
      <w:sz w:val="20"/>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List Bullet"/>
    <w:basedOn w:val="18"/>
    <w:qFormat/>
    <w:uiPriority w:val="0"/>
    <w:pPr>
      <w:widowControl/>
      <w:numPr>
        <w:numId w:val="1"/>
      </w:numPr>
      <w:tabs>
        <w:tab w:val="left" w:pos="360"/>
        <w:tab w:val="left" w:pos="420"/>
      </w:tabs>
      <w:adjustRightInd/>
      <w:snapToGrid/>
      <w:ind w:right="720"/>
    </w:pPr>
    <w:rPr>
      <w:rFonts w:ascii="Garamond" w:hAnsi="Garamond"/>
      <w:kern w:val="0"/>
      <w:sz w:val="24"/>
      <w:szCs w:val="20"/>
    </w:rPr>
  </w:style>
  <w:style w:type="paragraph" w:styleId="18">
    <w:name w:val="List"/>
    <w:basedOn w:val="1"/>
    <w:qFormat/>
    <w:uiPriority w:val="0"/>
    <w:pPr>
      <w:numPr>
        <w:ilvl w:val="0"/>
        <w:numId w:val="2"/>
      </w:numPr>
      <w:autoSpaceDE/>
      <w:autoSpaceDN/>
      <w:snapToGrid w:val="0"/>
      <w:spacing w:line="300" w:lineRule="auto"/>
      <w:jc w:val="both"/>
    </w:pPr>
    <w:rPr>
      <w:rFonts w:ascii="Times New Roman"/>
      <w:kern w:val="2"/>
      <w:sz w:val="21"/>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napToGrid w:val="0"/>
      <w:spacing w:before="120" w:line="360" w:lineRule="auto"/>
      <w:jc w:val="both"/>
    </w:pPr>
    <w:rPr>
      <w:rFonts w:ascii="Arial" w:hAnsi="Arial"/>
      <w:snapToGrid w:val="0"/>
      <w:color w:val="000000"/>
      <w:sz w:val="21"/>
      <w:szCs w:val="20"/>
    </w:rPr>
  </w:style>
  <w:style w:type="paragraph" w:styleId="21">
    <w:name w:val="annotation text"/>
    <w:basedOn w:val="1"/>
    <w:qFormat/>
    <w:uiPriority w:val="0"/>
    <w:pPr>
      <w:widowControl/>
      <w:autoSpaceDE/>
      <w:autoSpaceDN/>
      <w:adjustRightInd/>
    </w:pPr>
    <w:rPr>
      <w:rFonts w:ascii="Times New Roman"/>
      <w:sz w:val="21"/>
      <w:szCs w:val="20"/>
    </w:rPr>
  </w:style>
  <w:style w:type="paragraph" w:styleId="22">
    <w:name w:val="Body Text 3"/>
    <w:basedOn w:val="1"/>
    <w:qFormat/>
    <w:uiPriority w:val="0"/>
    <w:pPr>
      <w:ind w:right="-26"/>
      <w:jc w:val="center"/>
    </w:pPr>
    <w:rPr>
      <w:b/>
      <w:bCs/>
      <w:color w:val="3366FF"/>
      <w:kern w:val="2"/>
      <w:sz w:val="52"/>
      <w:szCs w:val="52"/>
      <w:lang w:val="zh-CN"/>
    </w:rPr>
  </w:style>
  <w:style w:type="paragraph" w:styleId="23">
    <w:name w:val="Body Text Indent"/>
    <w:basedOn w:val="1"/>
    <w:next w:val="24"/>
    <w:qFormat/>
    <w:uiPriority w:val="0"/>
    <w:pPr>
      <w:autoSpaceDE/>
      <w:autoSpaceDN/>
      <w:adjustRightInd/>
      <w:ind w:left="567" w:leftChars="270"/>
      <w:jc w:val="both"/>
    </w:pPr>
    <w:rPr>
      <w:rFonts w:ascii="Times New Roman"/>
      <w:kern w:val="2"/>
      <w:sz w:val="21"/>
      <w:szCs w:val="20"/>
    </w:rPr>
  </w:style>
  <w:style w:type="paragraph" w:styleId="24">
    <w:name w:val="Body Text Indent 2"/>
    <w:basedOn w:val="1"/>
    <w:qFormat/>
    <w:uiPriority w:val="0"/>
    <w:pPr>
      <w:tabs>
        <w:tab w:val="left" w:pos="8640"/>
      </w:tabs>
      <w:autoSpaceDE/>
      <w:autoSpaceDN/>
      <w:adjustRightInd/>
      <w:ind w:left="1260"/>
      <w:jc w:val="both"/>
    </w:pPr>
    <w:rPr>
      <w:kern w:val="2"/>
      <w:sz w:val="21"/>
      <w:szCs w:val="20"/>
    </w:rPr>
  </w:style>
  <w:style w:type="paragraph" w:styleId="25">
    <w:name w:val="List 2"/>
    <w:basedOn w:val="1"/>
    <w:qFormat/>
    <w:uiPriority w:val="0"/>
    <w:pPr>
      <w:widowControl/>
      <w:autoSpaceDE/>
      <w:autoSpaceDN/>
      <w:adjustRightInd/>
      <w:ind w:left="100" w:leftChars="200" w:hanging="200" w:hangingChars="200"/>
    </w:pPr>
    <w:rPr>
      <w:rFonts w:ascii="Times New Roman"/>
      <w:sz w:val="21"/>
      <w:szCs w:val="20"/>
    </w:rPr>
  </w:style>
  <w:style w:type="paragraph" w:styleId="26">
    <w:name w:val="Block Text"/>
    <w:basedOn w:val="1"/>
    <w:qFormat/>
    <w:uiPriority w:val="0"/>
    <w:pPr>
      <w:spacing w:after="120"/>
      <w:ind w:left="1440" w:leftChars="700" w:right="1440" w:rightChars="700"/>
    </w:pPr>
  </w:style>
  <w:style w:type="paragraph" w:styleId="27">
    <w:name w:val="toc 5"/>
    <w:basedOn w:val="1"/>
    <w:next w:val="1"/>
    <w:qFormat/>
    <w:uiPriority w:val="0"/>
    <w:pPr>
      <w:ind w:left="960"/>
    </w:pPr>
    <w:rPr>
      <w:rFonts w:ascii="Calibri" w:hAnsi="Calibri" w:cs="Calibri"/>
      <w:sz w:val="18"/>
      <w:szCs w:val="18"/>
    </w:rPr>
  </w:style>
  <w:style w:type="paragraph" w:styleId="28">
    <w:name w:val="toc 3"/>
    <w:basedOn w:val="1"/>
    <w:next w:val="1"/>
    <w:qFormat/>
    <w:uiPriority w:val="0"/>
    <w:pPr>
      <w:ind w:left="480"/>
    </w:pPr>
    <w:rPr>
      <w:rFonts w:ascii="Calibri" w:hAnsi="Calibri" w:cs="Calibri"/>
      <w:i/>
      <w:iCs/>
      <w:sz w:val="20"/>
      <w:szCs w:val="20"/>
    </w:rPr>
  </w:style>
  <w:style w:type="paragraph" w:styleId="29">
    <w:name w:val="Plain Text"/>
    <w:basedOn w:val="1"/>
    <w:next w:val="1"/>
    <w:link w:val="168"/>
    <w:qFormat/>
    <w:uiPriority w:val="0"/>
    <w:pPr>
      <w:autoSpaceDE/>
      <w:autoSpaceDN/>
      <w:adjustRightInd/>
      <w:jc w:val="both"/>
    </w:pPr>
    <w:rPr>
      <w:rFonts w:hAnsi="Courier New"/>
      <w:kern w:val="2"/>
      <w:sz w:val="21"/>
      <w:szCs w:val="20"/>
    </w:rPr>
  </w:style>
  <w:style w:type="paragraph" w:styleId="30">
    <w:name w:val="toc 8"/>
    <w:basedOn w:val="1"/>
    <w:next w:val="1"/>
    <w:qFormat/>
    <w:uiPriority w:val="0"/>
    <w:pPr>
      <w:ind w:left="1680"/>
    </w:pPr>
    <w:rPr>
      <w:rFonts w:ascii="Calibri" w:hAnsi="Calibri" w:cs="Calibri"/>
      <w:sz w:val="18"/>
      <w:szCs w:val="18"/>
    </w:rPr>
  </w:style>
  <w:style w:type="paragraph" w:styleId="31">
    <w:name w:val="Date"/>
    <w:basedOn w:val="1"/>
    <w:next w:val="1"/>
    <w:qFormat/>
    <w:uiPriority w:val="0"/>
    <w:pPr>
      <w:ind w:left="100" w:leftChars="2500"/>
    </w:pPr>
    <w:rPr>
      <w:b/>
      <w:bCs/>
      <w:kern w:val="2"/>
      <w:sz w:val="21"/>
      <w:szCs w:val="21"/>
      <w:lang w:val="zh-CN"/>
    </w:rPr>
  </w:style>
  <w:style w:type="paragraph" w:styleId="32">
    <w:name w:val="Balloon Text"/>
    <w:basedOn w:val="1"/>
    <w:qFormat/>
    <w:uiPriority w:val="0"/>
    <w:pPr>
      <w:autoSpaceDE/>
      <w:autoSpaceDN/>
      <w:adjustRightInd/>
      <w:jc w:val="both"/>
    </w:pPr>
    <w:rPr>
      <w:rFonts w:ascii="Times New Roman"/>
      <w:kern w:val="2"/>
      <w:sz w:val="18"/>
      <w:szCs w:val="18"/>
    </w:rPr>
  </w:style>
  <w:style w:type="paragraph" w:styleId="33">
    <w:name w:val="footer"/>
    <w:basedOn w:val="1"/>
    <w:link w:val="169"/>
    <w:qFormat/>
    <w:uiPriority w:val="0"/>
    <w:pPr>
      <w:tabs>
        <w:tab w:val="center" w:pos="4153"/>
        <w:tab w:val="right" w:pos="8306"/>
      </w:tabs>
      <w:snapToGrid w:val="0"/>
    </w:pPr>
    <w:rPr>
      <w:sz w:val="18"/>
      <w:szCs w:val="18"/>
    </w:rPr>
  </w:style>
  <w:style w:type="paragraph" w:styleId="34">
    <w:name w:val="envelope return"/>
    <w:basedOn w:val="1"/>
    <w:unhideWhenUsed/>
    <w:qFormat/>
    <w:uiPriority w:val="99"/>
    <w:pPr>
      <w:snapToGrid w:val="0"/>
    </w:pPr>
    <w:rPr>
      <w:rFonts w:ascii="Arial" w:hAnsi="Arial"/>
    </w:rPr>
  </w:style>
  <w:style w:type="paragraph" w:styleId="35">
    <w:name w:val="header"/>
    <w:basedOn w:val="1"/>
    <w:link w:val="170"/>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0"/>
    <w:pPr>
      <w:spacing w:before="120" w:after="120"/>
    </w:pPr>
    <w:rPr>
      <w:rFonts w:ascii="Calibri" w:hAnsi="Calibri" w:cs="Calibri"/>
      <w:b/>
      <w:bCs/>
      <w:caps/>
      <w:sz w:val="20"/>
      <w:szCs w:val="20"/>
    </w:rPr>
  </w:style>
  <w:style w:type="paragraph" w:styleId="37">
    <w:name w:val="toc 4"/>
    <w:basedOn w:val="1"/>
    <w:next w:val="1"/>
    <w:qFormat/>
    <w:uiPriority w:val="0"/>
    <w:pPr>
      <w:ind w:left="720"/>
    </w:pPr>
    <w:rPr>
      <w:rFonts w:ascii="Calibri" w:hAnsi="Calibri" w:cs="Calibri"/>
      <w:sz w:val="18"/>
      <w:szCs w:val="18"/>
    </w:rPr>
  </w:style>
  <w:style w:type="paragraph" w:styleId="38">
    <w:name w:val="index heading"/>
    <w:basedOn w:val="1"/>
    <w:next w:val="39"/>
    <w:qFormat/>
    <w:uiPriority w:val="0"/>
    <w:pPr>
      <w:autoSpaceDE/>
      <w:autoSpaceDN/>
      <w:adjustRightInd/>
      <w:jc w:val="both"/>
    </w:pPr>
    <w:rPr>
      <w:rFonts w:ascii="Times New Roman"/>
      <w:kern w:val="2"/>
      <w:sz w:val="21"/>
      <w:szCs w:val="20"/>
    </w:rPr>
  </w:style>
  <w:style w:type="paragraph" w:styleId="39">
    <w:name w:val="index 1"/>
    <w:basedOn w:val="1"/>
    <w:next w:val="1"/>
    <w:qFormat/>
    <w:uiPriority w:val="0"/>
    <w:pPr>
      <w:autoSpaceDE/>
      <w:autoSpaceDN/>
      <w:adjustRightInd/>
      <w:ind w:left="540" w:leftChars="257"/>
      <w:jc w:val="both"/>
    </w:pPr>
    <w:rPr>
      <w:rFonts w:ascii="Arial" w:hAnsi="Arial" w:cs="Arial"/>
      <w:kern w:val="2"/>
      <w:sz w:val="21"/>
    </w:rPr>
  </w:style>
  <w:style w:type="paragraph" w:styleId="40">
    <w:name w:val="Subtitle"/>
    <w:basedOn w:val="1"/>
    <w:link w:val="171"/>
    <w:qFormat/>
    <w:uiPriority w:val="0"/>
    <w:pPr>
      <w:autoSpaceDE/>
      <w:autoSpaceDN/>
      <w:adjustRightInd/>
      <w:spacing w:before="240" w:after="60" w:line="312" w:lineRule="auto"/>
      <w:jc w:val="center"/>
      <w:outlineLvl w:val="1"/>
    </w:pPr>
    <w:rPr>
      <w:rFonts w:ascii="Arial" w:hAnsi="Arial"/>
      <w:b/>
      <w:kern w:val="28"/>
      <w:sz w:val="32"/>
      <w:szCs w:val="20"/>
    </w:rPr>
  </w:style>
  <w:style w:type="paragraph" w:styleId="41">
    <w:name w:val="footnote text"/>
    <w:basedOn w:val="1"/>
    <w:unhideWhenUsed/>
    <w:qFormat/>
    <w:uiPriority w:val="99"/>
    <w:pPr>
      <w:snapToGrid w:val="0"/>
    </w:pPr>
    <w:rPr>
      <w:sz w:val="18"/>
    </w:rPr>
  </w:style>
  <w:style w:type="paragraph" w:styleId="42">
    <w:name w:val="Body Text Indent 3"/>
    <w:basedOn w:val="1"/>
    <w:qFormat/>
    <w:uiPriority w:val="0"/>
    <w:pPr>
      <w:spacing w:line="360" w:lineRule="auto"/>
      <w:ind w:firstLine="480" w:firstLineChars="200"/>
    </w:pPr>
  </w:style>
  <w:style w:type="paragraph" w:styleId="43">
    <w:name w:val="toc 2"/>
    <w:basedOn w:val="1"/>
    <w:next w:val="1"/>
    <w:qFormat/>
    <w:uiPriority w:val="0"/>
    <w:pPr>
      <w:ind w:left="240"/>
    </w:pPr>
    <w:rPr>
      <w:rFonts w:ascii="Calibri" w:hAnsi="Calibri" w:cs="Calibri"/>
      <w:smallCaps/>
      <w:sz w:val="20"/>
      <w:szCs w:val="20"/>
    </w:rPr>
  </w:style>
  <w:style w:type="paragraph" w:styleId="44">
    <w:name w:val="toc 9"/>
    <w:basedOn w:val="1"/>
    <w:next w:val="1"/>
    <w:qFormat/>
    <w:uiPriority w:val="0"/>
    <w:pPr>
      <w:ind w:left="1920"/>
    </w:pPr>
    <w:rPr>
      <w:rFonts w:ascii="Calibri" w:hAnsi="Calibri" w:cs="Calibri"/>
      <w:sz w:val="18"/>
      <w:szCs w:val="18"/>
    </w:rPr>
  </w:style>
  <w:style w:type="paragraph" w:styleId="45">
    <w:name w:val="Body Text 2"/>
    <w:basedOn w:val="1"/>
    <w:qFormat/>
    <w:uiPriority w:val="0"/>
    <w:pPr>
      <w:tabs>
        <w:tab w:val="left" w:pos="0"/>
      </w:tabs>
      <w:autoSpaceDE/>
      <w:autoSpaceDN/>
      <w:adjustRightInd/>
      <w:spacing w:line="400" w:lineRule="atLeast"/>
      <w:jc w:val="both"/>
    </w:pPr>
    <w:rPr>
      <w:rFonts w:ascii="Arial" w:hAnsi="Arial"/>
      <w:color w:val="000000"/>
      <w:kern w:val="2"/>
      <w:sz w:val="21"/>
    </w:rPr>
  </w:style>
  <w:style w:type="paragraph" w:styleId="46">
    <w:name w:val="List 4"/>
    <w:basedOn w:val="1"/>
    <w:qFormat/>
    <w:uiPriority w:val="0"/>
    <w:pPr>
      <w:tabs>
        <w:tab w:val="left" w:pos="750"/>
      </w:tabs>
      <w:autoSpaceDE/>
      <w:autoSpaceDN/>
      <w:adjustRightInd/>
      <w:ind w:left="750" w:hanging="750"/>
      <w:jc w:val="both"/>
    </w:pPr>
    <w:rPr>
      <w:rFonts w:ascii="Times New Roman"/>
      <w:b/>
      <w:kern w:val="2"/>
      <w:sz w:val="21"/>
      <w:szCs w:val="20"/>
    </w:rPr>
  </w:style>
  <w:style w:type="paragraph" w:styleId="47">
    <w:name w:val="HTML Preformatted"/>
    <w:basedOn w:val="1"/>
    <w:link w:val="17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80" w:lineRule="exact"/>
    </w:pPr>
    <w:rPr>
      <w:rFonts w:ascii="Arial" w:hAnsi="Arial" w:cs="Arial"/>
      <w:sz w:val="21"/>
      <w:szCs w:val="21"/>
    </w:rPr>
  </w:style>
  <w:style w:type="paragraph" w:styleId="48">
    <w:name w:val="Normal (Web)"/>
    <w:basedOn w:val="1"/>
    <w:qFormat/>
    <w:uiPriority w:val="0"/>
    <w:pPr>
      <w:widowControl/>
      <w:autoSpaceDE/>
      <w:autoSpaceDN/>
      <w:adjustRightInd/>
      <w:spacing w:before="100" w:beforeAutospacing="1" w:after="100" w:afterAutospacing="1"/>
    </w:pPr>
    <w:rPr>
      <w:rFonts w:hAnsi="宋体"/>
      <w:sz w:val="15"/>
      <w:szCs w:val="15"/>
    </w:rPr>
  </w:style>
  <w:style w:type="paragraph" w:styleId="49">
    <w:name w:val="Title"/>
    <w:basedOn w:val="1"/>
    <w:next w:val="1"/>
    <w:qFormat/>
    <w:uiPriority w:val="0"/>
    <w:pPr>
      <w:numPr>
        <w:ilvl w:val="0"/>
        <w:numId w:val="3"/>
      </w:numPr>
      <w:tabs>
        <w:tab w:val="clear" w:pos="2121"/>
      </w:tabs>
      <w:autoSpaceDE/>
      <w:autoSpaceDN/>
      <w:snapToGrid w:val="0"/>
      <w:spacing w:before="156" w:beforeLines="50" w:after="156" w:afterLines="50"/>
      <w:ind w:left="0" w:firstLine="0"/>
      <w:jc w:val="center"/>
      <w:outlineLvl w:val="0"/>
    </w:pPr>
    <w:rPr>
      <w:rFonts w:ascii="Arial" w:hAnsi="Arial" w:cs="Arial"/>
      <w:b/>
      <w:bCs/>
      <w:kern w:val="2"/>
      <w:sz w:val="52"/>
      <w:szCs w:val="32"/>
    </w:rPr>
  </w:style>
  <w:style w:type="paragraph" w:styleId="50">
    <w:name w:val="annotation subject"/>
    <w:basedOn w:val="21"/>
    <w:next w:val="21"/>
    <w:qFormat/>
    <w:uiPriority w:val="0"/>
    <w:rPr>
      <w:b/>
      <w:bCs/>
    </w:rPr>
  </w:style>
  <w:style w:type="paragraph" w:styleId="51">
    <w:name w:val="Body Text First Indent 2"/>
    <w:basedOn w:val="23"/>
    <w:unhideWhenUsed/>
    <w:qFormat/>
    <w:uiPriority w:val="99"/>
    <w:pPr>
      <w:ind w:left="420" w:firstLine="420" w:firstLineChars="200"/>
    </w:pPr>
  </w:style>
  <w:style w:type="table" w:styleId="53">
    <w:name w:val="Table Grid"/>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0"/>
    <w:rPr>
      <w:b/>
      <w:bCs/>
    </w:rPr>
  </w:style>
  <w:style w:type="character" w:styleId="56">
    <w:name w:val="page number"/>
    <w:qFormat/>
    <w:uiPriority w:val="0"/>
  </w:style>
  <w:style w:type="character" w:styleId="57">
    <w:name w:val="FollowedHyperlink"/>
    <w:qFormat/>
    <w:uiPriority w:val="0"/>
    <w:rPr>
      <w:color w:val="333333"/>
      <w:u w:val="none"/>
    </w:rPr>
  </w:style>
  <w:style w:type="character" w:styleId="58">
    <w:name w:val="Emphasis"/>
    <w:qFormat/>
    <w:uiPriority w:val="0"/>
    <w:rPr>
      <w:i/>
      <w:iCs/>
    </w:rPr>
  </w:style>
  <w:style w:type="character" w:styleId="59">
    <w:name w:val="Hyperlink"/>
    <w:qFormat/>
    <w:uiPriority w:val="0"/>
    <w:rPr>
      <w:color w:val="333333"/>
      <w:u w:val="none"/>
    </w:rPr>
  </w:style>
  <w:style w:type="character" w:styleId="60">
    <w:name w:val="annotation reference"/>
    <w:qFormat/>
    <w:uiPriority w:val="0"/>
    <w:rPr>
      <w:sz w:val="21"/>
      <w:szCs w:val="21"/>
    </w:rPr>
  </w:style>
  <w:style w:type="character" w:styleId="61">
    <w:name w:val="footnote reference"/>
    <w:unhideWhenUsed/>
    <w:qFormat/>
    <w:uiPriority w:val="99"/>
    <w:rPr>
      <w:vertAlign w:val="superscript"/>
    </w:rPr>
  </w:style>
  <w:style w:type="paragraph" w:customStyle="1" w:styleId="62">
    <w:name w:val="BodyText"/>
    <w:basedOn w:val="1"/>
    <w:next w:val="63"/>
    <w:qFormat/>
    <w:uiPriority w:val="0"/>
    <w:pPr>
      <w:ind w:right="-26"/>
      <w:jc w:val="center"/>
      <w:textAlignment w:val="baseline"/>
    </w:pPr>
    <w:rPr>
      <w:b/>
      <w:bCs/>
      <w:kern w:val="2"/>
      <w:sz w:val="84"/>
      <w:szCs w:val="84"/>
      <w:lang w:val="zh-CN"/>
    </w:rPr>
  </w:style>
  <w:style w:type="paragraph" w:customStyle="1" w:styleId="63">
    <w:name w:val="BodyText1I"/>
    <w:basedOn w:val="62"/>
    <w:next w:val="64"/>
    <w:qFormat/>
    <w:uiPriority w:val="0"/>
    <w:pPr>
      <w:widowControl/>
      <w:autoSpaceDE/>
      <w:autoSpaceDN/>
      <w:spacing w:after="120"/>
      <w:ind w:right="0" w:firstLine="420" w:firstLineChars="100"/>
      <w:jc w:val="left"/>
    </w:pPr>
    <w:rPr>
      <w:rFonts w:ascii="Times New Roman"/>
      <w:b w:val="0"/>
      <w:bCs w:val="0"/>
      <w:kern w:val="0"/>
      <w:sz w:val="21"/>
      <w:szCs w:val="20"/>
      <w:lang w:val="en-US"/>
    </w:rPr>
  </w:style>
  <w:style w:type="paragraph" w:customStyle="1" w:styleId="64">
    <w:name w:val="TOC6"/>
    <w:basedOn w:val="1"/>
    <w:next w:val="1"/>
    <w:qFormat/>
    <w:uiPriority w:val="0"/>
    <w:pPr>
      <w:ind w:left="1200"/>
      <w:textAlignment w:val="baseline"/>
    </w:pPr>
    <w:rPr>
      <w:rFonts w:ascii="Calibri" w:hAnsi="Calibri"/>
      <w:sz w:val="18"/>
      <w:szCs w:val="18"/>
    </w:rPr>
  </w:style>
  <w:style w:type="paragraph" w:customStyle="1" w:styleId="65">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66">
    <w:name w:val="正文缩进2格"/>
    <w:basedOn w:val="1"/>
    <w:next w:val="1"/>
    <w:link w:val="183"/>
    <w:qFormat/>
    <w:uiPriority w:val="0"/>
    <w:pPr>
      <w:autoSpaceDE/>
      <w:autoSpaceDN/>
      <w:adjustRightInd/>
      <w:spacing w:line="600" w:lineRule="exact"/>
      <w:ind w:firstLine="639" w:firstLineChars="206"/>
      <w:jc w:val="both"/>
    </w:pPr>
    <w:rPr>
      <w:rFonts w:ascii="仿宋_GB2312" w:hAnsi="宋体" w:eastAsia="仿宋_GB2312"/>
      <w:kern w:val="2"/>
      <w:sz w:val="31"/>
      <w:szCs w:val="28"/>
    </w:rPr>
  </w:style>
  <w:style w:type="paragraph" w:customStyle="1" w:styleId="67">
    <w:name w:val="标题 3.1"/>
    <w:basedOn w:val="7"/>
    <w:link w:val="185"/>
    <w:qFormat/>
    <w:uiPriority w:val="0"/>
    <w:pPr>
      <w:keepNext/>
      <w:keepLines/>
      <w:tabs>
        <w:tab w:val="left" w:pos="1440"/>
        <w:tab w:val="left" w:pos="1620"/>
      </w:tabs>
      <w:autoSpaceDE/>
      <w:autoSpaceDN/>
      <w:adjustRightInd/>
      <w:spacing w:before="260" w:after="260" w:line="600" w:lineRule="exact"/>
      <w:jc w:val="both"/>
    </w:pPr>
    <w:rPr>
      <w:rFonts w:hAnsi="宋体"/>
      <w:b/>
      <w:bCs/>
      <w:kern w:val="2"/>
      <w:sz w:val="32"/>
      <w:szCs w:val="32"/>
    </w:rPr>
  </w:style>
  <w:style w:type="paragraph" w:customStyle="1" w:styleId="68">
    <w:name w:val="技术响应1"/>
    <w:basedOn w:val="1"/>
    <w:qFormat/>
    <w:uiPriority w:val="0"/>
    <w:pPr>
      <w:widowControl/>
      <w:autoSpaceDE/>
      <w:autoSpaceDN/>
      <w:adjustRightInd/>
      <w:spacing w:line="360" w:lineRule="auto"/>
      <w:ind w:firstLine="588"/>
      <w:jc w:val="center"/>
    </w:pPr>
    <w:rPr>
      <w:b/>
      <w:sz w:val="28"/>
      <w:szCs w:val="20"/>
    </w:rPr>
  </w:style>
  <w:style w:type="paragraph" w:customStyle="1" w:styleId="69">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99"/>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70">
    <w:name w:val="Char1 Char Char Char"/>
    <w:basedOn w:val="1"/>
    <w:qFormat/>
    <w:uiPriority w:val="0"/>
    <w:pPr>
      <w:autoSpaceDE/>
      <w:autoSpaceDN/>
      <w:adjustRightInd/>
      <w:jc w:val="both"/>
    </w:pPr>
    <w:rPr>
      <w:rFonts w:ascii="Tahoma" w:hAnsi="Tahoma"/>
      <w:kern w:val="2"/>
      <w:szCs w:val="20"/>
    </w:rPr>
  </w:style>
  <w:style w:type="paragraph" w:customStyle="1" w:styleId="71">
    <w:name w:val="Bullet"/>
    <w:basedOn w:val="1"/>
    <w:qFormat/>
    <w:uiPriority w:val="0"/>
    <w:pPr>
      <w:numPr>
        <w:ilvl w:val="0"/>
        <w:numId w:val="4"/>
      </w:numPr>
      <w:autoSpaceDE/>
      <w:autoSpaceDN/>
      <w:adjustRightInd/>
      <w:spacing w:line="360" w:lineRule="exact"/>
      <w:jc w:val="both"/>
    </w:pPr>
    <w:rPr>
      <w:rFonts w:ascii="Times New Roman"/>
      <w:kern w:val="2"/>
      <w:szCs w:val="20"/>
    </w:rPr>
  </w:style>
  <w:style w:type="paragraph" w:customStyle="1" w:styleId="72">
    <w:name w:val="xl32"/>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73">
    <w:name w:val="p2"/>
    <w:basedOn w:val="1"/>
    <w:qFormat/>
    <w:uiPriority w:val="0"/>
  </w:style>
  <w:style w:type="paragraph" w:customStyle="1" w:styleId="74">
    <w:name w:val="普通(Web)"/>
    <w:basedOn w:val="1"/>
    <w:qFormat/>
    <w:uiPriority w:val="0"/>
    <w:pPr>
      <w:widowControl/>
      <w:autoSpaceDE/>
      <w:autoSpaceDN/>
      <w:adjustRightInd/>
      <w:spacing w:before="100" w:beforeAutospacing="1" w:after="100" w:afterAutospacing="1" w:line="240" w:lineRule="atLeast"/>
      <w:ind w:firstLine="360"/>
    </w:pPr>
    <w:rPr>
      <w:rFonts w:hAnsi="宋体"/>
      <w:sz w:val="18"/>
      <w:szCs w:val="20"/>
    </w:rPr>
  </w:style>
  <w:style w:type="paragraph" w:customStyle="1" w:styleId="75">
    <w:name w:val="信息标题2"/>
    <w:basedOn w:val="16"/>
    <w:next w:val="16"/>
    <w:qFormat/>
    <w:uiPriority w:val="0"/>
    <w:pPr>
      <w:autoSpaceDE/>
      <w:autoSpaceDN/>
      <w:adjustRightInd/>
      <w:spacing w:before="156" w:beforeLines="50" w:after="156" w:afterLines="50"/>
      <w:ind w:left="422" w:hanging="422" w:hangingChars="200"/>
    </w:pPr>
    <w:rPr>
      <w:rFonts w:ascii="Arial Black" w:hAnsi="Arial Black" w:eastAsia="宋体" w:cs="Times New Roman"/>
      <w:b/>
      <w:kern w:val="2"/>
      <w:sz w:val="30"/>
    </w:rPr>
  </w:style>
  <w:style w:type="paragraph" w:customStyle="1" w:styleId="76">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77">
    <w:name w:val="表格文字"/>
    <w:basedOn w:val="1"/>
    <w:qFormat/>
    <w:uiPriority w:val="0"/>
    <w:pPr>
      <w:autoSpaceDE/>
      <w:autoSpaceDN/>
      <w:adjustRightInd/>
      <w:spacing w:before="25" w:after="25"/>
    </w:pPr>
    <w:rPr>
      <w:rFonts w:ascii="Times New Roman"/>
      <w:bCs/>
      <w:spacing w:val="10"/>
      <w:szCs w:val="20"/>
    </w:rPr>
  </w:style>
  <w:style w:type="paragraph" w:customStyle="1" w:styleId="78">
    <w:name w:val="题注5"/>
    <w:basedOn w:val="1"/>
    <w:next w:val="16"/>
    <w:qFormat/>
    <w:uiPriority w:val="0"/>
    <w:pPr>
      <w:autoSpaceDE/>
      <w:autoSpaceDN/>
      <w:adjustRightInd/>
      <w:jc w:val="center"/>
    </w:pPr>
    <w:rPr>
      <w:rFonts w:ascii="Times New Roman"/>
      <w:b/>
      <w:color w:val="000000"/>
      <w:kern w:val="2"/>
      <w:szCs w:val="21"/>
    </w:rPr>
  </w:style>
  <w:style w:type="paragraph" w:customStyle="1" w:styleId="79">
    <w:name w:val="正文楷 Char"/>
    <w:basedOn w:val="1"/>
    <w:qFormat/>
    <w:uiPriority w:val="0"/>
    <w:pPr>
      <w:autoSpaceDE/>
      <w:autoSpaceDN/>
      <w:adjustRightInd/>
      <w:spacing w:line="500" w:lineRule="exact"/>
      <w:ind w:firstLine="560" w:firstLineChars="200"/>
      <w:jc w:val="both"/>
    </w:pPr>
    <w:rPr>
      <w:rFonts w:ascii="楷体_GB2312" w:hAnsi="楷体_GB2312" w:eastAsia="楷体_GB2312" w:cs="宋体"/>
      <w:kern w:val="2"/>
      <w:sz w:val="28"/>
      <w:szCs w:val="20"/>
    </w:rPr>
  </w:style>
  <w:style w:type="paragraph" w:customStyle="1" w:styleId="80">
    <w:name w:val="正文列表"/>
    <w:basedOn w:val="1"/>
    <w:qFormat/>
    <w:uiPriority w:val="0"/>
    <w:pPr>
      <w:jc w:val="center"/>
      <w:textAlignment w:val="baseline"/>
    </w:pPr>
    <w:rPr>
      <w:rFonts w:hAnsi="宋体"/>
      <w:szCs w:val="20"/>
    </w:rPr>
  </w:style>
  <w:style w:type="paragraph" w:customStyle="1" w:styleId="81">
    <w:name w:val="xl3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rPr>
  </w:style>
  <w:style w:type="paragraph" w:customStyle="1" w:styleId="82">
    <w:name w:val="xl26"/>
    <w:basedOn w:val="1"/>
    <w:qFormat/>
    <w:uiPriority w:val="0"/>
    <w:pPr>
      <w:widowControl/>
      <w:autoSpaceDE/>
      <w:autoSpaceDN/>
      <w:adjustRightInd/>
      <w:spacing w:before="100" w:beforeAutospacing="1" w:after="100" w:afterAutospacing="1"/>
      <w:jc w:val="center"/>
    </w:pPr>
    <w:rPr>
      <w:rFonts w:hint="eastAsia" w:ascii="仿宋_GB2312" w:hAnsi="宋体" w:eastAsia="仿宋_GB2312"/>
    </w:rPr>
  </w:style>
  <w:style w:type="paragraph" w:customStyle="1" w:styleId="83">
    <w:name w:val="Char"/>
    <w:basedOn w:val="1"/>
    <w:qFormat/>
    <w:uiPriority w:val="0"/>
    <w:pPr>
      <w:widowControl/>
      <w:autoSpaceDE/>
      <w:autoSpaceDN/>
      <w:adjustRightInd/>
      <w:spacing w:line="400" w:lineRule="exact"/>
      <w:jc w:val="center"/>
    </w:pPr>
    <w:rPr>
      <w:rFonts w:ascii="Times New Roman"/>
      <w:sz w:val="21"/>
      <w:szCs w:val="20"/>
    </w:rPr>
  </w:style>
  <w:style w:type="paragraph" w:customStyle="1" w:styleId="84">
    <w:name w:val="Char Char Char Char Char Char"/>
    <w:basedOn w:val="1"/>
    <w:qFormat/>
    <w:uiPriority w:val="0"/>
    <w:pPr>
      <w:widowControl/>
      <w:autoSpaceDE/>
      <w:autoSpaceDN/>
      <w:adjustRightInd/>
      <w:spacing w:after="160" w:line="240" w:lineRule="exact"/>
    </w:pPr>
    <w:rPr>
      <w:rFonts w:ascii="Times New Roman"/>
      <w:kern w:val="2"/>
      <w:lang w:eastAsia="en-US"/>
    </w:rPr>
  </w:style>
  <w:style w:type="paragraph" w:customStyle="1" w:styleId="85">
    <w:name w:val="p0"/>
    <w:basedOn w:val="1"/>
    <w:qFormat/>
    <w:uiPriority w:val="99"/>
    <w:pPr>
      <w:widowControl/>
    </w:pPr>
    <w:rPr>
      <w:szCs w:val="21"/>
    </w:rPr>
  </w:style>
  <w:style w:type="paragraph" w:customStyle="1" w:styleId="86">
    <w:name w:val="技术响应2"/>
    <w:basedOn w:val="1"/>
    <w:qFormat/>
    <w:uiPriority w:val="0"/>
    <w:pPr>
      <w:numPr>
        <w:ilvl w:val="0"/>
        <w:numId w:val="5"/>
      </w:numPr>
      <w:autoSpaceDE/>
      <w:autoSpaceDN/>
      <w:adjustRightInd/>
      <w:jc w:val="both"/>
    </w:pPr>
    <w:rPr>
      <w:rFonts w:hAnsi="宋体"/>
      <w:b/>
      <w:bCs/>
      <w:kern w:val="2"/>
      <w:sz w:val="21"/>
      <w:szCs w:val="20"/>
    </w:rPr>
  </w:style>
  <w:style w:type="paragraph" w:customStyle="1" w:styleId="87">
    <w:name w:val="默认段落字体 Para Char"/>
    <w:basedOn w:val="1"/>
    <w:qFormat/>
    <w:uiPriority w:val="0"/>
    <w:pPr>
      <w:autoSpaceDE/>
      <w:autoSpaceDN/>
      <w:spacing w:line="360" w:lineRule="auto"/>
      <w:jc w:val="both"/>
    </w:pPr>
    <w:rPr>
      <w:rFonts w:ascii="Times New Roman"/>
      <w:szCs w:val="20"/>
    </w:rPr>
  </w:style>
  <w:style w:type="paragraph" w:customStyle="1" w:styleId="88">
    <w:name w:val="Char Char Char Char Char Char1 Char"/>
    <w:basedOn w:val="1"/>
    <w:qFormat/>
    <w:uiPriority w:val="0"/>
    <w:pPr>
      <w:widowControl/>
      <w:autoSpaceDE/>
      <w:autoSpaceDN/>
      <w:adjustRightInd/>
      <w:spacing w:after="160" w:line="240" w:lineRule="exact"/>
    </w:pPr>
    <w:rPr>
      <w:rFonts w:ascii="Arial" w:hAnsi="Arial" w:eastAsia="楷体_GB2312" w:cs="Verdana"/>
      <w:b/>
      <w:lang w:eastAsia="en-US"/>
    </w:rPr>
  </w:style>
  <w:style w:type="paragraph" w:customStyle="1" w:styleId="89">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90">
    <w:name w:val="DAS正文"/>
    <w:basedOn w:val="1"/>
    <w:qFormat/>
    <w:uiPriority w:val="0"/>
    <w:pPr>
      <w:autoSpaceDE/>
      <w:autoSpaceDN/>
      <w:adjustRightInd/>
      <w:spacing w:line="360" w:lineRule="exact"/>
      <w:jc w:val="both"/>
    </w:pPr>
    <w:rPr>
      <w:rFonts w:ascii="Verdana" w:hAnsi="Verdana"/>
      <w:kern w:val="2"/>
      <w:sz w:val="21"/>
      <w:szCs w:val="21"/>
    </w:rPr>
  </w:style>
  <w:style w:type="paragraph" w:customStyle="1" w:styleId="91">
    <w:name w:val="Char Char Char"/>
    <w:basedOn w:val="1"/>
    <w:qFormat/>
    <w:uiPriority w:val="0"/>
    <w:pPr>
      <w:autoSpaceDE/>
      <w:autoSpaceDN/>
      <w:adjustRightInd/>
      <w:jc w:val="both"/>
    </w:pPr>
    <w:rPr>
      <w:rFonts w:ascii="Tahoma" w:hAnsi="Tahoma"/>
      <w:b/>
      <w:sz w:val="28"/>
      <w:szCs w:val="20"/>
    </w:rPr>
  </w:style>
  <w:style w:type="paragraph" w:customStyle="1" w:styleId="92">
    <w:name w:val="题注4"/>
    <w:basedOn w:val="1"/>
    <w:next w:val="16"/>
    <w:qFormat/>
    <w:uiPriority w:val="0"/>
    <w:pPr>
      <w:autoSpaceDE/>
      <w:autoSpaceDN/>
      <w:adjustRightInd/>
      <w:ind w:left="-132" w:leftChars="-64" w:right="-105" w:rightChars="-50" w:hanging="2"/>
      <w:jc w:val="center"/>
    </w:pPr>
    <w:rPr>
      <w:rFonts w:ascii="Times New Roman"/>
      <w:b/>
      <w:color w:val="FF0000"/>
      <w:kern w:val="2"/>
      <w:sz w:val="21"/>
      <w:szCs w:val="21"/>
      <w:lang w:val="en-GB"/>
    </w:rPr>
  </w:style>
  <w:style w:type="paragraph" w:customStyle="1" w:styleId="93">
    <w:name w:val="_Style 202"/>
    <w:basedOn w:val="1"/>
    <w:qFormat/>
    <w:uiPriority w:val="0"/>
    <w:pPr>
      <w:tabs>
        <w:tab w:val="left" w:pos="360"/>
      </w:tabs>
      <w:autoSpaceDE/>
      <w:autoSpaceDN/>
      <w:adjustRightInd/>
      <w:jc w:val="both"/>
    </w:pPr>
    <w:rPr>
      <w:rFonts w:ascii="Times New Roman"/>
      <w:kern w:val="2"/>
      <w:sz w:val="21"/>
    </w:rPr>
  </w:style>
  <w:style w:type="paragraph" w:customStyle="1" w:styleId="94">
    <w:name w:val="标题4"/>
    <w:basedOn w:val="66"/>
    <w:qFormat/>
    <w:uiPriority w:val="0"/>
    <w:pPr>
      <w:spacing w:line="540" w:lineRule="exact"/>
      <w:ind w:firstLine="0" w:firstLineChars="0"/>
    </w:pPr>
    <w:rPr>
      <w:rFonts w:hAnsi="Times New Roman"/>
      <w:szCs w:val="24"/>
    </w:rPr>
  </w:style>
  <w:style w:type="paragraph" w:customStyle="1" w:styleId="95">
    <w:name w:val="Char1 Char Char Char Char Char Char"/>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96">
    <w:name w:val="版权"/>
    <w:basedOn w:val="1"/>
    <w:qFormat/>
    <w:uiPriority w:val="0"/>
    <w:pPr>
      <w:autoSpaceDE/>
      <w:autoSpaceDN/>
      <w:adjustRightInd/>
      <w:spacing w:before="312" w:after="312"/>
      <w:ind w:firstLine="480"/>
      <w:jc w:val="center"/>
      <w:outlineLvl w:val="0"/>
    </w:pPr>
    <w:rPr>
      <w:rFonts w:ascii="华文中宋" w:hAnsi="华文中宋"/>
      <w:b/>
      <w:kern w:val="2"/>
      <w:szCs w:val="20"/>
    </w:rPr>
  </w:style>
  <w:style w:type="paragraph" w:customStyle="1" w:styleId="97">
    <w:name w:val="xl33"/>
    <w:basedOn w:val="1"/>
    <w:qFormat/>
    <w:uiPriority w:val="0"/>
    <w:pPr>
      <w:widowControl/>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98">
    <w:name w:val="列出段落1"/>
    <w:basedOn w:val="1"/>
    <w:qFormat/>
    <w:uiPriority w:val="34"/>
    <w:pPr>
      <w:ind w:firstLine="420" w:firstLineChars="200"/>
    </w:pPr>
    <w:rPr>
      <w:rFonts w:ascii="Calibri" w:hAnsi="Calibri" w:cs="黑体"/>
    </w:rPr>
  </w:style>
  <w:style w:type="paragraph" w:customStyle="1" w:styleId="99">
    <w:name w:val="xl28"/>
    <w:basedOn w:val="1"/>
    <w:qFormat/>
    <w:uiPriority w:val="0"/>
    <w:pPr>
      <w:widowControl/>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00">
    <w:name w:val="xl44"/>
    <w:basedOn w:val="1"/>
    <w:qFormat/>
    <w:uiPriority w:val="0"/>
    <w:pPr>
      <w:widowControl/>
      <w:pBdr>
        <w:left w:val="single" w:color="auto" w:sz="4" w:space="0"/>
        <w:right w:val="single" w:color="auto" w:sz="4" w:space="0"/>
      </w:pBdr>
      <w:spacing w:before="100" w:beforeAutospacing="1" w:after="100" w:afterAutospacing="1"/>
      <w:jc w:val="center"/>
    </w:pPr>
    <w:rPr>
      <w:rFonts w:hint="eastAsia" w:hAnsi="宋体"/>
    </w:rPr>
  </w:style>
  <w:style w:type="paragraph" w:customStyle="1" w:styleId="101">
    <w:name w:val="font5"/>
    <w:basedOn w:val="1"/>
    <w:qFormat/>
    <w:uiPriority w:val="0"/>
    <w:pPr>
      <w:widowControl/>
      <w:autoSpaceDE/>
      <w:autoSpaceDN/>
      <w:adjustRightInd/>
      <w:spacing w:before="100" w:beforeAutospacing="1" w:after="100" w:afterAutospacing="1"/>
    </w:pPr>
    <w:rPr>
      <w:rFonts w:hint="eastAsia" w:hAnsi="宋体"/>
      <w:sz w:val="18"/>
      <w:szCs w:val="20"/>
    </w:rPr>
  </w:style>
  <w:style w:type="paragraph" w:customStyle="1" w:styleId="102">
    <w:name w:val="表格正文"/>
    <w:basedOn w:val="1"/>
    <w:qFormat/>
    <w:uiPriority w:val="0"/>
    <w:pPr>
      <w:widowControl/>
      <w:overflowPunct w:val="0"/>
      <w:spacing w:before="312" w:after="312" w:line="360" w:lineRule="auto"/>
      <w:textAlignment w:val="baseline"/>
    </w:pPr>
    <w:rPr>
      <w:rFonts w:hAnsi="Tahoma"/>
      <w:szCs w:val="20"/>
    </w:rPr>
  </w:style>
  <w:style w:type="paragraph" w:customStyle="1" w:styleId="103">
    <w:name w:val="正文首行缩进两字符"/>
    <w:basedOn w:val="1"/>
    <w:qFormat/>
    <w:uiPriority w:val="0"/>
    <w:pPr>
      <w:spacing w:line="360" w:lineRule="auto"/>
      <w:ind w:firstLine="200" w:firstLineChars="200"/>
    </w:pPr>
  </w:style>
  <w:style w:type="paragraph" w:customStyle="1" w:styleId="104">
    <w:name w:val="题目副题"/>
    <w:basedOn w:val="40"/>
    <w:qFormat/>
    <w:uiPriority w:val="0"/>
    <w:pPr>
      <w:spacing w:before="0" w:after="312"/>
      <w:ind w:left="240" w:firstLine="600"/>
      <w:jc w:val="left"/>
      <w:outlineLvl w:val="9"/>
    </w:pPr>
    <w:rPr>
      <w:rFonts w:ascii="宋体" w:hAnsi="宋体"/>
      <w:sz w:val="30"/>
    </w:rPr>
  </w:style>
  <w:style w:type="paragraph" w:customStyle="1" w:styleId="105">
    <w:name w:val="无缩进"/>
    <w:next w:val="2"/>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106">
    <w:name w:val="Char Char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07">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08">
    <w:name w:val="CoverClientName"/>
    <w:basedOn w:val="1"/>
    <w:next w:val="1"/>
    <w:qFormat/>
    <w:uiPriority w:val="0"/>
    <w:pPr>
      <w:overflowPunct w:val="0"/>
      <w:spacing w:after="480" w:line="264" w:lineRule="auto"/>
      <w:textAlignment w:val="baseline"/>
    </w:pPr>
    <w:rPr>
      <w:rFonts w:ascii="Book Antiqua" w:hAnsi="Book Antiqua"/>
      <w:sz w:val="22"/>
      <w:lang w:val="en-GB" w:eastAsia="en-US"/>
    </w:rPr>
  </w:style>
  <w:style w:type="paragraph" w:customStyle="1" w:styleId="109">
    <w:name w:val="xl3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Times New Roman" w:eastAsia="Arial Unicode MS"/>
      <w:sz w:val="20"/>
      <w:szCs w:val="20"/>
    </w:rPr>
  </w:style>
  <w:style w:type="paragraph" w:customStyle="1" w:styleId="110">
    <w:name w:val="样式 我的标题 + 两端对齐"/>
    <w:basedOn w:val="5"/>
    <w:qFormat/>
    <w:uiPriority w:val="0"/>
    <w:pPr>
      <w:keepNext/>
      <w:keepLines/>
      <w:autoSpaceDE/>
      <w:autoSpaceDN/>
      <w:adjustRightInd/>
      <w:spacing w:before="340" w:after="330" w:line="578" w:lineRule="auto"/>
      <w:jc w:val="center"/>
    </w:pPr>
    <w:rPr>
      <w:rFonts w:ascii="Times New Roman" w:cs="宋体"/>
      <w:b/>
      <w:bCs/>
      <w:kern w:val="44"/>
      <w:sz w:val="32"/>
      <w:szCs w:val="20"/>
    </w:rPr>
  </w:style>
  <w:style w:type="paragraph" w:customStyle="1" w:styleId="111">
    <w:name w:val="表格栏头"/>
    <w:basedOn w:val="102"/>
    <w:next w:val="102"/>
    <w:qFormat/>
    <w:uiPriority w:val="0"/>
    <w:rPr>
      <w:b/>
    </w:rPr>
  </w:style>
  <w:style w:type="paragraph" w:customStyle="1" w:styleId="112">
    <w:name w:val="正文正"/>
    <w:basedOn w:val="1"/>
    <w:qFormat/>
    <w:uiPriority w:val="0"/>
    <w:pPr>
      <w:spacing w:line="560" w:lineRule="exact"/>
      <w:ind w:firstLine="561"/>
    </w:pPr>
    <w:rPr>
      <w:rFonts w:ascii="Calibri" w:hAnsi="Calibri"/>
      <w:sz w:val="28"/>
    </w:rPr>
  </w:style>
  <w:style w:type="paragraph" w:customStyle="1" w:styleId="113">
    <w:name w:val="表头"/>
    <w:basedOn w:val="16"/>
    <w:qFormat/>
    <w:uiPriority w:val="0"/>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114">
    <w:name w:val="需求书2"/>
    <w:basedOn w:val="1"/>
    <w:qFormat/>
    <w:uiPriority w:val="0"/>
    <w:pPr>
      <w:autoSpaceDE/>
      <w:autoSpaceDN/>
      <w:adjustRightInd/>
      <w:jc w:val="both"/>
    </w:pPr>
    <w:rPr>
      <w:rFonts w:hAnsi="宋体"/>
      <w:spacing w:val="10"/>
      <w:kern w:val="2"/>
      <w:sz w:val="18"/>
      <w:szCs w:val="20"/>
    </w:rPr>
  </w:style>
  <w:style w:type="paragraph" w:customStyle="1" w:styleId="115">
    <w:name w:val="Char1 Char Char Char Char Char Char1"/>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16">
    <w:name w:val="正文缩进4格"/>
    <w:basedOn w:val="66"/>
    <w:qFormat/>
    <w:uiPriority w:val="0"/>
    <w:pPr>
      <w:ind w:left="651" w:leftChars="310" w:firstLine="608" w:firstLineChars="196"/>
    </w:pPr>
    <w:rPr>
      <w:color w:val="000000"/>
    </w:rPr>
  </w:style>
  <w:style w:type="paragraph" w:styleId="117">
    <w:name w:val="List Paragraph"/>
    <w:basedOn w:val="1"/>
    <w:qFormat/>
    <w:uiPriority w:val="0"/>
    <w:pPr>
      <w:autoSpaceDE/>
      <w:autoSpaceDN/>
      <w:adjustRightInd/>
      <w:ind w:firstLine="420" w:firstLineChars="200"/>
      <w:jc w:val="both"/>
    </w:pPr>
    <w:rPr>
      <w:rFonts w:ascii="Calibri" w:hAnsi="Calibri"/>
      <w:kern w:val="2"/>
      <w:sz w:val="21"/>
    </w:rPr>
  </w:style>
  <w:style w:type="paragraph" w:customStyle="1" w:styleId="118">
    <w:name w:val="目录"/>
    <w:basedOn w:val="1"/>
    <w:qFormat/>
    <w:uiPriority w:val="0"/>
    <w:pPr>
      <w:widowControl/>
      <w:autoSpaceDE/>
      <w:autoSpaceDN/>
      <w:adjustRightInd/>
      <w:spacing w:line="480" w:lineRule="auto"/>
      <w:jc w:val="center"/>
    </w:pPr>
    <w:rPr>
      <w:b/>
      <w:szCs w:val="20"/>
    </w:rPr>
  </w:style>
  <w:style w:type="paragraph" w:customStyle="1" w:styleId="119">
    <w:name w:val="列表段落1"/>
    <w:basedOn w:val="1"/>
    <w:qFormat/>
    <w:uiPriority w:val="0"/>
    <w:pPr>
      <w:autoSpaceDE/>
      <w:autoSpaceDN/>
      <w:adjustRightInd/>
      <w:ind w:firstLine="420" w:firstLineChars="200"/>
      <w:jc w:val="both"/>
    </w:pPr>
    <w:rPr>
      <w:rFonts w:ascii="Calibri" w:hAnsi="Calibri"/>
      <w:kern w:val="2"/>
      <w:sz w:val="21"/>
      <w:szCs w:val="22"/>
    </w:rPr>
  </w:style>
  <w:style w:type="paragraph" w:customStyle="1" w:styleId="120">
    <w:name w:val="shall-正文"/>
    <w:basedOn w:val="1"/>
    <w:qFormat/>
    <w:uiPriority w:val="0"/>
    <w:pPr>
      <w:snapToGrid w:val="0"/>
      <w:spacing w:beforeLines="30" w:line="288" w:lineRule="auto"/>
      <w:ind w:firstLine="200" w:firstLineChars="200"/>
    </w:pPr>
    <w:rPr>
      <w:rFonts w:eastAsia="华文细黑"/>
    </w:rPr>
  </w:style>
  <w:style w:type="paragraph" w:customStyle="1" w:styleId="121">
    <w:name w:val="_Style 120"/>
    <w:basedOn w:val="5"/>
    <w:next w:val="1"/>
    <w:qFormat/>
    <w:uiPriority w:val="0"/>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22">
    <w:name w:val="Char1"/>
    <w:basedOn w:val="19"/>
    <w:qFormat/>
    <w:uiPriority w:val="0"/>
    <w:pPr>
      <w:autoSpaceDE/>
      <w:autoSpaceDN/>
      <w:adjustRightInd/>
      <w:jc w:val="both"/>
    </w:pPr>
    <w:rPr>
      <w:rFonts w:ascii="Tahoma" w:hAnsi="Tahoma"/>
      <w:kern w:val="2"/>
    </w:rPr>
  </w:style>
  <w:style w:type="paragraph" w:customStyle="1" w:styleId="123">
    <w:name w:val="Char Char Char Char Char Char Char Char Char Char Char Char Char"/>
    <w:basedOn w:val="1"/>
    <w:qFormat/>
    <w:uiPriority w:val="0"/>
    <w:pPr>
      <w:widowControl/>
      <w:autoSpaceDE/>
      <w:autoSpaceDN/>
      <w:adjustRightInd/>
      <w:spacing w:after="160" w:line="240" w:lineRule="exact"/>
    </w:pPr>
    <w:rPr>
      <w:rFonts w:ascii="Times New Roman"/>
      <w:kern w:val="2"/>
      <w:sz w:val="21"/>
    </w:rPr>
  </w:style>
  <w:style w:type="paragraph" w:customStyle="1" w:styleId="124">
    <w:name w:val="投标文件格式"/>
    <w:basedOn w:val="29"/>
    <w:qFormat/>
    <w:uiPriority w:val="0"/>
    <w:pPr>
      <w:jc w:val="center"/>
    </w:pPr>
    <w:rPr>
      <w:rFonts w:hAnsi="Times New Roman"/>
      <w:b/>
    </w:rPr>
  </w:style>
  <w:style w:type="paragraph" w:customStyle="1" w:styleId="125">
    <w:name w:val="列表段落11"/>
    <w:basedOn w:val="1"/>
    <w:qFormat/>
    <w:uiPriority w:val="0"/>
    <w:pPr>
      <w:autoSpaceDE/>
      <w:autoSpaceDN/>
      <w:adjustRightInd/>
      <w:ind w:firstLine="420" w:firstLineChars="200"/>
      <w:jc w:val="both"/>
    </w:pPr>
    <w:rPr>
      <w:rFonts w:ascii="Calibri"/>
      <w:kern w:val="2"/>
      <w:sz w:val="21"/>
    </w:rPr>
  </w:style>
  <w:style w:type="paragraph" w:customStyle="1" w:styleId="126">
    <w:name w:val="Char Char2 Char"/>
    <w:basedOn w:val="1"/>
    <w:qFormat/>
    <w:uiPriority w:val="0"/>
    <w:pPr>
      <w:autoSpaceDE/>
      <w:autoSpaceDN/>
      <w:adjustRightInd/>
      <w:jc w:val="both"/>
    </w:pPr>
    <w:rPr>
      <w:rFonts w:hAnsi="宋体"/>
      <w:b/>
      <w:kern w:val="2"/>
      <w:sz w:val="28"/>
      <w:szCs w:val="28"/>
    </w:rPr>
  </w:style>
  <w:style w:type="paragraph" w:customStyle="1" w:styleId="127">
    <w:name w:val="xl37"/>
    <w:basedOn w:val="1"/>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28">
    <w:name w:val="Char Char1 Char Char Char Char Char Char Char Char Char Char Char Char Char"/>
    <w:basedOn w:val="1"/>
    <w:qFormat/>
    <w:uiPriority w:val="0"/>
    <w:pPr>
      <w:widowControl/>
      <w:autoSpaceDE/>
      <w:autoSpaceDN/>
      <w:adjustRightInd/>
      <w:spacing w:after="160" w:line="360" w:lineRule="auto"/>
    </w:pPr>
    <w:rPr>
      <w:rFonts w:ascii="Verdana" w:hAnsi="Verdana"/>
      <w:sz w:val="21"/>
      <w:szCs w:val="20"/>
      <w:lang w:eastAsia="en-US"/>
    </w:rPr>
  </w:style>
  <w:style w:type="paragraph" w:styleId="129">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0">
    <w:name w:val="表中文字"/>
    <w:basedOn w:val="1"/>
    <w:qFormat/>
    <w:uiPriority w:val="0"/>
    <w:pPr>
      <w:spacing w:line="400" w:lineRule="atLeast"/>
      <w:ind w:left="35" w:leftChars="14" w:hanging="1"/>
      <w:jc w:val="center"/>
      <w:textAlignment w:val="baseline"/>
    </w:pPr>
    <w:rPr>
      <w:rFonts w:ascii="Verdana" w:hAnsi="Verdana"/>
      <w:sz w:val="21"/>
      <w:szCs w:val="28"/>
    </w:rPr>
  </w:style>
  <w:style w:type="paragraph" w:customStyle="1" w:styleId="131">
    <w:name w:val="D标3"/>
    <w:basedOn w:val="7"/>
    <w:qFormat/>
    <w:uiPriority w:val="0"/>
    <w:pPr>
      <w:numPr>
        <w:ilvl w:val="0"/>
        <w:numId w:val="6"/>
      </w:numPr>
      <w:spacing w:before="120" w:line="480" w:lineRule="atLeast"/>
      <w:jc w:val="both"/>
    </w:pPr>
    <w:rPr>
      <w:rFonts w:ascii="Times New Roman"/>
      <w:szCs w:val="20"/>
    </w:rPr>
  </w:style>
  <w:style w:type="paragraph" w:customStyle="1" w:styleId="132">
    <w:name w:val="列表正文"/>
    <w:basedOn w:val="1"/>
    <w:qFormat/>
    <w:uiPriority w:val="0"/>
    <w:pPr>
      <w:autoSpaceDE/>
      <w:autoSpaceDN/>
      <w:snapToGrid w:val="0"/>
      <w:spacing w:line="300" w:lineRule="auto"/>
      <w:ind w:left="200" w:leftChars="200" w:firstLine="200" w:firstLineChars="200"/>
      <w:jc w:val="both"/>
    </w:pPr>
    <w:rPr>
      <w:rFonts w:ascii="Times New Roman"/>
      <w:kern w:val="2"/>
      <w:sz w:val="21"/>
    </w:rPr>
  </w:style>
  <w:style w:type="paragraph" w:customStyle="1" w:styleId="133">
    <w:name w:val="Char11"/>
    <w:basedOn w:val="19"/>
    <w:qFormat/>
    <w:uiPriority w:val="0"/>
    <w:pPr>
      <w:autoSpaceDE/>
      <w:autoSpaceDN/>
      <w:adjustRightInd/>
      <w:jc w:val="both"/>
    </w:pPr>
    <w:rPr>
      <w:rFonts w:ascii="Tahoma" w:hAnsi="Tahoma"/>
      <w:kern w:val="2"/>
    </w:rPr>
  </w:style>
  <w:style w:type="paragraph" w:customStyle="1" w:styleId="134">
    <w:name w:val="日期右"/>
    <w:basedOn w:val="31"/>
    <w:qFormat/>
    <w:uiPriority w:val="0"/>
    <w:pPr>
      <w:autoSpaceDE/>
      <w:autoSpaceDN/>
      <w:adjustRightInd/>
      <w:spacing w:line="600" w:lineRule="exact"/>
      <w:ind w:left="0" w:leftChars="0"/>
      <w:jc w:val="right"/>
    </w:pPr>
    <w:rPr>
      <w:rFonts w:ascii="Times New Roman" w:eastAsia="仿宋_GB2312"/>
      <w:b w:val="0"/>
      <w:bCs w:val="0"/>
      <w:sz w:val="31"/>
      <w:szCs w:val="24"/>
      <w:lang w:val="en-US"/>
    </w:rPr>
  </w:style>
  <w:style w:type="paragraph" w:customStyle="1" w:styleId="135">
    <w:name w:val="xl39"/>
    <w:basedOn w:val="1"/>
    <w:qFormat/>
    <w:uiPriority w:val="0"/>
    <w:pPr>
      <w:widowControl/>
      <w:autoSpaceDE/>
      <w:autoSpaceDN/>
      <w:adjustRightInd/>
      <w:spacing w:before="100" w:beforeAutospacing="1" w:after="100" w:afterAutospacing="1"/>
    </w:pPr>
    <w:rPr>
      <w:rFonts w:ascii="Arial Unicode MS" w:hAnsi="Arial Unicode MS" w:eastAsia="Arial Unicode MS"/>
      <w:sz w:val="20"/>
      <w:szCs w:val="20"/>
    </w:rPr>
  </w:style>
  <w:style w:type="paragraph" w:customStyle="1" w:styleId="136">
    <w:name w:val="Char21"/>
    <w:basedOn w:val="1"/>
    <w:qFormat/>
    <w:uiPriority w:val="0"/>
    <w:pPr>
      <w:widowControl/>
      <w:autoSpaceDE/>
      <w:autoSpaceDN/>
      <w:adjustRightInd/>
      <w:spacing w:after="160" w:line="240" w:lineRule="exact"/>
      <w:jc w:val="center"/>
    </w:pPr>
    <w:rPr>
      <w:rFonts w:ascii="黑体" w:hAnsi="Verdana" w:eastAsia="黑体"/>
      <w:sz w:val="32"/>
      <w:szCs w:val="32"/>
      <w:lang w:eastAsia="en-US"/>
    </w:rPr>
  </w:style>
  <w:style w:type="paragraph" w:customStyle="1" w:styleId="137">
    <w:name w:val="3 Char"/>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38">
    <w:name w:val="xl38"/>
    <w:basedOn w:val="1"/>
    <w:qFormat/>
    <w:uiPriority w:val="0"/>
    <w:pPr>
      <w:widowControl/>
      <w:pBdr>
        <w:bottom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b/>
      <w:sz w:val="36"/>
      <w:szCs w:val="20"/>
    </w:rPr>
  </w:style>
  <w:style w:type="paragraph" w:customStyle="1" w:styleId="139">
    <w:name w:val="*正文"/>
    <w:basedOn w:val="1"/>
    <w:qFormat/>
    <w:uiPriority w:val="0"/>
    <w:pPr>
      <w:spacing w:line="360" w:lineRule="auto"/>
      <w:ind w:firstLine="200" w:firstLineChars="200"/>
    </w:pPr>
    <w:rPr>
      <w:rFonts w:hAnsi="宋体"/>
    </w:rPr>
  </w:style>
  <w:style w:type="paragraph" w:customStyle="1" w:styleId="140">
    <w:name w:val="Char2"/>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141">
    <w:name w:val="Char Char Char Char"/>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142">
    <w:name w:val="xl25"/>
    <w:basedOn w:val="1"/>
    <w:qFormat/>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Ansi="宋体"/>
      <w:sz w:val="21"/>
      <w:szCs w:val="21"/>
    </w:rPr>
  </w:style>
  <w:style w:type="paragraph" w:customStyle="1" w:styleId="143">
    <w:name w:val="样式 标题 3Level 3 HeadH3Heading 3 - oldh3sect1.2.3Head33l3..."/>
    <w:basedOn w:val="7"/>
    <w:qFormat/>
    <w:uiPriority w:val="0"/>
    <w:pPr>
      <w:tabs>
        <w:tab w:val="left" w:pos="720"/>
      </w:tabs>
      <w:autoSpaceDE/>
      <w:autoSpaceDN/>
      <w:adjustRightInd/>
      <w:spacing w:line="360" w:lineRule="auto"/>
      <w:ind w:left="720" w:hanging="720"/>
      <w:jc w:val="both"/>
    </w:pPr>
    <w:rPr>
      <w:rFonts w:ascii="Times New Roman" w:cs="宋体"/>
      <w:kern w:val="2"/>
      <w:sz w:val="21"/>
      <w:szCs w:val="20"/>
    </w:rPr>
  </w:style>
  <w:style w:type="paragraph" w:customStyle="1" w:styleId="144">
    <w:name w:val="正文缩进6格"/>
    <w:basedOn w:val="116"/>
    <w:qFormat/>
    <w:uiPriority w:val="0"/>
    <w:pPr>
      <w:ind w:left="1758" w:leftChars="854"/>
    </w:pPr>
  </w:style>
  <w:style w:type="paragraph" w:customStyle="1" w:styleId="145">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46">
    <w:name w:val="正文无缩进"/>
    <w:basedOn w:val="66"/>
    <w:qFormat/>
    <w:uiPriority w:val="0"/>
    <w:pPr>
      <w:ind w:firstLine="0" w:firstLineChars="0"/>
    </w:pPr>
  </w:style>
  <w:style w:type="paragraph" w:customStyle="1" w:styleId="147">
    <w:name w:val="样式 样式 样式 首行缩进:  2 字符1 + 首行缩进:  2 字符 + 首行缩进:  2 字符"/>
    <w:basedOn w:val="1"/>
    <w:semiHidden/>
    <w:qFormat/>
    <w:uiPriority w:val="0"/>
    <w:pPr>
      <w:kinsoku w:val="0"/>
      <w:overflowPunct w:val="0"/>
      <w:ind w:firstLine="200" w:firstLineChars="200"/>
    </w:pPr>
    <w:rPr>
      <w:rFonts w:ascii="仿宋_GB2312" w:hAnsi="宋体" w:eastAsia="仿宋_GB2312" w:cs="宋体"/>
      <w:sz w:val="32"/>
      <w:szCs w:val="20"/>
    </w:rPr>
  </w:style>
  <w:style w:type="paragraph" w:customStyle="1" w:styleId="148">
    <w:name w:val="_Style 3"/>
    <w:basedOn w:val="1"/>
    <w:qFormat/>
    <w:uiPriority w:val="0"/>
    <w:pPr>
      <w:adjustRightInd/>
      <w:ind w:firstLine="420" w:firstLineChars="200"/>
      <w:jc w:val="both"/>
    </w:pPr>
    <w:rPr>
      <w:rFonts w:ascii="Times New Roman"/>
      <w:kern w:val="2"/>
      <w:sz w:val="21"/>
    </w:rPr>
  </w:style>
  <w:style w:type="paragraph" w:customStyle="1" w:styleId="149">
    <w:name w:val="正文（缩进）"/>
    <w:basedOn w:val="1"/>
    <w:qFormat/>
    <w:uiPriority w:val="0"/>
    <w:pPr>
      <w:autoSpaceDE/>
      <w:autoSpaceDN/>
      <w:adjustRightInd/>
      <w:spacing w:before="156" w:beforeLines="50" w:after="156" w:afterLines="50" w:line="360" w:lineRule="auto"/>
      <w:ind w:firstLine="480" w:firstLineChars="200"/>
      <w:jc w:val="both"/>
    </w:pPr>
    <w:rPr>
      <w:rFonts w:ascii="Times New Roman"/>
      <w:kern w:val="2"/>
    </w:rPr>
  </w:style>
  <w:style w:type="paragraph" w:customStyle="1" w:styleId="150">
    <w:name w:val="保留正文"/>
    <w:basedOn w:val="2"/>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51">
    <w:name w:val="正文居中"/>
    <w:basedOn w:val="1"/>
    <w:next w:val="1"/>
    <w:qFormat/>
    <w:uiPriority w:val="0"/>
    <w:pPr>
      <w:autoSpaceDE/>
      <w:autoSpaceDN/>
      <w:snapToGrid w:val="0"/>
      <w:spacing w:line="300" w:lineRule="auto"/>
      <w:jc w:val="center"/>
    </w:pPr>
    <w:rPr>
      <w:rFonts w:ascii="Times New Roman"/>
      <w:kern w:val="2"/>
      <w:sz w:val="21"/>
    </w:rPr>
  </w:style>
  <w:style w:type="paragraph" w:customStyle="1" w:styleId="152">
    <w:name w:val="Blockquote"/>
    <w:basedOn w:val="1"/>
    <w:qFormat/>
    <w:uiPriority w:val="0"/>
    <w:pPr>
      <w:spacing w:before="100" w:after="100"/>
      <w:ind w:left="360" w:right="360"/>
    </w:pPr>
    <w:rPr>
      <w:rFonts w:ascii="Times New Roman"/>
      <w:szCs w:val="20"/>
    </w:rPr>
  </w:style>
  <w:style w:type="paragraph" w:customStyle="1" w:styleId="153">
    <w:name w:val="进度表"/>
    <w:basedOn w:val="15"/>
    <w:qFormat/>
    <w:uiPriority w:val="0"/>
    <w:pPr>
      <w:widowControl w:val="0"/>
      <w:snapToGrid w:val="0"/>
      <w:spacing w:line="440" w:lineRule="atLeast"/>
      <w:ind w:hanging="130" w:firstLineChars="0"/>
      <w:jc w:val="both"/>
    </w:pPr>
    <w:rPr>
      <w:rFonts w:ascii="宋体"/>
      <w:color w:val="000000"/>
      <w:kern w:val="2"/>
      <w:position w:val="-6"/>
      <w:sz w:val="28"/>
    </w:rPr>
  </w:style>
  <w:style w:type="paragraph" w:customStyle="1" w:styleId="154">
    <w:name w:val="Char Char1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55">
    <w:name w:val="表正文"/>
    <w:basedOn w:val="1"/>
    <w:next w:val="26"/>
    <w:qFormat/>
    <w:uiPriority w:val="0"/>
    <w:pPr>
      <w:autoSpaceDE/>
      <w:autoSpaceDN/>
      <w:adjustRightInd/>
      <w:spacing w:line="360" w:lineRule="auto"/>
      <w:ind w:left="180" w:leftChars="85" w:right="2" w:hanging="2"/>
      <w:jc w:val="both"/>
    </w:pPr>
    <w:rPr>
      <w:rFonts w:ascii="Arial" w:hAnsi="Arial"/>
      <w:kern w:val="2"/>
      <w:sz w:val="21"/>
      <w:szCs w:val="20"/>
    </w:rPr>
  </w:style>
  <w:style w:type="paragraph" w:customStyle="1" w:styleId="156">
    <w:name w:val="首行缩进"/>
    <w:basedOn w:val="1"/>
    <w:qFormat/>
    <w:uiPriority w:val="0"/>
    <w:pPr>
      <w:ind w:firstLine="480" w:firstLineChars="200"/>
    </w:pPr>
    <w:rPr>
      <w:lang w:val="zh-CN"/>
    </w:rPr>
  </w:style>
  <w:style w:type="paragraph" w:customStyle="1" w:styleId="157">
    <w:name w:val="图"/>
    <w:basedOn w:val="1"/>
    <w:qFormat/>
    <w:uiPriority w:val="0"/>
    <w:pPr>
      <w:keepNext/>
      <w:autoSpaceDE/>
      <w:autoSpaceDN/>
      <w:spacing w:before="60" w:after="60" w:line="300" w:lineRule="auto"/>
      <w:jc w:val="center"/>
      <w:textAlignment w:val="center"/>
    </w:pPr>
    <w:rPr>
      <w:rFonts w:ascii="Times New Roman"/>
      <w:snapToGrid w:val="0"/>
      <w:spacing w:val="20"/>
      <w:szCs w:val="20"/>
    </w:rPr>
  </w:style>
  <w:style w:type="paragraph" w:customStyle="1" w:styleId="158">
    <w:name w:val="普通 (Web)"/>
    <w:basedOn w:val="1"/>
    <w:qFormat/>
    <w:uiPriority w:val="0"/>
    <w:pPr>
      <w:widowControl/>
      <w:autoSpaceDE/>
      <w:autoSpaceDN/>
      <w:adjustRightInd/>
      <w:spacing w:before="100" w:beforeAutospacing="1" w:after="100" w:afterAutospacing="1"/>
    </w:pPr>
    <w:rPr>
      <w:rFonts w:hAnsi="宋体"/>
    </w:rPr>
  </w:style>
  <w:style w:type="paragraph" w:customStyle="1" w:styleId="159">
    <w:name w:val="标题 3.5"/>
    <w:basedOn w:val="7"/>
    <w:qFormat/>
    <w:uiPriority w:val="0"/>
    <w:pPr>
      <w:autoSpaceDE/>
      <w:autoSpaceDN/>
      <w:adjustRightInd/>
      <w:spacing w:line="600" w:lineRule="exact"/>
      <w:jc w:val="both"/>
      <w:outlineLvl w:val="9"/>
    </w:pPr>
    <w:rPr>
      <w:rFonts w:ascii="Times New Roman" w:eastAsia="仿宋_GB2312"/>
      <w:kern w:val="2"/>
      <w:sz w:val="31"/>
    </w:rPr>
  </w:style>
  <w:style w:type="paragraph" w:customStyle="1" w:styleId="160">
    <w:name w:val="Char Char Char Char1"/>
    <w:basedOn w:val="6"/>
    <w:qFormat/>
    <w:uiPriority w:val="0"/>
    <w:pPr>
      <w:keepNext/>
      <w:keepLines/>
      <w:pageBreakBefore/>
      <w:widowControl/>
      <w:numPr>
        <w:ilvl w:val="1"/>
        <w:numId w:val="7"/>
      </w:numPr>
      <w:autoSpaceDE/>
      <w:autoSpaceDN/>
      <w:adjustRightInd/>
      <w:spacing w:before="180" w:after="160" w:line="240" w:lineRule="exact"/>
    </w:pPr>
    <w:rPr>
      <w:rFonts w:ascii="Verdana" w:hAnsi="Verdana" w:eastAsia="黑体"/>
      <w:bCs/>
      <w:sz w:val="32"/>
      <w:szCs w:val="32"/>
      <w:lang w:eastAsia="en-US"/>
    </w:rPr>
  </w:style>
  <w:style w:type="paragraph" w:customStyle="1" w:styleId="161">
    <w:name w:val="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62">
    <w:name w:val="_Style 2"/>
    <w:basedOn w:val="1"/>
    <w:qFormat/>
    <w:uiPriority w:val="0"/>
    <w:pPr>
      <w:spacing w:line="360" w:lineRule="auto"/>
      <w:ind w:firstLine="420" w:firstLineChars="200"/>
    </w:pPr>
    <w:rPr>
      <w:rFonts w:ascii="Calibri" w:hAnsi="Calibri"/>
      <w:kern w:val="2"/>
      <w:sz w:val="21"/>
      <w:szCs w:val="22"/>
    </w:rPr>
  </w:style>
  <w:style w:type="paragraph" w:customStyle="1" w:styleId="163">
    <w:name w:val="列出段落2"/>
    <w:basedOn w:val="1"/>
    <w:qFormat/>
    <w:uiPriority w:val="0"/>
    <w:pPr>
      <w:autoSpaceDE/>
      <w:autoSpaceDN/>
      <w:adjustRightInd/>
      <w:ind w:firstLine="420" w:firstLineChars="200"/>
      <w:jc w:val="both"/>
    </w:pPr>
    <w:rPr>
      <w:rFonts w:ascii="Calibri"/>
      <w:kern w:val="2"/>
      <w:sz w:val="21"/>
    </w:rPr>
  </w:style>
  <w:style w:type="character" w:customStyle="1" w:styleId="164">
    <w:name w:val="正文文本 字符"/>
    <w:link w:val="2"/>
    <w:qFormat/>
    <w:uiPriority w:val="0"/>
    <w:rPr>
      <w:rFonts w:ascii="宋体" w:hAnsi="Times New Roman" w:eastAsia="宋体" w:cs="Times New Roman"/>
      <w:b/>
      <w:bCs/>
      <w:kern w:val="2"/>
      <w:sz w:val="84"/>
      <w:szCs w:val="84"/>
      <w:lang w:val="zh-CN" w:eastAsia="zh-CN" w:bidi="ar-SA"/>
    </w:rPr>
  </w:style>
  <w:style w:type="character" w:customStyle="1" w:styleId="165">
    <w:name w:val="标题 1 字符"/>
    <w:link w:val="5"/>
    <w:qFormat/>
    <w:uiPriority w:val="0"/>
  </w:style>
  <w:style w:type="character" w:customStyle="1" w:styleId="166">
    <w:name w:val="标题 4 字符"/>
    <w:link w:val="8"/>
    <w:qFormat/>
    <w:uiPriority w:val="9"/>
    <w:rPr>
      <w:rFonts w:ascii="Arial" w:hAnsi="Arial" w:eastAsia="黑体"/>
      <w:b/>
      <w:bCs/>
      <w:sz w:val="28"/>
      <w:szCs w:val="28"/>
    </w:rPr>
  </w:style>
  <w:style w:type="character" w:customStyle="1" w:styleId="167">
    <w:name w:val="正文缩进 字符"/>
    <w:link w:val="15"/>
    <w:qFormat/>
    <w:uiPriority w:val="0"/>
    <w:rPr>
      <w:rFonts w:eastAsia="宋体"/>
      <w:lang w:val="en-US" w:eastAsia="zh-CN" w:bidi="ar-SA"/>
    </w:rPr>
  </w:style>
  <w:style w:type="character" w:customStyle="1" w:styleId="168">
    <w:name w:val="纯文本 字符"/>
    <w:link w:val="29"/>
    <w:qFormat/>
    <w:uiPriority w:val="0"/>
    <w:rPr>
      <w:rFonts w:ascii="宋体" w:hAnsi="Courier New" w:eastAsia="宋体" w:cs="Times New Roman"/>
      <w:kern w:val="2"/>
      <w:sz w:val="21"/>
      <w:lang w:val="en-US" w:eastAsia="zh-CN" w:bidi="ar-SA"/>
    </w:rPr>
  </w:style>
  <w:style w:type="character" w:customStyle="1" w:styleId="169">
    <w:name w:val="页脚 字符"/>
    <w:link w:val="33"/>
    <w:qFormat/>
    <w:uiPriority w:val="0"/>
    <w:rPr>
      <w:rFonts w:ascii="宋体" w:hAnsi="Times New Roman" w:eastAsia="宋体" w:cs="Times New Roman"/>
      <w:sz w:val="18"/>
      <w:szCs w:val="18"/>
      <w:lang w:val="en-US" w:eastAsia="zh-CN" w:bidi="ar-SA"/>
    </w:rPr>
  </w:style>
  <w:style w:type="character" w:customStyle="1" w:styleId="170">
    <w:name w:val="页眉 字符"/>
    <w:link w:val="35"/>
    <w:qFormat/>
    <w:uiPriority w:val="0"/>
    <w:rPr>
      <w:rFonts w:ascii="宋体"/>
      <w:sz w:val="18"/>
      <w:szCs w:val="18"/>
    </w:rPr>
  </w:style>
  <w:style w:type="character" w:customStyle="1" w:styleId="171">
    <w:name w:val="副标题 字符"/>
    <w:link w:val="40"/>
    <w:qFormat/>
    <w:uiPriority w:val="0"/>
    <w:rPr>
      <w:rFonts w:ascii="Arial" w:hAnsi="Arial"/>
      <w:b/>
      <w:kern w:val="28"/>
      <w:sz w:val="32"/>
    </w:rPr>
  </w:style>
  <w:style w:type="character" w:customStyle="1" w:styleId="172">
    <w:name w:val="HTML 预设格式 字符"/>
    <w:link w:val="47"/>
    <w:qFormat/>
    <w:uiPriority w:val="0"/>
    <w:rPr>
      <w:rFonts w:ascii="Arial" w:hAnsi="Arial" w:eastAsia="宋体" w:cs="Arial"/>
      <w:sz w:val="21"/>
      <w:szCs w:val="21"/>
      <w:lang w:val="en-US" w:eastAsia="zh-CN" w:bidi="ar-SA"/>
    </w:rPr>
  </w:style>
  <w:style w:type="character" w:customStyle="1" w:styleId="173">
    <w:name w:val="qxdate"/>
    <w:qFormat/>
    <w:uiPriority w:val="0"/>
    <w:rPr>
      <w:color w:val="333333"/>
      <w:sz w:val="18"/>
      <w:szCs w:val="18"/>
    </w:rPr>
  </w:style>
  <w:style w:type="character" w:customStyle="1" w:styleId="174">
    <w:name w:val="fontstyle21"/>
    <w:qFormat/>
    <w:uiPriority w:val="0"/>
    <w:rPr>
      <w:rFonts w:hint="eastAsia" w:ascii="仿宋_GB2312" w:eastAsia="仿宋_GB2312"/>
      <w:color w:val="000000"/>
      <w:sz w:val="30"/>
      <w:szCs w:val="30"/>
    </w:rPr>
  </w:style>
  <w:style w:type="character" w:customStyle="1" w:styleId="175">
    <w:name w:val="样式 楷体_GB2312 小四"/>
    <w:qFormat/>
    <w:uiPriority w:val="0"/>
    <w:rPr>
      <w:rFonts w:ascii="楷体_GB2312" w:hAnsi="楷体_GB2312" w:eastAsia="仿宋_GB2312"/>
      <w:sz w:val="24"/>
    </w:rPr>
  </w:style>
  <w:style w:type="character" w:customStyle="1" w:styleId="176">
    <w:name w:val="wctjfont1"/>
    <w:qFormat/>
    <w:uiPriority w:val="0"/>
    <w:rPr>
      <w:sz w:val="18"/>
    </w:rPr>
  </w:style>
  <w:style w:type="character" w:customStyle="1" w:styleId="177">
    <w:name w:val="prev"/>
    <w:qFormat/>
    <w:uiPriority w:val="0"/>
    <w:rPr>
      <w:color w:val="888888"/>
    </w:rPr>
  </w:style>
  <w:style w:type="character" w:customStyle="1" w:styleId="178">
    <w:name w:val="redfilenumber"/>
    <w:qFormat/>
    <w:uiPriority w:val="0"/>
    <w:rPr>
      <w:color w:val="BA2636"/>
      <w:sz w:val="18"/>
      <w:szCs w:val="18"/>
    </w:rPr>
  </w:style>
  <w:style w:type="character" w:customStyle="1" w:styleId="179">
    <w:name w:val="next3"/>
    <w:qFormat/>
    <w:uiPriority w:val="0"/>
    <w:rPr>
      <w:rFonts w:hint="eastAsia" w:ascii="微软雅黑" w:hAnsi="微软雅黑" w:eastAsia="微软雅黑" w:cs="微软雅黑"/>
      <w:sz w:val="21"/>
      <w:szCs w:val="21"/>
    </w:rPr>
  </w:style>
  <w:style w:type="character" w:customStyle="1" w:styleId="180">
    <w:name w:val="font01"/>
    <w:qFormat/>
    <w:uiPriority w:val="0"/>
    <w:rPr>
      <w:rFonts w:hint="eastAsia" w:ascii="宋体" w:hAnsi="宋体" w:eastAsia="宋体" w:cs="宋体"/>
      <w:color w:val="000000"/>
      <w:sz w:val="24"/>
      <w:szCs w:val="24"/>
      <w:u w:val="none"/>
    </w:rPr>
  </w:style>
  <w:style w:type="character" w:customStyle="1" w:styleId="181">
    <w:name w:val="bold1"/>
    <w:qFormat/>
    <w:uiPriority w:val="0"/>
    <w:rPr>
      <w:sz w:val="32"/>
    </w:rPr>
  </w:style>
  <w:style w:type="character" w:customStyle="1" w:styleId="182">
    <w:name w:val="p105"/>
    <w:qFormat/>
    <w:uiPriority w:val="0"/>
  </w:style>
  <w:style w:type="character" w:customStyle="1" w:styleId="183">
    <w:name w:val="正文缩进2格 Char Char"/>
    <w:link w:val="66"/>
    <w:qFormat/>
    <w:uiPriority w:val="0"/>
    <w:rPr>
      <w:rFonts w:ascii="仿宋_GB2312" w:hAnsi="宋体" w:eastAsia="仿宋_GB2312"/>
      <w:kern w:val="2"/>
      <w:sz w:val="31"/>
      <w:szCs w:val="28"/>
      <w:lang w:val="en-US" w:eastAsia="zh-CN" w:bidi="ar-SA"/>
    </w:rPr>
  </w:style>
  <w:style w:type="character" w:customStyle="1" w:styleId="184">
    <w:name w:val="meuncn1"/>
    <w:qFormat/>
    <w:uiPriority w:val="0"/>
    <w:rPr>
      <w:rFonts w:hint="eastAsia" w:ascii="宋体" w:hAnsi="宋体" w:eastAsia="宋体"/>
      <w:color w:val="666666"/>
      <w:sz w:val="18"/>
      <w:u w:val="none"/>
    </w:rPr>
  </w:style>
  <w:style w:type="character" w:customStyle="1" w:styleId="185">
    <w:name w:val="标题 3.1 Char Char"/>
    <w:link w:val="67"/>
    <w:qFormat/>
    <w:uiPriority w:val="0"/>
    <w:rPr>
      <w:rFonts w:ascii="宋体" w:hAnsi="宋体"/>
      <w:b/>
      <w:bCs/>
      <w:kern w:val="2"/>
      <w:sz w:val="32"/>
      <w:szCs w:val="32"/>
    </w:rPr>
  </w:style>
  <w:style w:type="character" w:customStyle="1" w:styleId="186">
    <w:name w:val="redfilefwwh"/>
    <w:qFormat/>
    <w:uiPriority w:val="0"/>
    <w:rPr>
      <w:color w:val="BA2636"/>
      <w:sz w:val="18"/>
      <w:szCs w:val="18"/>
    </w:rPr>
  </w:style>
  <w:style w:type="character" w:customStyle="1" w:styleId="187">
    <w:name w:val="f141"/>
    <w:qFormat/>
    <w:uiPriority w:val="0"/>
    <w:rPr>
      <w:sz w:val="21"/>
      <w:szCs w:val="21"/>
    </w:rPr>
  </w:style>
  <w:style w:type="character" w:customStyle="1" w:styleId="188">
    <w:name w:val="DAS正文 Char Char"/>
    <w:qFormat/>
    <w:uiPriority w:val="0"/>
    <w:rPr>
      <w:rFonts w:ascii="Verdana" w:hAnsi="Verdana" w:eastAsia="宋体"/>
      <w:kern w:val="2"/>
      <w:sz w:val="21"/>
      <w:szCs w:val="21"/>
      <w:lang w:val="en-US" w:eastAsia="zh-CN" w:bidi="ar-SA"/>
    </w:rPr>
  </w:style>
  <w:style w:type="character" w:customStyle="1" w:styleId="189">
    <w:name w:val="HTML Markup"/>
    <w:qFormat/>
    <w:uiPriority w:val="0"/>
    <w:rPr>
      <w:rFonts w:ascii="Times New Roman" w:hAnsi="Times New Roman" w:eastAsia="宋体" w:cs="Times New Roman"/>
      <w:vanish/>
      <w:color w:val="FF0000"/>
    </w:rPr>
  </w:style>
  <w:style w:type="character" w:customStyle="1" w:styleId="190">
    <w:name w:val="keyfeatures1"/>
    <w:qFormat/>
    <w:uiPriority w:val="0"/>
    <w:rPr>
      <w:rFonts w:hint="default" w:ascii="Arial" w:hAnsi="Arial" w:cs="Arial"/>
      <w:color w:val="003366"/>
      <w:sz w:val="17"/>
      <w:szCs w:val="17"/>
      <w:u w:val="none"/>
    </w:rPr>
  </w:style>
  <w:style w:type="character" w:customStyle="1" w:styleId="191">
    <w:name w:val="Highlighted Variable"/>
    <w:qFormat/>
    <w:uiPriority w:val="0"/>
    <w:rPr>
      <w:color w:val="000000"/>
    </w:rPr>
  </w:style>
  <w:style w:type="character" w:customStyle="1" w:styleId="192">
    <w:name w:val="小 Char"/>
    <w:qFormat/>
    <w:uiPriority w:val="0"/>
    <w:rPr>
      <w:rFonts w:ascii="宋体" w:hAnsi="Courier New" w:eastAsia="宋体" w:cs="Times New Roman"/>
      <w:kern w:val="2"/>
      <w:sz w:val="21"/>
      <w:lang w:val="en-US" w:eastAsia="zh-CN" w:bidi="ar-SA"/>
    </w:rPr>
  </w:style>
  <w:style w:type="character" w:customStyle="1" w:styleId="193">
    <w:name w:val="gjfg"/>
    <w:qFormat/>
    <w:uiPriority w:val="0"/>
  </w:style>
  <w:style w:type="character" w:customStyle="1" w:styleId="194">
    <w:name w:val="页脚 Char Char"/>
    <w:qFormat/>
    <w:uiPriority w:val="0"/>
    <w:rPr>
      <w:rFonts w:ascii="宋体"/>
      <w:sz w:val="18"/>
      <w:szCs w:val="18"/>
    </w:rPr>
  </w:style>
  <w:style w:type="character" w:customStyle="1" w:styleId="195">
    <w:name w:val="next2"/>
    <w:qFormat/>
    <w:uiPriority w:val="0"/>
    <w:rPr>
      <w:color w:val="888888"/>
    </w:rPr>
  </w:style>
  <w:style w:type="character" w:customStyle="1" w:styleId="196">
    <w:name w:val="displayarti"/>
    <w:qFormat/>
    <w:uiPriority w:val="0"/>
    <w:rPr>
      <w:color w:val="FFFFFF"/>
      <w:shd w:val="clear" w:color="auto" w:fill="A00000"/>
    </w:rPr>
  </w:style>
  <w:style w:type="character" w:customStyle="1" w:styleId="197">
    <w:name w:val="s1"/>
    <w:qFormat/>
    <w:uiPriority w:val="0"/>
    <w:rPr>
      <w:rFonts w:ascii="Helvetica" w:hAnsi="Helvetica" w:eastAsia="Helvetica" w:cs="Helvetica"/>
      <w:sz w:val="24"/>
      <w:szCs w:val="24"/>
    </w:rPr>
  </w:style>
  <w:style w:type="character" w:customStyle="1" w:styleId="198">
    <w:name w:val="cfdate"/>
    <w:qFormat/>
    <w:uiPriority w:val="0"/>
    <w:rPr>
      <w:color w:val="333333"/>
      <w:sz w:val="18"/>
      <w:szCs w:val="18"/>
    </w:rPr>
  </w:style>
  <w:style w:type="character" w:customStyle="1" w:styleId="199">
    <w:name w:val="prev1"/>
    <w:qFormat/>
    <w:uiPriority w:val="0"/>
    <w:rPr>
      <w:rFonts w:ascii="微软雅黑" w:hAnsi="微软雅黑" w:eastAsia="微软雅黑" w:cs="微软雅黑"/>
      <w:sz w:val="21"/>
      <w:szCs w:val="21"/>
    </w:rPr>
  </w:style>
  <w:style w:type="character" w:customStyle="1" w:styleId="200">
    <w:name w:val="neir1"/>
    <w:qFormat/>
    <w:uiPriority w:val="0"/>
    <w:rPr>
      <w:rFonts w:hint="default" w:ascii="ˎ̥" w:hAnsi="ˎ̥" w:eastAsia="宋体" w:cs="Times New Roman"/>
      <w:color w:val="333333"/>
      <w:sz w:val="21"/>
      <w:szCs w:val="21"/>
      <w:u w:val="none"/>
    </w:rPr>
  </w:style>
  <w:style w:type="character" w:customStyle="1" w:styleId="201">
    <w:name w:val="style61"/>
    <w:qFormat/>
    <w:uiPriority w:val="0"/>
    <w:rPr>
      <w:b/>
      <w:bCs/>
    </w:rPr>
  </w:style>
  <w:style w:type="character" w:customStyle="1" w:styleId="202">
    <w:name w:val="纯文本 Char Char"/>
    <w:qFormat/>
    <w:uiPriority w:val="0"/>
    <w:rPr>
      <w:rFonts w:ascii="宋体" w:hAnsi="Courier New" w:eastAsia="宋体"/>
      <w:kern w:val="2"/>
      <w:sz w:val="21"/>
      <w:lang w:val="en-US" w:eastAsia="zh-CN" w:bidi="ar-SA"/>
    </w:rPr>
  </w:style>
  <w:style w:type="paragraph" w:customStyle="1" w:styleId="203">
    <w:name w:val="HtmlNormal"/>
    <w:basedOn w:val="1"/>
    <w:qFormat/>
    <w:uiPriority w:val="0"/>
    <w:pPr>
      <w:widowControl/>
      <w:autoSpaceDE/>
      <w:autoSpaceDN/>
      <w:spacing w:before="100" w:beforeAutospacing="1" w:after="100" w:afterAutospacing="1"/>
      <w:textAlignment w:val="baseline"/>
    </w:pPr>
    <w:rPr>
      <w:rFonts w:hAnsi="宋体"/>
      <w:sz w:val="15"/>
      <w:szCs w:val="15"/>
    </w:rPr>
  </w:style>
  <w:style w:type="character" w:customStyle="1" w:styleId="204">
    <w:name w:val="NormalCharacter"/>
    <w:qFormat/>
    <w:uiPriority w:val="0"/>
    <w:rPr>
      <w:rFonts w:ascii="宋体"/>
      <w:sz w:val="24"/>
      <w:szCs w:val="24"/>
      <w:lang w:val="en-US" w:eastAsia="zh-CN" w:bidi="ar-SA"/>
    </w:rPr>
  </w:style>
  <w:style w:type="paragraph" w:customStyle="1" w:styleId="205">
    <w:name w:val="修订1"/>
    <w:hidden/>
    <w:semiHidden/>
    <w:qFormat/>
    <w:uiPriority w:val="99"/>
    <w:rPr>
      <w:rFonts w:ascii="宋体"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zgydgb</Company>
  <Pages>123</Pages>
  <Words>72108</Words>
  <Characters>89891</Characters>
  <Lines>708</Lines>
  <Paragraphs>199</Paragraphs>
  <TotalTime>196</TotalTime>
  <ScaleCrop>false</ScaleCrop>
  <LinksUpToDate>false</LinksUpToDate>
  <CharactersWithSpaces>94777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2022-10-20T09:42:00Z</dcterms:created>
  <dc:creator>lyy</dc:creator>
  <cp:lastModifiedBy>YRL</cp:lastModifiedBy>
  <cp:lastPrinted>2022-11-15T05:05:00Z</cp:lastPrinted>
  <dcterms:modified xsi:type="dcterms:W3CDTF">2022-11-17T06:58:30Z</dcterms:modified>
  <dc:title>货物公开</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0B748210349E41AABE2754DC495023D1</vt:lpwstr>
  </property>
</Properties>
</file>