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黑体" w:eastAsia="黑体"/>
          <w:color w:val="auto"/>
          <w:szCs w:val="21"/>
          <w:highlight w:val="none"/>
        </w:rPr>
      </w:pPr>
    </w:p>
    <w:p>
      <w:pPr>
        <w:pStyle w:val="38"/>
        <w:ind w:firstLine="400"/>
        <w:rPr>
          <w:color w:val="auto"/>
          <w:highlight w:val="none"/>
        </w:rPr>
      </w:pPr>
    </w:p>
    <w:p>
      <w:pPr>
        <w:rPr>
          <w:color w:val="auto"/>
          <w:highlight w:val="none"/>
        </w:rPr>
      </w:pPr>
    </w:p>
    <w:p>
      <w:pPr>
        <w:rPr>
          <w:color w:val="auto"/>
          <w:highlight w:val="none"/>
        </w:rPr>
      </w:pPr>
    </w:p>
    <w:p>
      <w:pPr>
        <w:rPr>
          <w:color w:val="auto"/>
          <w:highlight w:val="none"/>
        </w:rPr>
      </w:pPr>
    </w:p>
    <w:p>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公开采购文件</w:t>
      </w:r>
    </w:p>
    <w:p>
      <w:pPr>
        <w:rPr>
          <w:color w:val="auto"/>
          <w:highlight w:val="none"/>
        </w:rPr>
      </w:pPr>
    </w:p>
    <w:p>
      <w:pPr>
        <w:pStyle w:val="2"/>
        <w:rPr>
          <w:color w:val="auto"/>
          <w:highlight w:val="none"/>
        </w:rPr>
      </w:pPr>
    </w:p>
    <w:tbl>
      <w:tblPr>
        <w:tblStyle w:val="30"/>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7" w:hRule="atLeast"/>
        </w:trPr>
        <w:tc>
          <w:tcPr>
            <w:tcW w:w="261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20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u w:val="single"/>
              </w:rPr>
              <w:t>松山湖国际创新创业社区保洁服务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5" w:hRule="atLeast"/>
        </w:trPr>
        <w:tc>
          <w:tcPr>
            <w:tcW w:w="261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20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u w:val="single"/>
              </w:rPr>
              <w:t>TTWY-23025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20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u w:val="single"/>
              </w:rPr>
              <w:t>东莞市大学创新城建设发展有限公司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20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u w:val="single"/>
              </w:rPr>
              <w:t>广东泰通伟业工程咨询有限公司</w:t>
            </w:r>
          </w:p>
        </w:tc>
      </w:tr>
    </w:tbl>
    <w:p>
      <w:pPr>
        <w:jc w:val="center"/>
        <w:rPr>
          <w:rFonts w:ascii="黑体" w:eastAsia="黑体"/>
          <w:color w:val="auto"/>
          <w:szCs w:val="21"/>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pStyle w:val="38"/>
        <w:ind w:firstLine="400"/>
        <w:rPr>
          <w:color w:val="auto"/>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2023年</w:t>
      </w:r>
      <w:r>
        <w:rPr>
          <w:rFonts w:hint="eastAsia" w:ascii="黑体" w:hAnsi="黑体" w:eastAsia="黑体" w:cs="黑体"/>
          <w:bCs/>
          <w:color w:val="auto"/>
          <w:sz w:val="32"/>
          <w:szCs w:val="24"/>
          <w:highlight w:val="none"/>
          <w:lang w:val="en-US" w:eastAsia="zh-CN"/>
        </w:rPr>
        <w:t>9</w:t>
      </w:r>
      <w:r>
        <w:rPr>
          <w:rFonts w:hint="eastAsia" w:ascii="黑体" w:hAnsi="黑体" w:eastAsia="黑体" w:cs="黑体"/>
          <w:bCs/>
          <w:color w:val="auto"/>
          <w:sz w:val="32"/>
          <w:szCs w:val="24"/>
          <w:highlight w:val="none"/>
        </w:rPr>
        <w:t>月</w:t>
      </w:r>
    </w:p>
    <w:p>
      <w:pPr>
        <w:rPr>
          <w:color w:val="auto"/>
          <w:highlight w:val="none"/>
        </w:rPr>
        <w:sectPr>
          <w:footerReference r:id="rId8" w:type="first"/>
          <w:footerReference r:id="rId6" w:type="defaul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pPr>
        <w:pStyle w:val="25"/>
        <w:ind w:left="0" w:leftChars="0"/>
        <w:rPr>
          <w:color w:val="auto"/>
          <w:sz w:val="40"/>
          <w:szCs w:val="40"/>
          <w:highlight w:val="none"/>
        </w:rPr>
      </w:pPr>
      <w:r>
        <w:rPr>
          <w:rFonts w:hint="eastAsia"/>
          <w:color w:val="auto"/>
          <w:sz w:val="40"/>
          <w:szCs w:val="40"/>
          <w:highlight w:val="none"/>
        </w:rPr>
        <w:t>目录</w:t>
      </w:r>
    </w:p>
    <w:p>
      <w:pPr>
        <w:pStyle w:val="25"/>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TOC \o "1-4" \h \z \u </w:instrText>
      </w:r>
      <w:r>
        <w:rPr>
          <w:rFonts w:hint="eastAsia"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"_Toc21044" </w:instrText>
      </w:r>
      <w:r>
        <w:rPr>
          <w:color w:val="auto"/>
          <w:highlight w:val="none"/>
        </w:rPr>
        <w:fldChar w:fldCharType="separate"/>
      </w:r>
      <w:r>
        <w:rPr>
          <w:rFonts w:hint="eastAsia" w:cs="宋体"/>
          <w:color w:val="auto"/>
          <w:sz w:val="21"/>
          <w:szCs w:val="21"/>
          <w:highlight w:val="none"/>
        </w:rPr>
        <w:t>第一部分投标邀请</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_Toc21044 \h </w:instrText>
      </w:r>
      <w:r>
        <w:rPr>
          <w:rFonts w:hint="eastAsia" w:cs="宋体"/>
          <w:color w:val="auto"/>
          <w:sz w:val="21"/>
          <w:szCs w:val="21"/>
          <w:highlight w:val="none"/>
        </w:rPr>
        <w:fldChar w:fldCharType="separate"/>
      </w:r>
      <w:r>
        <w:rPr>
          <w:rFonts w:hint="eastAsia" w:cs="宋体"/>
          <w:color w:val="auto"/>
          <w:sz w:val="21"/>
          <w:szCs w:val="21"/>
          <w:highlight w:val="none"/>
        </w:rPr>
        <w:t>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"_Toc8950" </w:instrText>
      </w:r>
      <w:r>
        <w:rPr>
          <w:color w:val="auto"/>
          <w:highlight w:val="none"/>
        </w:rPr>
        <w:fldChar w:fldCharType="separate"/>
      </w:r>
      <w:r>
        <w:rPr>
          <w:rFonts w:hint="eastAsia" w:cs="宋体"/>
          <w:color w:val="auto"/>
          <w:sz w:val="21"/>
          <w:szCs w:val="21"/>
          <w:highlight w:val="none"/>
        </w:rPr>
        <w:t>投标邀请书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_Toc8950 \h </w:instrText>
      </w:r>
      <w:r>
        <w:rPr>
          <w:rFonts w:hint="eastAsia" w:cs="宋体"/>
          <w:color w:val="auto"/>
          <w:sz w:val="21"/>
          <w:szCs w:val="21"/>
          <w:highlight w:val="none"/>
        </w:rPr>
        <w:fldChar w:fldCharType="separate"/>
      </w:r>
      <w:r>
        <w:rPr>
          <w:rFonts w:hint="eastAsia" w:cs="宋体"/>
          <w:color w:val="auto"/>
          <w:sz w:val="21"/>
          <w:szCs w:val="21"/>
          <w:highlight w:val="none"/>
        </w:rPr>
        <w:t>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"_Toc20564" </w:instrText>
      </w:r>
      <w:r>
        <w:rPr>
          <w:color w:val="auto"/>
          <w:highlight w:val="none"/>
        </w:rPr>
        <w:fldChar w:fldCharType="separate"/>
      </w:r>
      <w:r>
        <w:rPr>
          <w:rFonts w:hint="eastAsia" w:cs="宋体"/>
          <w:color w:val="auto"/>
          <w:sz w:val="21"/>
          <w:szCs w:val="21"/>
          <w:highlight w:val="none"/>
        </w:rPr>
        <w:t>第二部分相关资料表格</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_Toc20564 \h </w:instrText>
      </w:r>
      <w:r>
        <w:rPr>
          <w:rFonts w:hint="eastAsia" w:cs="宋体"/>
          <w:color w:val="auto"/>
          <w:sz w:val="21"/>
          <w:szCs w:val="21"/>
          <w:highlight w:val="none"/>
        </w:rPr>
        <w:fldChar w:fldCharType="separate"/>
      </w:r>
      <w:r>
        <w:rPr>
          <w:rFonts w:hint="eastAsia" w:cs="宋体"/>
          <w:color w:val="auto"/>
          <w:sz w:val="21"/>
          <w:szCs w:val="21"/>
          <w:highlight w:val="none"/>
        </w:rPr>
        <w:t>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"_Toc14333" </w:instrText>
      </w:r>
      <w:r>
        <w:rPr>
          <w:color w:val="auto"/>
          <w:highlight w:val="none"/>
        </w:rPr>
        <w:fldChar w:fldCharType="separate"/>
      </w:r>
      <w:r>
        <w:rPr>
          <w:rFonts w:hint="eastAsia" w:cs="宋体"/>
          <w:color w:val="auto"/>
          <w:sz w:val="21"/>
          <w:szCs w:val="21"/>
          <w:highlight w:val="none"/>
        </w:rPr>
        <w:t>附表一：投标资料表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_Toc14333 \h </w:instrText>
      </w:r>
      <w:r>
        <w:rPr>
          <w:rFonts w:hint="eastAsia" w:cs="宋体"/>
          <w:color w:val="auto"/>
          <w:sz w:val="21"/>
          <w:szCs w:val="21"/>
          <w:highlight w:val="none"/>
        </w:rPr>
        <w:fldChar w:fldCharType="separate"/>
      </w:r>
      <w:r>
        <w:rPr>
          <w:rFonts w:hint="eastAsia" w:cs="宋体"/>
          <w:color w:val="auto"/>
          <w:sz w:val="21"/>
          <w:szCs w:val="21"/>
          <w:highlight w:val="none"/>
        </w:rPr>
        <w:t>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"_Toc1445" </w:instrText>
      </w:r>
      <w:r>
        <w:rPr>
          <w:color w:val="auto"/>
          <w:highlight w:val="none"/>
        </w:rPr>
        <w:fldChar w:fldCharType="separate"/>
      </w:r>
      <w:r>
        <w:rPr>
          <w:rFonts w:hint="eastAsia" w:cs="宋体"/>
          <w:color w:val="auto"/>
          <w:sz w:val="21"/>
          <w:szCs w:val="21"/>
          <w:highlight w:val="none"/>
        </w:rPr>
        <w:t>附表二：商务技术评分及价格权重表（满分100分）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_Toc1445 \h </w:instrText>
      </w:r>
      <w:r>
        <w:rPr>
          <w:rFonts w:hint="eastAsia" w:cs="宋体"/>
          <w:color w:val="auto"/>
          <w:sz w:val="21"/>
          <w:szCs w:val="21"/>
          <w:highlight w:val="none"/>
        </w:rPr>
        <w:fldChar w:fldCharType="separate"/>
      </w:r>
      <w:r>
        <w:rPr>
          <w:rFonts w:hint="eastAsia" w:cs="宋体"/>
          <w:color w:val="auto"/>
          <w:sz w:val="21"/>
          <w:szCs w:val="21"/>
          <w:highlight w:val="none"/>
        </w:rPr>
        <w:t>12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"_Toc21237" </w:instrText>
      </w:r>
      <w:r>
        <w:rPr>
          <w:color w:val="auto"/>
          <w:highlight w:val="none"/>
        </w:rPr>
        <w:fldChar w:fldCharType="separate"/>
      </w:r>
      <w:r>
        <w:rPr>
          <w:rFonts w:hint="eastAsia" w:cs="宋体"/>
          <w:color w:val="auto"/>
          <w:sz w:val="21"/>
          <w:szCs w:val="21"/>
          <w:highlight w:val="none"/>
        </w:rPr>
        <w:t>第三部分用户需求书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_Toc21237 \h </w:instrText>
      </w:r>
      <w:r>
        <w:rPr>
          <w:rFonts w:hint="eastAsia" w:cs="宋体"/>
          <w:color w:val="auto"/>
          <w:sz w:val="21"/>
          <w:szCs w:val="21"/>
          <w:highlight w:val="none"/>
        </w:rPr>
        <w:fldChar w:fldCharType="separate"/>
      </w:r>
      <w:r>
        <w:rPr>
          <w:rFonts w:hint="eastAsia" w:cs="宋体"/>
          <w:color w:val="auto"/>
          <w:sz w:val="21"/>
          <w:szCs w:val="21"/>
          <w:highlight w:val="none"/>
        </w:rPr>
        <w:t>17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"_Toc15266" </w:instrText>
      </w:r>
      <w:r>
        <w:rPr>
          <w:color w:val="auto"/>
          <w:highlight w:val="none"/>
        </w:rPr>
        <w:fldChar w:fldCharType="separate"/>
      </w:r>
      <w:r>
        <w:rPr>
          <w:rFonts w:hint="eastAsia" w:cs="宋体"/>
          <w:color w:val="auto"/>
          <w:sz w:val="21"/>
          <w:szCs w:val="21"/>
          <w:highlight w:val="none"/>
        </w:rPr>
        <w:t>第一章 商务需求书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_Toc15266 \h </w:instrText>
      </w:r>
      <w:r>
        <w:rPr>
          <w:rFonts w:hint="eastAsia" w:cs="宋体"/>
          <w:color w:val="auto"/>
          <w:sz w:val="21"/>
          <w:szCs w:val="21"/>
          <w:highlight w:val="none"/>
        </w:rPr>
        <w:fldChar w:fldCharType="separate"/>
      </w:r>
      <w:r>
        <w:rPr>
          <w:rFonts w:hint="eastAsia" w:cs="宋体"/>
          <w:color w:val="auto"/>
          <w:sz w:val="21"/>
          <w:szCs w:val="21"/>
          <w:highlight w:val="none"/>
        </w:rPr>
        <w:t>17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"_Toc30066" </w:instrText>
      </w:r>
      <w:r>
        <w:rPr>
          <w:color w:val="auto"/>
          <w:highlight w:val="none"/>
        </w:rPr>
        <w:fldChar w:fldCharType="separate"/>
      </w:r>
      <w:r>
        <w:rPr>
          <w:rFonts w:hint="eastAsia" w:cs="宋体"/>
          <w:color w:val="auto"/>
          <w:sz w:val="21"/>
          <w:szCs w:val="21"/>
          <w:highlight w:val="none"/>
        </w:rPr>
        <w:t>第二章 技术需求书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_Toc30066 \h </w:instrText>
      </w:r>
      <w:r>
        <w:rPr>
          <w:rFonts w:hint="eastAsia" w:cs="宋体"/>
          <w:color w:val="auto"/>
          <w:sz w:val="21"/>
          <w:szCs w:val="21"/>
          <w:highlight w:val="none"/>
        </w:rPr>
        <w:fldChar w:fldCharType="separate"/>
      </w:r>
      <w:r>
        <w:rPr>
          <w:rFonts w:hint="eastAsia" w:cs="宋体"/>
          <w:color w:val="auto"/>
          <w:sz w:val="21"/>
          <w:szCs w:val="21"/>
          <w:highlight w:val="none"/>
        </w:rPr>
        <w:t>18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"_Toc31595" </w:instrText>
      </w:r>
      <w:r>
        <w:rPr>
          <w:color w:val="auto"/>
          <w:highlight w:val="none"/>
        </w:rPr>
        <w:fldChar w:fldCharType="separate"/>
      </w:r>
      <w:r>
        <w:rPr>
          <w:rFonts w:hint="eastAsia" w:cs="宋体"/>
          <w:color w:val="auto"/>
          <w:sz w:val="21"/>
          <w:szCs w:val="21"/>
          <w:highlight w:val="none"/>
        </w:rPr>
        <w:t>第四部分投标人须知</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_Toc31595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"_Toc25201" </w:instrText>
      </w:r>
      <w:r>
        <w:rPr>
          <w:color w:val="auto"/>
          <w:highlight w:val="none"/>
        </w:rPr>
        <w:fldChar w:fldCharType="separate"/>
      </w:r>
      <w:r>
        <w:rPr>
          <w:rFonts w:cs="宋体"/>
          <w:color w:val="auto"/>
          <w:sz w:val="21"/>
          <w:szCs w:val="21"/>
          <w:highlight w:val="none"/>
        </w:rPr>
        <w:t xml:space="preserve">一、 </w:t>
      </w:r>
      <w:r>
        <w:rPr>
          <w:rFonts w:hint="eastAsia" w:cs="宋体"/>
          <w:color w:val="auto"/>
          <w:sz w:val="21"/>
          <w:szCs w:val="21"/>
          <w:highlight w:val="none"/>
        </w:rPr>
        <w:t>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_Toc25201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"_Toc18690" </w:instrText>
      </w:r>
      <w:r>
        <w:rPr>
          <w:color w:val="auto"/>
          <w:highlight w:val="none"/>
        </w:rPr>
        <w:fldChar w:fldCharType="separate"/>
      </w:r>
      <w:r>
        <w:rPr>
          <w:rFonts w:cs="宋体"/>
          <w:color w:val="auto"/>
          <w:sz w:val="21"/>
          <w:szCs w:val="21"/>
          <w:highlight w:val="none"/>
        </w:rPr>
        <w:t xml:space="preserve">1. </w:t>
      </w:r>
      <w:r>
        <w:rPr>
          <w:rFonts w:hint="eastAsia" w:cs="宋体"/>
          <w:color w:val="auto"/>
          <w:sz w:val="21"/>
          <w:szCs w:val="21"/>
          <w:highlight w:val="none"/>
        </w:rPr>
        <w:t>适用范围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_Toc18690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"_Toc28435" </w:instrText>
      </w:r>
      <w:r>
        <w:rPr>
          <w:color w:val="auto"/>
          <w:highlight w:val="none"/>
        </w:rPr>
        <w:fldChar w:fldCharType="separate"/>
      </w:r>
      <w:r>
        <w:rPr>
          <w:rFonts w:cs="宋体"/>
          <w:color w:val="auto"/>
          <w:sz w:val="21"/>
          <w:szCs w:val="21"/>
          <w:highlight w:val="none"/>
        </w:rPr>
        <w:t xml:space="preserve">2. </w:t>
      </w:r>
      <w:r>
        <w:rPr>
          <w:rFonts w:hint="eastAsia" w:cs="宋体"/>
          <w:color w:val="auto"/>
          <w:sz w:val="21"/>
          <w:szCs w:val="21"/>
          <w:highlight w:val="none"/>
        </w:rPr>
        <w:t>定义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_Toc28435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"_Toc10625" </w:instrText>
      </w:r>
      <w:r>
        <w:rPr>
          <w:color w:val="auto"/>
          <w:highlight w:val="none"/>
        </w:rPr>
        <w:fldChar w:fldCharType="separate"/>
      </w:r>
      <w:r>
        <w:rPr>
          <w:rFonts w:cs="宋体"/>
          <w:color w:val="auto"/>
          <w:sz w:val="21"/>
          <w:szCs w:val="21"/>
          <w:highlight w:val="none"/>
        </w:rPr>
        <w:t xml:space="preserve">3. </w:t>
      </w:r>
      <w:r>
        <w:rPr>
          <w:rFonts w:hint="eastAsia" w:cs="宋体"/>
          <w:color w:val="auto"/>
          <w:sz w:val="21"/>
          <w:szCs w:val="21"/>
          <w:highlight w:val="none"/>
        </w:rPr>
        <w:t>货物和服务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_Toc10625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"_Toc1673" </w:instrText>
      </w:r>
      <w:r>
        <w:rPr>
          <w:color w:val="auto"/>
          <w:highlight w:val="none"/>
        </w:rPr>
        <w:fldChar w:fldCharType="separate"/>
      </w:r>
      <w:r>
        <w:rPr>
          <w:rFonts w:cs="宋体"/>
          <w:color w:val="auto"/>
          <w:sz w:val="21"/>
          <w:szCs w:val="21"/>
          <w:highlight w:val="none"/>
        </w:rPr>
        <w:t xml:space="preserve">4. </w:t>
      </w:r>
      <w:r>
        <w:rPr>
          <w:rFonts w:hint="eastAsia" w:cs="宋体"/>
          <w:color w:val="auto"/>
          <w:sz w:val="21"/>
          <w:szCs w:val="21"/>
          <w:highlight w:val="none"/>
        </w:rPr>
        <w:t>投标费用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_Toc1673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"_Toc21477" </w:instrText>
      </w:r>
      <w:r>
        <w:rPr>
          <w:color w:val="auto"/>
          <w:highlight w:val="none"/>
        </w:rPr>
        <w:fldChar w:fldCharType="separate"/>
      </w:r>
      <w:r>
        <w:rPr>
          <w:rFonts w:cs="宋体"/>
          <w:color w:val="auto"/>
          <w:sz w:val="21"/>
          <w:szCs w:val="21"/>
          <w:highlight w:val="none"/>
        </w:rPr>
        <w:t xml:space="preserve">5. </w:t>
      </w:r>
      <w:r>
        <w:rPr>
          <w:rFonts w:hint="eastAsia" w:cs="宋体"/>
          <w:color w:val="auto"/>
          <w:sz w:val="21"/>
          <w:szCs w:val="21"/>
          <w:highlight w:val="none"/>
        </w:rPr>
        <w:t>知识产权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_Toc21477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"_Toc25122" </w:instrText>
      </w:r>
      <w:r>
        <w:rPr>
          <w:color w:val="auto"/>
          <w:highlight w:val="none"/>
        </w:rPr>
        <w:fldChar w:fldCharType="separate"/>
      </w:r>
      <w:r>
        <w:rPr>
          <w:rFonts w:cs="宋体"/>
          <w:color w:val="auto"/>
          <w:sz w:val="21"/>
          <w:szCs w:val="21"/>
          <w:highlight w:val="none"/>
        </w:rPr>
        <w:t xml:space="preserve">6. </w:t>
      </w:r>
      <w:r>
        <w:rPr>
          <w:rFonts w:hint="eastAsia" w:cs="宋体"/>
          <w:color w:val="auto"/>
          <w:sz w:val="21"/>
          <w:szCs w:val="21"/>
          <w:highlight w:val="none"/>
        </w:rPr>
        <w:t>关于联合体投标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_Toc25122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"_Toc10603" </w:instrText>
      </w:r>
      <w:r>
        <w:rPr>
          <w:color w:val="auto"/>
          <w:highlight w:val="none"/>
        </w:rPr>
        <w:fldChar w:fldCharType="separate"/>
      </w:r>
      <w:r>
        <w:rPr>
          <w:rFonts w:cs="宋体"/>
          <w:color w:val="auto"/>
          <w:sz w:val="21"/>
          <w:szCs w:val="21"/>
          <w:highlight w:val="none"/>
        </w:rPr>
        <w:t xml:space="preserve">7. </w:t>
      </w:r>
      <w:r>
        <w:rPr>
          <w:rFonts w:hint="eastAsia" w:cs="宋体"/>
          <w:color w:val="auto"/>
          <w:sz w:val="21"/>
          <w:szCs w:val="21"/>
          <w:highlight w:val="none"/>
        </w:rPr>
        <w:t>关于分支机构投标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_Toc10603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"_Toc16068" </w:instrText>
      </w:r>
      <w:r>
        <w:rPr>
          <w:color w:val="auto"/>
          <w:highlight w:val="none"/>
        </w:rPr>
        <w:fldChar w:fldCharType="separate"/>
      </w:r>
      <w:r>
        <w:rPr>
          <w:rFonts w:cs="宋体"/>
          <w:color w:val="auto"/>
          <w:sz w:val="21"/>
          <w:szCs w:val="21"/>
          <w:highlight w:val="none"/>
        </w:rPr>
        <w:t xml:space="preserve">8. </w:t>
      </w:r>
      <w:r>
        <w:rPr>
          <w:rFonts w:hint="eastAsia" w:cs="宋体"/>
          <w:color w:val="auto"/>
          <w:sz w:val="21"/>
          <w:szCs w:val="21"/>
          <w:highlight w:val="none"/>
        </w:rPr>
        <w:t>踏勘现场</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_Toc16068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"_Toc14732" </w:instrText>
      </w:r>
      <w:r>
        <w:rPr>
          <w:color w:val="auto"/>
          <w:highlight w:val="none"/>
        </w:rPr>
        <w:fldChar w:fldCharType="separate"/>
      </w:r>
      <w:r>
        <w:rPr>
          <w:rFonts w:cs="宋体"/>
          <w:color w:val="auto"/>
          <w:sz w:val="21"/>
          <w:szCs w:val="21"/>
          <w:highlight w:val="none"/>
        </w:rPr>
        <w:t xml:space="preserve">二、 </w:t>
      </w:r>
      <w:r>
        <w:rPr>
          <w:rFonts w:hint="eastAsia" w:cs="宋体"/>
          <w:color w:val="auto"/>
          <w:sz w:val="21"/>
          <w:szCs w:val="21"/>
          <w:highlight w:val="none"/>
        </w:rPr>
        <w:t>采购文件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_Toc14732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"_Toc25451" </w:instrText>
      </w:r>
      <w:r>
        <w:rPr>
          <w:color w:val="auto"/>
          <w:highlight w:val="none"/>
        </w:rPr>
        <w:fldChar w:fldCharType="separate"/>
      </w:r>
      <w:r>
        <w:rPr>
          <w:rFonts w:cs="宋体"/>
          <w:color w:val="auto"/>
          <w:sz w:val="21"/>
          <w:szCs w:val="21"/>
          <w:highlight w:val="none"/>
        </w:rPr>
        <w:t xml:space="preserve">9. </w:t>
      </w:r>
      <w:r>
        <w:rPr>
          <w:rFonts w:hint="eastAsia" w:cs="宋体"/>
          <w:color w:val="auto"/>
          <w:sz w:val="21"/>
          <w:szCs w:val="21"/>
          <w:highlight w:val="none"/>
        </w:rPr>
        <w:t>采购文件的组成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_Toc25451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"_Toc30490" </w:instrText>
      </w:r>
      <w:r>
        <w:rPr>
          <w:color w:val="auto"/>
          <w:highlight w:val="none"/>
        </w:rPr>
        <w:fldChar w:fldCharType="separate"/>
      </w:r>
      <w:r>
        <w:rPr>
          <w:rFonts w:cs="宋体"/>
          <w:color w:val="auto"/>
          <w:sz w:val="21"/>
          <w:szCs w:val="21"/>
          <w:highlight w:val="none"/>
        </w:rPr>
        <w:t xml:space="preserve">10. </w:t>
      </w:r>
      <w:r>
        <w:rPr>
          <w:rFonts w:hint="eastAsia" w:cs="宋体"/>
          <w:color w:val="auto"/>
          <w:sz w:val="21"/>
          <w:szCs w:val="21"/>
          <w:highlight w:val="none"/>
        </w:rPr>
        <w:t>采购文件的澄清或修改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_Toc30490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"_Toc10333" </w:instrText>
      </w:r>
      <w:r>
        <w:rPr>
          <w:color w:val="auto"/>
          <w:highlight w:val="none"/>
        </w:rPr>
        <w:fldChar w:fldCharType="separate"/>
      </w:r>
      <w:r>
        <w:rPr>
          <w:rFonts w:cs="宋体"/>
          <w:color w:val="auto"/>
          <w:sz w:val="21"/>
          <w:szCs w:val="21"/>
          <w:highlight w:val="none"/>
        </w:rPr>
        <w:t xml:space="preserve">三、 </w:t>
      </w:r>
      <w:r>
        <w:rPr>
          <w:rFonts w:hint="eastAsia" w:cs="宋体"/>
          <w:color w:val="auto"/>
          <w:sz w:val="21"/>
          <w:szCs w:val="21"/>
          <w:highlight w:val="none"/>
        </w:rPr>
        <w:t>投标文件的编制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_Toc10333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"_Toc12048" </w:instrText>
      </w:r>
      <w:r>
        <w:rPr>
          <w:color w:val="auto"/>
          <w:highlight w:val="none"/>
        </w:rPr>
        <w:fldChar w:fldCharType="separate"/>
      </w:r>
      <w:r>
        <w:rPr>
          <w:rFonts w:cs="宋体"/>
          <w:color w:val="auto"/>
          <w:sz w:val="21"/>
          <w:szCs w:val="21"/>
          <w:highlight w:val="none"/>
        </w:rPr>
        <w:t xml:space="preserve">11. </w:t>
      </w:r>
      <w:r>
        <w:rPr>
          <w:rFonts w:hint="eastAsia" w:cs="宋体"/>
          <w:color w:val="auto"/>
          <w:sz w:val="21"/>
          <w:szCs w:val="21"/>
          <w:highlight w:val="none"/>
        </w:rPr>
        <w:t>投标文件的语言及度量衡单位</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_Toc12048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"_Toc27953" </w:instrText>
      </w:r>
      <w:r>
        <w:rPr>
          <w:color w:val="auto"/>
          <w:highlight w:val="none"/>
        </w:rPr>
        <w:fldChar w:fldCharType="separate"/>
      </w:r>
      <w:r>
        <w:rPr>
          <w:rFonts w:cs="宋体"/>
          <w:color w:val="auto"/>
          <w:sz w:val="21"/>
          <w:szCs w:val="21"/>
          <w:highlight w:val="none"/>
        </w:rPr>
        <w:t xml:space="preserve">12. </w:t>
      </w:r>
      <w:r>
        <w:rPr>
          <w:rFonts w:hint="eastAsia" w:cs="宋体"/>
          <w:color w:val="auto"/>
          <w:sz w:val="21"/>
          <w:szCs w:val="21"/>
          <w:highlight w:val="none"/>
        </w:rPr>
        <w:t>投标文件的组成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_Toc27953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"_Toc5904" </w:instrText>
      </w:r>
      <w:r>
        <w:rPr>
          <w:color w:val="auto"/>
          <w:highlight w:val="none"/>
        </w:rPr>
        <w:fldChar w:fldCharType="separate"/>
      </w:r>
      <w:r>
        <w:rPr>
          <w:rFonts w:cs="宋体"/>
          <w:color w:val="auto"/>
          <w:sz w:val="21"/>
          <w:szCs w:val="21"/>
          <w:highlight w:val="none"/>
        </w:rPr>
        <w:t xml:space="preserve">13. </w:t>
      </w:r>
      <w:r>
        <w:rPr>
          <w:rFonts w:hint="eastAsia" w:cs="宋体"/>
          <w:color w:val="auto"/>
          <w:sz w:val="21"/>
          <w:szCs w:val="21"/>
          <w:highlight w:val="none"/>
        </w:rPr>
        <w:t>投标文件编制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_Toc5904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"_Toc7134" </w:instrText>
      </w:r>
      <w:r>
        <w:rPr>
          <w:color w:val="auto"/>
          <w:highlight w:val="none"/>
        </w:rPr>
        <w:fldChar w:fldCharType="separate"/>
      </w:r>
      <w:r>
        <w:rPr>
          <w:rFonts w:cs="宋体"/>
          <w:color w:val="auto"/>
          <w:sz w:val="21"/>
          <w:szCs w:val="21"/>
          <w:highlight w:val="none"/>
        </w:rPr>
        <w:t xml:space="preserve">14. </w:t>
      </w:r>
      <w:r>
        <w:rPr>
          <w:rFonts w:hint="eastAsia" w:cs="宋体"/>
          <w:color w:val="auto"/>
          <w:sz w:val="21"/>
          <w:szCs w:val="21"/>
          <w:highlight w:val="none"/>
        </w:rPr>
        <w:t>投标报价说明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_Toc7134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"_Toc14501" </w:instrText>
      </w:r>
      <w:r>
        <w:rPr>
          <w:color w:val="auto"/>
          <w:highlight w:val="none"/>
        </w:rPr>
        <w:fldChar w:fldCharType="separate"/>
      </w:r>
      <w:r>
        <w:rPr>
          <w:rFonts w:cs="宋体"/>
          <w:color w:val="auto"/>
          <w:sz w:val="21"/>
          <w:szCs w:val="21"/>
          <w:highlight w:val="none"/>
        </w:rPr>
        <w:t xml:space="preserve">15. </w:t>
      </w:r>
      <w:r>
        <w:rPr>
          <w:rFonts w:hint="eastAsia" w:cs="宋体"/>
          <w:color w:val="auto"/>
          <w:sz w:val="21"/>
          <w:szCs w:val="21"/>
          <w:highlight w:val="none"/>
        </w:rPr>
        <w:t>投标人所提供的服务或货物的证明文件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_Toc14501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"_Toc2409" </w:instrText>
      </w:r>
      <w:r>
        <w:rPr>
          <w:color w:val="auto"/>
          <w:highlight w:val="none"/>
        </w:rPr>
        <w:fldChar w:fldCharType="separate"/>
      </w:r>
      <w:r>
        <w:rPr>
          <w:rFonts w:cs="宋体"/>
          <w:color w:val="auto"/>
          <w:sz w:val="21"/>
          <w:szCs w:val="21"/>
          <w:highlight w:val="none"/>
        </w:rPr>
        <w:t xml:space="preserve">16. </w:t>
      </w:r>
      <w:r>
        <w:rPr>
          <w:rFonts w:hint="eastAsia" w:cs="宋体"/>
          <w:color w:val="auto"/>
          <w:sz w:val="21"/>
          <w:szCs w:val="21"/>
          <w:highlight w:val="none"/>
        </w:rPr>
        <w:t>投标有效期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_Toc2409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"_Toc26564" </w:instrText>
      </w:r>
      <w:r>
        <w:rPr>
          <w:color w:val="auto"/>
          <w:highlight w:val="none"/>
        </w:rPr>
        <w:fldChar w:fldCharType="separate"/>
      </w:r>
      <w:r>
        <w:rPr>
          <w:rFonts w:cs="宋体"/>
          <w:color w:val="auto"/>
          <w:sz w:val="21"/>
          <w:szCs w:val="21"/>
          <w:highlight w:val="none"/>
        </w:rPr>
        <w:t xml:space="preserve">17. </w:t>
      </w:r>
      <w:r>
        <w:rPr>
          <w:rFonts w:hint="eastAsia" w:cs="宋体"/>
          <w:color w:val="auto"/>
          <w:sz w:val="21"/>
          <w:szCs w:val="21"/>
          <w:highlight w:val="none"/>
        </w:rPr>
        <w:t>投标保证金</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_Toc26564 \h </w:instrText>
      </w:r>
      <w:r>
        <w:rPr>
          <w:rFonts w:hint="eastAsia" w:cs="宋体"/>
          <w:color w:val="auto"/>
          <w:sz w:val="21"/>
          <w:szCs w:val="21"/>
          <w:highlight w:val="none"/>
        </w:rPr>
        <w:fldChar w:fldCharType="separate"/>
      </w:r>
      <w:r>
        <w:rPr>
          <w:rFonts w:hint="eastAsia" w:cs="宋体"/>
          <w:color w:val="auto"/>
          <w:sz w:val="21"/>
          <w:szCs w:val="21"/>
          <w:highlight w:val="none"/>
        </w:rPr>
        <w:t>42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"_Toc18672" </w:instrText>
      </w:r>
      <w:r>
        <w:rPr>
          <w:color w:val="auto"/>
          <w:highlight w:val="none"/>
        </w:rPr>
        <w:fldChar w:fldCharType="separate"/>
      </w:r>
      <w:r>
        <w:rPr>
          <w:rFonts w:cs="宋体"/>
          <w:color w:val="auto"/>
          <w:sz w:val="21"/>
          <w:szCs w:val="21"/>
          <w:highlight w:val="none"/>
        </w:rPr>
        <w:t xml:space="preserve">四、 </w:t>
      </w:r>
      <w:r>
        <w:rPr>
          <w:rFonts w:hint="eastAsia" w:cs="宋体"/>
          <w:color w:val="auto"/>
          <w:sz w:val="21"/>
          <w:szCs w:val="21"/>
          <w:highlight w:val="none"/>
        </w:rPr>
        <w:t>投标文件的递交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_Toc18672 \h </w:instrText>
      </w:r>
      <w:r>
        <w:rPr>
          <w:rFonts w:hint="eastAsia" w:cs="宋体"/>
          <w:color w:val="auto"/>
          <w:sz w:val="21"/>
          <w:szCs w:val="21"/>
          <w:highlight w:val="none"/>
        </w:rPr>
        <w:fldChar w:fldCharType="separate"/>
      </w:r>
      <w:r>
        <w:rPr>
          <w:rFonts w:hint="eastAsia" w:cs="宋体"/>
          <w:color w:val="auto"/>
          <w:sz w:val="21"/>
          <w:szCs w:val="21"/>
          <w:highlight w:val="none"/>
        </w:rPr>
        <w:t>42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"_Toc9759" </w:instrText>
      </w:r>
      <w:r>
        <w:rPr>
          <w:color w:val="auto"/>
          <w:highlight w:val="none"/>
        </w:rPr>
        <w:fldChar w:fldCharType="separate"/>
      </w:r>
      <w:r>
        <w:rPr>
          <w:rFonts w:cs="宋体"/>
          <w:color w:val="auto"/>
          <w:sz w:val="21"/>
          <w:szCs w:val="21"/>
          <w:highlight w:val="none"/>
        </w:rPr>
        <w:t xml:space="preserve">18. </w:t>
      </w:r>
      <w:r>
        <w:rPr>
          <w:rFonts w:hint="eastAsia" w:cs="宋体"/>
          <w:color w:val="auto"/>
          <w:sz w:val="21"/>
          <w:szCs w:val="21"/>
          <w:highlight w:val="none"/>
        </w:rPr>
        <w:t>投标文件的装订，签署，密封和标记</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_Toc9759 \h </w:instrText>
      </w:r>
      <w:r>
        <w:rPr>
          <w:rFonts w:hint="eastAsia" w:cs="宋体"/>
          <w:color w:val="auto"/>
          <w:sz w:val="21"/>
          <w:szCs w:val="21"/>
          <w:highlight w:val="none"/>
        </w:rPr>
        <w:fldChar w:fldCharType="separate"/>
      </w:r>
      <w:r>
        <w:rPr>
          <w:rFonts w:hint="eastAsia" w:cs="宋体"/>
          <w:color w:val="auto"/>
          <w:sz w:val="21"/>
          <w:szCs w:val="21"/>
          <w:highlight w:val="none"/>
        </w:rPr>
        <w:t>42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"_Toc27686" </w:instrText>
      </w:r>
      <w:r>
        <w:rPr>
          <w:color w:val="auto"/>
          <w:highlight w:val="none"/>
        </w:rPr>
        <w:fldChar w:fldCharType="separate"/>
      </w:r>
      <w:r>
        <w:rPr>
          <w:rFonts w:cs="宋体"/>
          <w:color w:val="auto"/>
          <w:sz w:val="21"/>
          <w:szCs w:val="21"/>
          <w:highlight w:val="none"/>
        </w:rPr>
        <w:t xml:space="preserve">19. </w:t>
      </w:r>
      <w:r>
        <w:rPr>
          <w:rFonts w:hint="eastAsia" w:cs="宋体"/>
          <w:color w:val="auto"/>
          <w:sz w:val="21"/>
          <w:szCs w:val="21"/>
          <w:highlight w:val="none"/>
        </w:rPr>
        <w:t>迟交的投标文件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_Toc27686 \h </w:instrText>
      </w:r>
      <w:r>
        <w:rPr>
          <w:rFonts w:hint="eastAsia" w:cs="宋体"/>
          <w:color w:val="auto"/>
          <w:sz w:val="21"/>
          <w:szCs w:val="21"/>
          <w:highlight w:val="none"/>
        </w:rPr>
        <w:fldChar w:fldCharType="separate"/>
      </w:r>
      <w:r>
        <w:rPr>
          <w:rFonts w:hint="eastAsia" w:cs="宋体"/>
          <w:color w:val="auto"/>
          <w:sz w:val="21"/>
          <w:szCs w:val="21"/>
          <w:highlight w:val="none"/>
        </w:rPr>
        <w:t>44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"_Toc8776" </w:instrText>
      </w:r>
      <w:r>
        <w:rPr>
          <w:color w:val="auto"/>
          <w:highlight w:val="none"/>
        </w:rPr>
        <w:fldChar w:fldCharType="separate"/>
      </w:r>
      <w:r>
        <w:rPr>
          <w:rFonts w:cs="宋体"/>
          <w:color w:val="auto"/>
          <w:sz w:val="21"/>
          <w:szCs w:val="21"/>
          <w:highlight w:val="none"/>
        </w:rPr>
        <w:t xml:space="preserve">20. </w:t>
      </w:r>
      <w:r>
        <w:rPr>
          <w:rFonts w:hint="eastAsia" w:cs="宋体"/>
          <w:color w:val="auto"/>
          <w:sz w:val="21"/>
          <w:szCs w:val="21"/>
          <w:highlight w:val="none"/>
        </w:rPr>
        <w:t>投标样品（如需提交）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_Toc8776 \h </w:instrText>
      </w:r>
      <w:r>
        <w:rPr>
          <w:rFonts w:hint="eastAsia" w:cs="宋体"/>
          <w:color w:val="auto"/>
          <w:sz w:val="21"/>
          <w:szCs w:val="21"/>
          <w:highlight w:val="none"/>
        </w:rPr>
        <w:fldChar w:fldCharType="separate"/>
      </w:r>
      <w:r>
        <w:rPr>
          <w:rFonts w:hint="eastAsia" w:cs="宋体"/>
          <w:color w:val="auto"/>
          <w:sz w:val="21"/>
          <w:szCs w:val="21"/>
          <w:highlight w:val="none"/>
        </w:rPr>
        <w:t>44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"_Toc17522" </w:instrText>
      </w:r>
      <w:r>
        <w:rPr>
          <w:color w:val="auto"/>
          <w:highlight w:val="none"/>
        </w:rPr>
        <w:fldChar w:fldCharType="separate"/>
      </w:r>
      <w:r>
        <w:rPr>
          <w:rFonts w:cs="宋体"/>
          <w:color w:val="auto"/>
          <w:sz w:val="21"/>
          <w:szCs w:val="21"/>
          <w:highlight w:val="none"/>
        </w:rPr>
        <w:t xml:space="preserve">21. </w:t>
      </w:r>
      <w:r>
        <w:rPr>
          <w:rFonts w:hint="eastAsia" w:cs="宋体"/>
          <w:color w:val="auto"/>
          <w:sz w:val="21"/>
          <w:szCs w:val="21"/>
          <w:highlight w:val="none"/>
        </w:rPr>
        <w:t>投标截止期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_Toc17522 \h </w:instrText>
      </w:r>
      <w:r>
        <w:rPr>
          <w:rFonts w:hint="eastAsia" w:cs="宋体"/>
          <w:color w:val="auto"/>
          <w:sz w:val="21"/>
          <w:szCs w:val="21"/>
          <w:highlight w:val="none"/>
        </w:rPr>
        <w:fldChar w:fldCharType="separate"/>
      </w:r>
      <w:r>
        <w:rPr>
          <w:rFonts w:hint="eastAsia" w:cs="宋体"/>
          <w:color w:val="auto"/>
          <w:sz w:val="21"/>
          <w:szCs w:val="21"/>
          <w:highlight w:val="none"/>
        </w:rPr>
        <w:t>44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"_Toc14518" </w:instrText>
      </w:r>
      <w:r>
        <w:rPr>
          <w:color w:val="auto"/>
          <w:highlight w:val="none"/>
        </w:rPr>
        <w:fldChar w:fldCharType="separate"/>
      </w:r>
      <w:r>
        <w:rPr>
          <w:rFonts w:cs="宋体"/>
          <w:color w:val="auto"/>
          <w:sz w:val="21"/>
          <w:szCs w:val="21"/>
          <w:highlight w:val="none"/>
        </w:rPr>
        <w:t xml:space="preserve">22. </w:t>
      </w:r>
      <w:r>
        <w:rPr>
          <w:rFonts w:hint="eastAsia" w:cs="宋体"/>
          <w:color w:val="auto"/>
          <w:sz w:val="21"/>
          <w:szCs w:val="21"/>
          <w:highlight w:val="none"/>
        </w:rPr>
        <w:t>投标文件的补充、修改与撤回</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_Toc14518 \h </w:instrText>
      </w:r>
      <w:r>
        <w:rPr>
          <w:rFonts w:hint="eastAsia" w:cs="宋体"/>
          <w:color w:val="auto"/>
          <w:sz w:val="21"/>
          <w:szCs w:val="21"/>
          <w:highlight w:val="none"/>
        </w:rPr>
        <w:fldChar w:fldCharType="separate"/>
      </w:r>
      <w:r>
        <w:rPr>
          <w:rFonts w:hint="eastAsia" w:cs="宋体"/>
          <w:color w:val="auto"/>
          <w:sz w:val="21"/>
          <w:szCs w:val="21"/>
          <w:highlight w:val="none"/>
        </w:rPr>
        <w:t>44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"_Toc4693" </w:instrText>
      </w:r>
      <w:r>
        <w:rPr>
          <w:color w:val="auto"/>
          <w:highlight w:val="none"/>
        </w:rPr>
        <w:fldChar w:fldCharType="separate"/>
      </w:r>
      <w:r>
        <w:rPr>
          <w:rFonts w:cs="宋体"/>
          <w:color w:val="auto"/>
          <w:sz w:val="21"/>
          <w:szCs w:val="21"/>
          <w:highlight w:val="none"/>
        </w:rPr>
        <w:t xml:space="preserve">五、 </w:t>
      </w:r>
      <w:r>
        <w:rPr>
          <w:rFonts w:hint="eastAsia" w:cs="宋体"/>
          <w:color w:val="auto"/>
          <w:sz w:val="21"/>
          <w:szCs w:val="21"/>
          <w:highlight w:val="none"/>
        </w:rPr>
        <w:t>开标与评标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_Toc4693 \h </w:instrText>
      </w:r>
      <w:r>
        <w:rPr>
          <w:rFonts w:hint="eastAsia" w:cs="宋体"/>
          <w:color w:val="auto"/>
          <w:sz w:val="21"/>
          <w:szCs w:val="21"/>
          <w:highlight w:val="none"/>
        </w:rPr>
        <w:fldChar w:fldCharType="separate"/>
      </w:r>
      <w:r>
        <w:rPr>
          <w:rFonts w:hint="eastAsia" w:cs="宋体"/>
          <w:color w:val="auto"/>
          <w:sz w:val="21"/>
          <w:szCs w:val="21"/>
          <w:highlight w:val="none"/>
        </w:rPr>
        <w:t>45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"_Toc20009" </w:instrText>
      </w:r>
      <w:r>
        <w:rPr>
          <w:color w:val="auto"/>
          <w:highlight w:val="none"/>
        </w:rPr>
        <w:fldChar w:fldCharType="separate"/>
      </w:r>
      <w:r>
        <w:rPr>
          <w:rFonts w:cs="宋体"/>
          <w:color w:val="auto"/>
          <w:sz w:val="21"/>
          <w:szCs w:val="21"/>
          <w:highlight w:val="none"/>
        </w:rPr>
        <w:t xml:space="preserve">23. </w:t>
      </w:r>
      <w:r>
        <w:rPr>
          <w:rFonts w:hint="eastAsia" w:cs="宋体"/>
          <w:color w:val="auto"/>
          <w:sz w:val="21"/>
          <w:szCs w:val="21"/>
          <w:highlight w:val="none"/>
        </w:rPr>
        <w:t>开标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_Toc20009 \h </w:instrText>
      </w:r>
      <w:r>
        <w:rPr>
          <w:rFonts w:hint="eastAsia" w:cs="宋体"/>
          <w:color w:val="auto"/>
          <w:sz w:val="21"/>
          <w:szCs w:val="21"/>
          <w:highlight w:val="none"/>
        </w:rPr>
        <w:fldChar w:fldCharType="separate"/>
      </w:r>
      <w:r>
        <w:rPr>
          <w:rFonts w:hint="eastAsia" w:cs="宋体"/>
          <w:color w:val="auto"/>
          <w:sz w:val="21"/>
          <w:szCs w:val="21"/>
          <w:highlight w:val="none"/>
        </w:rPr>
        <w:t>45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"_Toc15560" </w:instrText>
      </w:r>
      <w:r>
        <w:rPr>
          <w:color w:val="auto"/>
          <w:highlight w:val="none"/>
        </w:rPr>
        <w:fldChar w:fldCharType="separate"/>
      </w:r>
      <w:r>
        <w:rPr>
          <w:rFonts w:cs="宋体"/>
          <w:color w:val="auto"/>
          <w:sz w:val="21"/>
          <w:szCs w:val="21"/>
          <w:highlight w:val="none"/>
        </w:rPr>
        <w:t xml:space="preserve">24. </w:t>
      </w:r>
      <w:r>
        <w:rPr>
          <w:rFonts w:hint="eastAsia" w:cs="宋体"/>
          <w:color w:val="auto"/>
          <w:sz w:val="21"/>
          <w:szCs w:val="21"/>
          <w:highlight w:val="none"/>
        </w:rPr>
        <w:t>评标委员会及评标方法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_Toc15560 \h </w:instrText>
      </w:r>
      <w:r>
        <w:rPr>
          <w:rFonts w:hint="eastAsia" w:cs="宋体"/>
          <w:color w:val="auto"/>
          <w:sz w:val="21"/>
          <w:szCs w:val="21"/>
          <w:highlight w:val="none"/>
        </w:rPr>
        <w:fldChar w:fldCharType="separate"/>
      </w:r>
      <w:r>
        <w:rPr>
          <w:rFonts w:hint="eastAsia" w:cs="宋体"/>
          <w:color w:val="auto"/>
          <w:sz w:val="21"/>
          <w:szCs w:val="21"/>
          <w:highlight w:val="none"/>
        </w:rPr>
        <w:t>45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"_Toc22022" </w:instrText>
      </w:r>
      <w:r>
        <w:rPr>
          <w:color w:val="auto"/>
          <w:highlight w:val="none"/>
        </w:rPr>
        <w:fldChar w:fldCharType="separate"/>
      </w:r>
      <w:r>
        <w:rPr>
          <w:rFonts w:cs="宋体"/>
          <w:color w:val="auto"/>
          <w:sz w:val="21"/>
          <w:szCs w:val="21"/>
          <w:highlight w:val="none"/>
        </w:rPr>
        <w:t xml:space="preserve">25. </w:t>
      </w:r>
      <w:r>
        <w:rPr>
          <w:rFonts w:hint="eastAsia" w:cs="宋体"/>
          <w:color w:val="auto"/>
          <w:sz w:val="21"/>
          <w:szCs w:val="21"/>
          <w:highlight w:val="none"/>
        </w:rPr>
        <w:t>评审原则及评标过程的保密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_Toc22022 \h </w:instrText>
      </w:r>
      <w:r>
        <w:rPr>
          <w:rFonts w:hint="eastAsia" w:cs="宋体"/>
          <w:color w:val="auto"/>
          <w:sz w:val="21"/>
          <w:szCs w:val="21"/>
          <w:highlight w:val="none"/>
        </w:rPr>
        <w:fldChar w:fldCharType="separate"/>
      </w:r>
      <w:r>
        <w:rPr>
          <w:rFonts w:hint="eastAsia" w:cs="宋体"/>
          <w:color w:val="auto"/>
          <w:sz w:val="21"/>
          <w:szCs w:val="21"/>
          <w:highlight w:val="none"/>
        </w:rPr>
        <w:t>46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"_Toc14506" </w:instrText>
      </w:r>
      <w:r>
        <w:rPr>
          <w:color w:val="auto"/>
          <w:highlight w:val="none"/>
        </w:rPr>
        <w:fldChar w:fldCharType="separate"/>
      </w:r>
      <w:r>
        <w:rPr>
          <w:rFonts w:cs="宋体"/>
          <w:color w:val="auto"/>
          <w:sz w:val="21"/>
          <w:szCs w:val="21"/>
          <w:highlight w:val="none"/>
        </w:rPr>
        <w:t xml:space="preserve">26. </w:t>
      </w:r>
      <w:r>
        <w:rPr>
          <w:rFonts w:hint="eastAsia" w:cs="宋体"/>
          <w:color w:val="auto"/>
          <w:sz w:val="21"/>
          <w:szCs w:val="21"/>
          <w:highlight w:val="none"/>
        </w:rPr>
        <w:t>评标程序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_Toc14506 \h </w:instrText>
      </w:r>
      <w:r>
        <w:rPr>
          <w:rFonts w:hint="eastAsia" w:cs="宋体"/>
          <w:color w:val="auto"/>
          <w:sz w:val="21"/>
          <w:szCs w:val="21"/>
          <w:highlight w:val="none"/>
        </w:rPr>
        <w:fldChar w:fldCharType="separate"/>
      </w:r>
      <w:r>
        <w:rPr>
          <w:rFonts w:hint="eastAsia" w:cs="宋体"/>
          <w:color w:val="auto"/>
          <w:sz w:val="21"/>
          <w:szCs w:val="21"/>
          <w:highlight w:val="none"/>
        </w:rPr>
        <w:t>46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"_Toc11415" </w:instrText>
      </w:r>
      <w:r>
        <w:rPr>
          <w:color w:val="auto"/>
          <w:highlight w:val="none"/>
        </w:rPr>
        <w:fldChar w:fldCharType="separate"/>
      </w:r>
      <w:r>
        <w:rPr>
          <w:rFonts w:cs="宋体"/>
          <w:color w:val="auto"/>
          <w:sz w:val="21"/>
          <w:szCs w:val="21"/>
          <w:highlight w:val="none"/>
        </w:rPr>
        <w:t xml:space="preserve">27. </w:t>
      </w:r>
      <w:r>
        <w:rPr>
          <w:rFonts w:hint="eastAsia" w:cs="宋体"/>
          <w:color w:val="auto"/>
          <w:sz w:val="21"/>
          <w:szCs w:val="21"/>
          <w:highlight w:val="none"/>
        </w:rPr>
        <w:t>商务、技术、价格评审（具体评审项目详见投标资料表）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_Toc11415 \h </w:instrText>
      </w:r>
      <w:r>
        <w:rPr>
          <w:rFonts w:hint="eastAsia" w:cs="宋体"/>
          <w:color w:val="auto"/>
          <w:sz w:val="21"/>
          <w:szCs w:val="21"/>
          <w:highlight w:val="none"/>
        </w:rPr>
        <w:fldChar w:fldCharType="separate"/>
      </w:r>
      <w:r>
        <w:rPr>
          <w:rFonts w:hint="eastAsia" w:cs="宋体"/>
          <w:color w:val="auto"/>
          <w:sz w:val="21"/>
          <w:szCs w:val="21"/>
          <w:highlight w:val="none"/>
        </w:rPr>
        <w:t>48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"_Toc18550" </w:instrText>
      </w:r>
      <w:r>
        <w:rPr>
          <w:color w:val="auto"/>
          <w:highlight w:val="none"/>
        </w:rPr>
        <w:fldChar w:fldCharType="separate"/>
      </w:r>
      <w:r>
        <w:rPr>
          <w:rFonts w:cs="宋体"/>
          <w:color w:val="auto"/>
          <w:sz w:val="21"/>
          <w:szCs w:val="21"/>
          <w:highlight w:val="none"/>
        </w:rPr>
        <w:t xml:space="preserve">28. </w:t>
      </w:r>
      <w:r>
        <w:rPr>
          <w:rFonts w:hint="eastAsia" w:cs="宋体"/>
          <w:color w:val="auto"/>
          <w:sz w:val="21"/>
          <w:szCs w:val="21"/>
          <w:highlight w:val="none"/>
        </w:rPr>
        <w:t>纪律和保密事项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_Toc18550 \h </w:instrText>
      </w:r>
      <w:r>
        <w:rPr>
          <w:rFonts w:hint="eastAsia" w:cs="宋体"/>
          <w:color w:val="auto"/>
          <w:sz w:val="21"/>
          <w:szCs w:val="21"/>
          <w:highlight w:val="none"/>
        </w:rPr>
        <w:fldChar w:fldCharType="separate"/>
      </w:r>
      <w:r>
        <w:rPr>
          <w:rFonts w:hint="eastAsia" w:cs="宋体"/>
          <w:color w:val="auto"/>
          <w:sz w:val="21"/>
          <w:szCs w:val="21"/>
          <w:highlight w:val="none"/>
        </w:rPr>
        <w:t>48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"_Toc27738" </w:instrText>
      </w:r>
      <w:r>
        <w:rPr>
          <w:color w:val="auto"/>
          <w:highlight w:val="none"/>
        </w:rPr>
        <w:fldChar w:fldCharType="separate"/>
      </w:r>
      <w:r>
        <w:rPr>
          <w:rFonts w:cs="宋体"/>
          <w:color w:val="auto"/>
          <w:sz w:val="21"/>
          <w:szCs w:val="21"/>
          <w:highlight w:val="none"/>
        </w:rPr>
        <w:t xml:space="preserve">六、 </w:t>
      </w:r>
      <w:r>
        <w:rPr>
          <w:rFonts w:hint="eastAsia" w:cs="宋体"/>
          <w:color w:val="auto"/>
          <w:sz w:val="21"/>
          <w:szCs w:val="21"/>
          <w:highlight w:val="none"/>
        </w:rPr>
        <w:t>授予合同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_Toc27738 \h </w:instrText>
      </w:r>
      <w:r>
        <w:rPr>
          <w:rFonts w:hint="eastAsia" w:cs="宋体"/>
          <w:color w:val="auto"/>
          <w:sz w:val="21"/>
          <w:szCs w:val="21"/>
          <w:highlight w:val="none"/>
        </w:rPr>
        <w:fldChar w:fldCharType="separate"/>
      </w:r>
      <w:r>
        <w:rPr>
          <w:rFonts w:hint="eastAsia" w:cs="宋体"/>
          <w:color w:val="auto"/>
          <w:sz w:val="21"/>
          <w:szCs w:val="21"/>
          <w:highlight w:val="none"/>
        </w:rPr>
        <w:t>48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"_Toc16090" </w:instrText>
      </w:r>
      <w:r>
        <w:rPr>
          <w:color w:val="auto"/>
          <w:highlight w:val="none"/>
        </w:rPr>
        <w:fldChar w:fldCharType="separate"/>
      </w:r>
      <w:r>
        <w:rPr>
          <w:rFonts w:cs="宋体"/>
          <w:color w:val="auto"/>
          <w:sz w:val="21"/>
          <w:szCs w:val="21"/>
          <w:highlight w:val="none"/>
        </w:rPr>
        <w:t xml:space="preserve">29. </w:t>
      </w:r>
      <w:r>
        <w:rPr>
          <w:rFonts w:hint="eastAsia" w:cs="宋体"/>
          <w:color w:val="auto"/>
          <w:sz w:val="21"/>
          <w:szCs w:val="21"/>
          <w:highlight w:val="none"/>
        </w:rPr>
        <w:t>合同授予标准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_Toc16090 \h </w:instrText>
      </w:r>
      <w:r>
        <w:rPr>
          <w:rFonts w:hint="eastAsia" w:cs="宋体"/>
          <w:color w:val="auto"/>
          <w:sz w:val="21"/>
          <w:szCs w:val="21"/>
          <w:highlight w:val="none"/>
        </w:rPr>
        <w:fldChar w:fldCharType="separate"/>
      </w:r>
      <w:r>
        <w:rPr>
          <w:rFonts w:hint="eastAsia" w:cs="宋体"/>
          <w:color w:val="auto"/>
          <w:sz w:val="21"/>
          <w:szCs w:val="21"/>
          <w:highlight w:val="none"/>
        </w:rPr>
        <w:t>48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"_Toc24261" </w:instrText>
      </w:r>
      <w:r>
        <w:rPr>
          <w:color w:val="auto"/>
          <w:highlight w:val="none"/>
        </w:rPr>
        <w:fldChar w:fldCharType="separate"/>
      </w:r>
      <w:r>
        <w:rPr>
          <w:rFonts w:cs="宋体"/>
          <w:color w:val="auto"/>
          <w:sz w:val="21"/>
          <w:szCs w:val="21"/>
          <w:highlight w:val="none"/>
        </w:rPr>
        <w:t xml:space="preserve">30. </w:t>
      </w:r>
      <w:r>
        <w:rPr>
          <w:rFonts w:hint="eastAsia" w:cs="宋体"/>
          <w:color w:val="auto"/>
          <w:sz w:val="21"/>
          <w:szCs w:val="21"/>
          <w:highlight w:val="none"/>
        </w:rPr>
        <w:t>发布中标结果</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_Toc24261 \h </w:instrText>
      </w:r>
      <w:r>
        <w:rPr>
          <w:rFonts w:hint="eastAsia" w:cs="宋体"/>
          <w:color w:val="auto"/>
          <w:sz w:val="21"/>
          <w:szCs w:val="21"/>
          <w:highlight w:val="none"/>
        </w:rPr>
        <w:fldChar w:fldCharType="separate"/>
      </w:r>
      <w:r>
        <w:rPr>
          <w:rFonts w:hint="eastAsia" w:cs="宋体"/>
          <w:color w:val="auto"/>
          <w:sz w:val="21"/>
          <w:szCs w:val="21"/>
          <w:highlight w:val="none"/>
        </w:rPr>
        <w:t>48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"_Toc749" </w:instrText>
      </w:r>
      <w:r>
        <w:rPr>
          <w:color w:val="auto"/>
          <w:highlight w:val="none"/>
        </w:rPr>
        <w:fldChar w:fldCharType="separate"/>
      </w:r>
      <w:r>
        <w:rPr>
          <w:rFonts w:cs="宋体"/>
          <w:color w:val="auto"/>
          <w:sz w:val="21"/>
          <w:szCs w:val="21"/>
          <w:highlight w:val="none"/>
        </w:rPr>
        <w:t xml:space="preserve">31. </w:t>
      </w:r>
      <w:r>
        <w:rPr>
          <w:rFonts w:hint="eastAsia" w:cs="宋体"/>
          <w:color w:val="auto"/>
          <w:sz w:val="21"/>
          <w:szCs w:val="21"/>
          <w:highlight w:val="none"/>
        </w:rPr>
        <w:t>资格后审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_Toc749 \h </w:instrText>
      </w:r>
      <w:r>
        <w:rPr>
          <w:rFonts w:hint="eastAsia" w:cs="宋体"/>
          <w:color w:val="auto"/>
          <w:sz w:val="21"/>
          <w:szCs w:val="21"/>
          <w:highlight w:val="none"/>
        </w:rPr>
        <w:fldChar w:fldCharType="separate"/>
      </w:r>
      <w:r>
        <w:rPr>
          <w:rFonts w:hint="eastAsia" w:cs="宋体"/>
          <w:color w:val="auto"/>
          <w:sz w:val="21"/>
          <w:szCs w:val="21"/>
          <w:highlight w:val="none"/>
        </w:rPr>
        <w:t>49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"_Toc27689" </w:instrText>
      </w:r>
      <w:r>
        <w:rPr>
          <w:color w:val="auto"/>
          <w:highlight w:val="none"/>
        </w:rPr>
        <w:fldChar w:fldCharType="separate"/>
      </w:r>
      <w:r>
        <w:rPr>
          <w:rFonts w:cs="宋体"/>
          <w:color w:val="auto"/>
          <w:sz w:val="21"/>
          <w:szCs w:val="21"/>
          <w:highlight w:val="none"/>
        </w:rPr>
        <w:t xml:space="preserve">32. </w:t>
      </w:r>
      <w:r>
        <w:rPr>
          <w:rFonts w:hint="eastAsia" w:cs="宋体"/>
          <w:color w:val="auto"/>
          <w:sz w:val="21"/>
          <w:szCs w:val="21"/>
          <w:highlight w:val="none"/>
        </w:rPr>
        <w:t>合同的签订与履行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_Toc27689 \h </w:instrText>
      </w:r>
      <w:r>
        <w:rPr>
          <w:rFonts w:hint="eastAsia" w:cs="宋体"/>
          <w:color w:val="auto"/>
          <w:sz w:val="21"/>
          <w:szCs w:val="21"/>
          <w:highlight w:val="none"/>
        </w:rPr>
        <w:fldChar w:fldCharType="separate"/>
      </w:r>
      <w:r>
        <w:rPr>
          <w:rFonts w:hint="eastAsia" w:cs="宋体"/>
          <w:color w:val="auto"/>
          <w:sz w:val="21"/>
          <w:szCs w:val="21"/>
          <w:highlight w:val="none"/>
        </w:rPr>
        <w:t>49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"_Toc19211" </w:instrText>
      </w:r>
      <w:r>
        <w:rPr>
          <w:color w:val="auto"/>
          <w:highlight w:val="none"/>
        </w:rPr>
        <w:fldChar w:fldCharType="separate"/>
      </w:r>
      <w:r>
        <w:rPr>
          <w:rFonts w:cs="宋体"/>
          <w:color w:val="auto"/>
          <w:sz w:val="21"/>
          <w:szCs w:val="21"/>
          <w:highlight w:val="none"/>
        </w:rPr>
        <w:t xml:space="preserve">33. </w:t>
      </w:r>
      <w:r>
        <w:rPr>
          <w:rFonts w:hint="eastAsia" w:cs="宋体"/>
          <w:color w:val="auto"/>
          <w:sz w:val="21"/>
          <w:szCs w:val="21"/>
          <w:highlight w:val="none"/>
        </w:rPr>
        <w:t>履约担保</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_Toc19211 \h </w:instrText>
      </w:r>
      <w:r>
        <w:rPr>
          <w:rFonts w:hint="eastAsia" w:cs="宋体"/>
          <w:color w:val="auto"/>
          <w:sz w:val="21"/>
          <w:szCs w:val="21"/>
          <w:highlight w:val="none"/>
        </w:rPr>
        <w:fldChar w:fldCharType="separate"/>
      </w:r>
      <w:r>
        <w:rPr>
          <w:rFonts w:hint="eastAsia" w:cs="宋体"/>
          <w:color w:val="auto"/>
          <w:sz w:val="21"/>
          <w:szCs w:val="21"/>
          <w:highlight w:val="none"/>
        </w:rPr>
        <w:t>50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"_Toc19347" </w:instrText>
      </w:r>
      <w:r>
        <w:rPr>
          <w:color w:val="auto"/>
          <w:highlight w:val="none"/>
        </w:rPr>
        <w:fldChar w:fldCharType="separate"/>
      </w:r>
      <w:r>
        <w:rPr>
          <w:rFonts w:cs="宋体"/>
          <w:color w:val="auto"/>
          <w:sz w:val="21"/>
          <w:szCs w:val="21"/>
          <w:highlight w:val="none"/>
        </w:rPr>
        <w:t xml:space="preserve">34. </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_Toc19347 \h </w:instrText>
      </w:r>
      <w:r>
        <w:rPr>
          <w:rFonts w:hint="eastAsia" w:cs="宋体"/>
          <w:color w:val="auto"/>
          <w:sz w:val="21"/>
          <w:szCs w:val="21"/>
          <w:highlight w:val="none"/>
        </w:rPr>
        <w:fldChar w:fldCharType="separate"/>
      </w:r>
      <w:r>
        <w:rPr>
          <w:rFonts w:hint="eastAsia" w:cs="宋体"/>
          <w:color w:val="auto"/>
          <w:sz w:val="21"/>
          <w:szCs w:val="21"/>
          <w:highlight w:val="none"/>
        </w:rPr>
        <w:t>51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"_Toc27556" </w:instrText>
      </w:r>
      <w:r>
        <w:rPr>
          <w:color w:val="auto"/>
          <w:highlight w:val="none"/>
        </w:rPr>
        <w:fldChar w:fldCharType="separate"/>
      </w:r>
      <w:r>
        <w:rPr>
          <w:rFonts w:cs="宋体"/>
          <w:color w:val="auto"/>
          <w:sz w:val="21"/>
          <w:szCs w:val="21"/>
          <w:highlight w:val="none"/>
        </w:rPr>
        <w:t xml:space="preserve">七、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_Toc27556 \h </w:instrText>
      </w:r>
      <w:r>
        <w:rPr>
          <w:rFonts w:hint="eastAsia" w:cs="宋体"/>
          <w:color w:val="auto"/>
          <w:sz w:val="21"/>
          <w:szCs w:val="21"/>
          <w:highlight w:val="none"/>
        </w:rPr>
        <w:fldChar w:fldCharType="separate"/>
      </w:r>
      <w:r>
        <w:rPr>
          <w:rFonts w:hint="eastAsia" w:cs="宋体"/>
          <w:color w:val="auto"/>
          <w:sz w:val="21"/>
          <w:szCs w:val="21"/>
          <w:highlight w:val="none"/>
        </w:rPr>
        <w:t>51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"_Toc31457" </w:instrText>
      </w:r>
      <w:r>
        <w:rPr>
          <w:color w:val="auto"/>
          <w:highlight w:val="none"/>
        </w:rPr>
        <w:fldChar w:fldCharType="separate"/>
      </w:r>
      <w:r>
        <w:rPr>
          <w:rFonts w:cs="宋体"/>
          <w:color w:val="auto"/>
          <w:sz w:val="21"/>
          <w:szCs w:val="21"/>
          <w:highlight w:val="none"/>
        </w:rPr>
        <w:t xml:space="preserve">35.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_Toc31457 \h </w:instrText>
      </w:r>
      <w:r>
        <w:rPr>
          <w:rFonts w:hint="eastAsia" w:cs="宋体"/>
          <w:color w:val="auto"/>
          <w:sz w:val="21"/>
          <w:szCs w:val="21"/>
          <w:highlight w:val="none"/>
        </w:rPr>
        <w:fldChar w:fldCharType="separate"/>
      </w:r>
      <w:r>
        <w:rPr>
          <w:rFonts w:hint="eastAsia" w:cs="宋体"/>
          <w:color w:val="auto"/>
          <w:sz w:val="21"/>
          <w:szCs w:val="21"/>
          <w:highlight w:val="none"/>
        </w:rPr>
        <w:t>51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"_Toc16776" </w:instrText>
      </w:r>
      <w:r>
        <w:rPr>
          <w:color w:val="auto"/>
          <w:highlight w:val="none"/>
        </w:rPr>
        <w:fldChar w:fldCharType="separate"/>
      </w:r>
      <w:r>
        <w:rPr>
          <w:rFonts w:cs="宋体"/>
          <w:color w:val="auto"/>
          <w:sz w:val="21"/>
          <w:szCs w:val="21"/>
          <w:highlight w:val="none"/>
        </w:rPr>
        <w:t xml:space="preserve">八、 </w:t>
      </w:r>
      <w:r>
        <w:rPr>
          <w:rFonts w:hint="eastAsia" w:cs="宋体"/>
          <w:color w:val="auto"/>
          <w:sz w:val="21"/>
          <w:szCs w:val="21"/>
          <w:highlight w:val="none"/>
        </w:rPr>
        <w:t>其他</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_Toc16776 \h </w:instrText>
      </w:r>
      <w:r>
        <w:rPr>
          <w:rFonts w:hint="eastAsia" w:cs="宋体"/>
          <w:color w:val="auto"/>
          <w:sz w:val="21"/>
          <w:szCs w:val="21"/>
          <w:highlight w:val="none"/>
        </w:rPr>
        <w:fldChar w:fldCharType="separate"/>
      </w:r>
      <w:r>
        <w:rPr>
          <w:rFonts w:hint="eastAsia" w:cs="宋体"/>
          <w:color w:val="auto"/>
          <w:sz w:val="21"/>
          <w:szCs w:val="21"/>
          <w:highlight w:val="none"/>
        </w:rPr>
        <w:t>52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"_Toc2155" </w:instrText>
      </w:r>
      <w:r>
        <w:rPr>
          <w:color w:val="auto"/>
          <w:highlight w:val="none"/>
        </w:rPr>
        <w:fldChar w:fldCharType="separate"/>
      </w:r>
      <w:r>
        <w:rPr>
          <w:rFonts w:cs="宋体"/>
          <w:color w:val="auto"/>
          <w:sz w:val="21"/>
          <w:szCs w:val="21"/>
          <w:highlight w:val="none"/>
        </w:rPr>
        <w:t xml:space="preserve">36. </w:t>
      </w:r>
      <w:r>
        <w:rPr>
          <w:rFonts w:hint="eastAsia" w:cs="宋体"/>
          <w:color w:val="auto"/>
          <w:sz w:val="21"/>
          <w:szCs w:val="21"/>
          <w:highlight w:val="none"/>
        </w:rPr>
        <w:t>采购文件的解释权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_Toc2155 \h </w:instrText>
      </w:r>
      <w:r>
        <w:rPr>
          <w:rFonts w:hint="eastAsia" w:cs="宋体"/>
          <w:color w:val="auto"/>
          <w:sz w:val="21"/>
          <w:szCs w:val="21"/>
          <w:highlight w:val="none"/>
        </w:rPr>
        <w:fldChar w:fldCharType="separate"/>
      </w:r>
      <w:r>
        <w:rPr>
          <w:rFonts w:hint="eastAsia" w:cs="宋体"/>
          <w:color w:val="auto"/>
          <w:sz w:val="21"/>
          <w:szCs w:val="21"/>
          <w:highlight w:val="none"/>
        </w:rPr>
        <w:t>52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"_Toc15211" </w:instrText>
      </w:r>
      <w:r>
        <w:rPr>
          <w:color w:val="auto"/>
          <w:highlight w:val="none"/>
        </w:rPr>
        <w:fldChar w:fldCharType="separate"/>
      </w:r>
      <w:r>
        <w:rPr>
          <w:rFonts w:hint="eastAsia" w:cs="宋体"/>
          <w:color w:val="auto"/>
          <w:sz w:val="21"/>
          <w:szCs w:val="21"/>
          <w:highlight w:val="none"/>
        </w:rPr>
        <w:t>第五部分  合同条款格式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_Toc15211 \h </w:instrText>
      </w:r>
      <w:r>
        <w:rPr>
          <w:rFonts w:hint="eastAsia" w:cs="宋体"/>
          <w:color w:val="auto"/>
          <w:sz w:val="21"/>
          <w:szCs w:val="21"/>
          <w:highlight w:val="none"/>
        </w:rPr>
        <w:fldChar w:fldCharType="separate"/>
      </w:r>
      <w:r>
        <w:rPr>
          <w:rFonts w:hint="eastAsia" w:cs="宋体"/>
          <w:color w:val="auto"/>
          <w:sz w:val="21"/>
          <w:szCs w:val="21"/>
          <w:highlight w:val="none"/>
        </w:rPr>
        <w:t>53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"_Toc17124" </w:instrText>
      </w:r>
      <w:r>
        <w:rPr>
          <w:color w:val="auto"/>
          <w:highlight w:val="none"/>
        </w:rPr>
        <w:fldChar w:fldCharType="separate"/>
      </w:r>
      <w:r>
        <w:rPr>
          <w:rFonts w:hint="eastAsia" w:cs="宋体"/>
          <w:color w:val="auto"/>
          <w:sz w:val="21"/>
          <w:szCs w:val="21"/>
          <w:highlight w:val="none"/>
        </w:rPr>
        <w:t>第六部分附件－投标文件格式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_Toc17124 \h </w:instrText>
      </w:r>
      <w:r>
        <w:rPr>
          <w:rFonts w:hint="eastAsia" w:cs="宋体"/>
          <w:color w:val="auto"/>
          <w:sz w:val="21"/>
          <w:szCs w:val="21"/>
          <w:highlight w:val="none"/>
        </w:rPr>
        <w:fldChar w:fldCharType="separate"/>
      </w:r>
      <w:r>
        <w:rPr>
          <w:rFonts w:hint="eastAsia" w:cs="宋体"/>
          <w:color w:val="auto"/>
          <w:sz w:val="21"/>
          <w:szCs w:val="21"/>
          <w:highlight w:val="none"/>
        </w:rPr>
        <w:t>79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"_Toc25786" </w:instrText>
      </w:r>
      <w:r>
        <w:rPr>
          <w:color w:val="auto"/>
          <w:highlight w:val="none"/>
        </w:rPr>
        <w:fldChar w:fldCharType="separate"/>
      </w:r>
      <w:r>
        <w:rPr>
          <w:rFonts w:hint="eastAsia" w:cs="宋体"/>
          <w:color w:val="auto"/>
          <w:sz w:val="21"/>
          <w:szCs w:val="21"/>
          <w:highlight w:val="none"/>
        </w:rPr>
        <w:t>投标文件目录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_Toc25786 \h </w:instrText>
      </w:r>
      <w:r>
        <w:rPr>
          <w:rFonts w:hint="eastAsia" w:cs="宋体"/>
          <w:color w:val="auto"/>
          <w:sz w:val="21"/>
          <w:szCs w:val="21"/>
          <w:highlight w:val="none"/>
        </w:rPr>
        <w:fldChar w:fldCharType="separate"/>
      </w:r>
      <w:r>
        <w:rPr>
          <w:rFonts w:hint="eastAsia" w:cs="宋体"/>
          <w:color w:val="auto"/>
          <w:sz w:val="21"/>
          <w:szCs w:val="21"/>
          <w:highlight w:val="none"/>
        </w:rPr>
        <w:t>79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"_Toc18792" </w:instrText>
      </w:r>
      <w:r>
        <w:rPr>
          <w:color w:val="auto"/>
          <w:highlight w:val="none"/>
        </w:rPr>
        <w:fldChar w:fldCharType="separate"/>
      </w:r>
      <w:r>
        <w:rPr>
          <w:rFonts w:hint="eastAsia" w:cs="宋体"/>
          <w:color w:val="auto"/>
          <w:sz w:val="21"/>
          <w:szCs w:val="21"/>
          <w:highlight w:val="none"/>
        </w:rPr>
        <w:t>附件1.评分标准索引表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_Toc18792 \h </w:instrText>
      </w:r>
      <w:r>
        <w:rPr>
          <w:rFonts w:hint="eastAsia" w:cs="宋体"/>
          <w:color w:val="auto"/>
          <w:sz w:val="21"/>
          <w:szCs w:val="21"/>
          <w:highlight w:val="none"/>
        </w:rPr>
        <w:fldChar w:fldCharType="separate"/>
      </w:r>
      <w:r>
        <w:rPr>
          <w:rFonts w:hint="eastAsia" w:cs="宋体"/>
          <w:color w:val="auto"/>
          <w:sz w:val="21"/>
          <w:szCs w:val="21"/>
          <w:highlight w:val="none"/>
        </w:rPr>
        <w:t>80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"_Toc9213" </w:instrText>
      </w:r>
      <w:r>
        <w:rPr>
          <w:color w:val="auto"/>
          <w:highlight w:val="none"/>
        </w:rPr>
        <w:fldChar w:fldCharType="separate"/>
      </w:r>
      <w:r>
        <w:rPr>
          <w:rFonts w:hint="eastAsia" w:cs="宋体"/>
          <w:color w:val="auto"/>
          <w:sz w:val="21"/>
          <w:szCs w:val="21"/>
          <w:highlight w:val="none"/>
        </w:rPr>
        <w:t>价格文件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_Toc9213 \h </w:instrText>
      </w:r>
      <w:r>
        <w:rPr>
          <w:rFonts w:hint="eastAsia" w:cs="宋体"/>
          <w:color w:val="auto"/>
          <w:sz w:val="21"/>
          <w:szCs w:val="21"/>
          <w:highlight w:val="none"/>
        </w:rPr>
        <w:fldChar w:fldCharType="separate"/>
      </w:r>
      <w:r>
        <w:rPr>
          <w:rFonts w:hint="eastAsia" w:cs="宋体"/>
          <w:color w:val="auto"/>
          <w:sz w:val="21"/>
          <w:szCs w:val="21"/>
          <w:highlight w:val="none"/>
        </w:rPr>
        <w:t>81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"_Toc1232" </w:instrText>
      </w:r>
      <w:r>
        <w:rPr>
          <w:color w:val="auto"/>
          <w:highlight w:val="none"/>
        </w:rPr>
        <w:fldChar w:fldCharType="separate"/>
      </w:r>
      <w:r>
        <w:rPr>
          <w:rFonts w:hint="eastAsia" w:cs="宋体"/>
          <w:color w:val="auto"/>
          <w:sz w:val="21"/>
          <w:szCs w:val="21"/>
          <w:highlight w:val="none"/>
        </w:rPr>
        <w:t>附件2.开标一览表格式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_Toc1232 \h </w:instrText>
      </w:r>
      <w:r>
        <w:rPr>
          <w:rFonts w:hint="eastAsia" w:cs="宋体"/>
          <w:color w:val="auto"/>
          <w:sz w:val="21"/>
          <w:szCs w:val="21"/>
          <w:highlight w:val="none"/>
        </w:rPr>
        <w:fldChar w:fldCharType="separate"/>
      </w:r>
      <w:r>
        <w:rPr>
          <w:rFonts w:hint="eastAsia" w:cs="宋体"/>
          <w:color w:val="auto"/>
          <w:sz w:val="21"/>
          <w:szCs w:val="21"/>
          <w:highlight w:val="none"/>
        </w:rPr>
        <w:t>82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"_Toc12628" </w:instrText>
      </w:r>
      <w:r>
        <w:rPr>
          <w:color w:val="auto"/>
          <w:highlight w:val="none"/>
        </w:rPr>
        <w:fldChar w:fldCharType="separate"/>
      </w:r>
      <w:r>
        <w:rPr>
          <w:rFonts w:hint="eastAsia" w:cs="宋体"/>
          <w:color w:val="auto"/>
          <w:sz w:val="21"/>
          <w:szCs w:val="21"/>
          <w:highlight w:val="none"/>
        </w:rPr>
        <w:t>附件3.报价明细表格式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_Toc12628 \h </w:instrText>
      </w:r>
      <w:r>
        <w:rPr>
          <w:rFonts w:hint="eastAsia" w:cs="宋体"/>
          <w:color w:val="auto"/>
          <w:sz w:val="21"/>
          <w:szCs w:val="21"/>
          <w:highlight w:val="none"/>
        </w:rPr>
        <w:fldChar w:fldCharType="separate"/>
      </w:r>
      <w:r>
        <w:rPr>
          <w:rFonts w:hint="eastAsia" w:cs="宋体"/>
          <w:color w:val="auto"/>
          <w:sz w:val="21"/>
          <w:szCs w:val="21"/>
          <w:highlight w:val="none"/>
        </w:rPr>
        <w:t>83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"_Toc7358" </w:instrText>
      </w:r>
      <w:r>
        <w:rPr>
          <w:color w:val="auto"/>
          <w:highlight w:val="none"/>
        </w:rPr>
        <w:fldChar w:fldCharType="separate"/>
      </w:r>
      <w:r>
        <w:rPr>
          <w:rFonts w:hint="eastAsia" w:cs="宋体"/>
          <w:color w:val="auto"/>
          <w:sz w:val="21"/>
          <w:szCs w:val="21"/>
          <w:highlight w:val="none"/>
        </w:rPr>
        <w:t>商务文件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_Toc7358 \h </w:instrText>
      </w:r>
      <w:r>
        <w:rPr>
          <w:rFonts w:hint="eastAsia" w:cs="宋体"/>
          <w:color w:val="auto"/>
          <w:sz w:val="21"/>
          <w:szCs w:val="21"/>
          <w:highlight w:val="none"/>
        </w:rPr>
        <w:fldChar w:fldCharType="separate"/>
      </w:r>
      <w:r>
        <w:rPr>
          <w:rFonts w:hint="eastAsia" w:cs="宋体"/>
          <w:color w:val="auto"/>
          <w:sz w:val="21"/>
          <w:szCs w:val="21"/>
          <w:highlight w:val="none"/>
        </w:rPr>
        <w:t>84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"_Toc11732" </w:instrText>
      </w:r>
      <w:r>
        <w:rPr>
          <w:color w:val="auto"/>
          <w:highlight w:val="none"/>
        </w:rPr>
        <w:fldChar w:fldCharType="separate"/>
      </w:r>
      <w:r>
        <w:rPr>
          <w:rFonts w:hint="eastAsia" w:cs="宋体"/>
          <w:color w:val="auto"/>
          <w:sz w:val="21"/>
          <w:szCs w:val="21"/>
          <w:highlight w:val="none"/>
        </w:rPr>
        <w:t>附件4.投标书格式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_Toc11732 \h </w:instrText>
      </w:r>
      <w:r>
        <w:rPr>
          <w:rFonts w:hint="eastAsia" w:cs="宋体"/>
          <w:color w:val="auto"/>
          <w:sz w:val="21"/>
          <w:szCs w:val="21"/>
          <w:highlight w:val="none"/>
        </w:rPr>
        <w:fldChar w:fldCharType="separate"/>
      </w:r>
      <w:r>
        <w:rPr>
          <w:rFonts w:hint="eastAsia" w:cs="宋体"/>
          <w:color w:val="auto"/>
          <w:sz w:val="21"/>
          <w:szCs w:val="21"/>
          <w:highlight w:val="none"/>
        </w:rPr>
        <w:t>85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"_Toc19972" </w:instrText>
      </w:r>
      <w:r>
        <w:rPr>
          <w:color w:val="auto"/>
          <w:highlight w:val="none"/>
        </w:rPr>
        <w:fldChar w:fldCharType="separate"/>
      </w:r>
      <w:r>
        <w:rPr>
          <w:rFonts w:hint="eastAsia" w:cs="宋体"/>
          <w:color w:val="auto"/>
          <w:sz w:val="21"/>
          <w:szCs w:val="21"/>
          <w:highlight w:val="none"/>
        </w:rPr>
        <w:t>附件5. 法定代表人证明书格式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_Toc19972 \h </w:instrText>
      </w:r>
      <w:r>
        <w:rPr>
          <w:rFonts w:hint="eastAsia" w:cs="宋体"/>
          <w:color w:val="auto"/>
          <w:sz w:val="21"/>
          <w:szCs w:val="21"/>
          <w:highlight w:val="none"/>
        </w:rPr>
        <w:fldChar w:fldCharType="separate"/>
      </w:r>
      <w:r>
        <w:rPr>
          <w:rFonts w:hint="eastAsia" w:cs="宋体"/>
          <w:color w:val="auto"/>
          <w:sz w:val="21"/>
          <w:szCs w:val="21"/>
          <w:highlight w:val="none"/>
        </w:rPr>
        <w:t>86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"_Toc19149" </w:instrText>
      </w:r>
      <w:r>
        <w:rPr>
          <w:color w:val="auto"/>
          <w:highlight w:val="none"/>
        </w:rPr>
        <w:fldChar w:fldCharType="separate"/>
      </w:r>
      <w:r>
        <w:rPr>
          <w:rFonts w:hint="eastAsia" w:cs="宋体"/>
          <w:color w:val="auto"/>
          <w:sz w:val="21"/>
          <w:szCs w:val="21"/>
          <w:highlight w:val="none"/>
        </w:rPr>
        <w:t>附件6.法定代表人授权书格式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_Toc19149 \h </w:instrText>
      </w:r>
      <w:r>
        <w:rPr>
          <w:rFonts w:hint="eastAsia" w:cs="宋体"/>
          <w:color w:val="auto"/>
          <w:sz w:val="21"/>
          <w:szCs w:val="21"/>
          <w:highlight w:val="none"/>
        </w:rPr>
        <w:fldChar w:fldCharType="separate"/>
      </w:r>
      <w:r>
        <w:rPr>
          <w:rFonts w:hint="eastAsia" w:cs="宋体"/>
          <w:color w:val="auto"/>
          <w:sz w:val="21"/>
          <w:szCs w:val="21"/>
          <w:highlight w:val="none"/>
        </w:rPr>
        <w:t>87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"_Toc30038" </w:instrText>
      </w:r>
      <w:r>
        <w:rPr>
          <w:color w:val="auto"/>
          <w:highlight w:val="none"/>
        </w:rPr>
        <w:fldChar w:fldCharType="separate"/>
      </w:r>
      <w:r>
        <w:rPr>
          <w:rFonts w:hint="eastAsia" w:cs="宋体"/>
          <w:color w:val="auto"/>
          <w:sz w:val="21"/>
          <w:szCs w:val="21"/>
          <w:highlight w:val="none"/>
        </w:rPr>
        <w:t>附件7.资格申明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_Toc30038 \h </w:instrText>
      </w:r>
      <w:r>
        <w:rPr>
          <w:rFonts w:hint="eastAsia" w:cs="宋体"/>
          <w:color w:val="auto"/>
          <w:sz w:val="21"/>
          <w:szCs w:val="21"/>
          <w:highlight w:val="none"/>
        </w:rPr>
        <w:fldChar w:fldCharType="separate"/>
      </w:r>
      <w:r>
        <w:rPr>
          <w:rFonts w:hint="eastAsia" w:cs="宋体"/>
          <w:color w:val="auto"/>
          <w:sz w:val="21"/>
          <w:szCs w:val="21"/>
          <w:highlight w:val="none"/>
        </w:rPr>
        <w:t>88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"_Toc10305" </w:instrText>
      </w:r>
      <w:r>
        <w:rPr>
          <w:color w:val="auto"/>
          <w:highlight w:val="none"/>
        </w:rPr>
        <w:fldChar w:fldCharType="separate"/>
      </w:r>
      <w:r>
        <w:rPr>
          <w:rFonts w:hint="eastAsia" w:cs="宋体"/>
          <w:color w:val="auto"/>
          <w:sz w:val="21"/>
          <w:szCs w:val="21"/>
          <w:highlight w:val="none"/>
        </w:rPr>
        <w:t>附件8.营业执照</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_Toc10305 \h </w:instrText>
      </w:r>
      <w:r>
        <w:rPr>
          <w:rFonts w:hint="eastAsia" w:cs="宋体"/>
          <w:color w:val="auto"/>
          <w:sz w:val="21"/>
          <w:szCs w:val="21"/>
          <w:highlight w:val="none"/>
        </w:rPr>
        <w:fldChar w:fldCharType="separate"/>
      </w:r>
      <w:r>
        <w:rPr>
          <w:rFonts w:hint="eastAsia" w:cs="宋体"/>
          <w:color w:val="auto"/>
          <w:sz w:val="21"/>
          <w:szCs w:val="21"/>
          <w:highlight w:val="none"/>
        </w:rPr>
        <w:t>89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"_Toc30816" </w:instrText>
      </w:r>
      <w:r>
        <w:rPr>
          <w:color w:val="auto"/>
          <w:highlight w:val="none"/>
        </w:rPr>
        <w:fldChar w:fldCharType="separate"/>
      </w:r>
      <w:r>
        <w:rPr>
          <w:rFonts w:hint="eastAsia" w:cs="宋体"/>
          <w:color w:val="auto"/>
          <w:sz w:val="21"/>
          <w:szCs w:val="21"/>
          <w:highlight w:val="none"/>
        </w:rPr>
        <w:t>附件9.相关资质证明文件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_Toc30816 \h </w:instrText>
      </w:r>
      <w:r>
        <w:rPr>
          <w:rFonts w:hint="eastAsia" w:cs="宋体"/>
          <w:color w:val="auto"/>
          <w:sz w:val="21"/>
          <w:szCs w:val="21"/>
          <w:highlight w:val="none"/>
        </w:rPr>
        <w:fldChar w:fldCharType="separate"/>
      </w:r>
      <w:r>
        <w:rPr>
          <w:rFonts w:hint="eastAsia" w:cs="宋体"/>
          <w:color w:val="auto"/>
          <w:sz w:val="21"/>
          <w:szCs w:val="21"/>
          <w:highlight w:val="none"/>
        </w:rPr>
        <w:t>90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"_Toc3091" </w:instrText>
      </w:r>
      <w:r>
        <w:rPr>
          <w:color w:val="auto"/>
          <w:highlight w:val="none"/>
        </w:rPr>
        <w:fldChar w:fldCharType="separate"/>
      </w:r>
      <w:r>
        <w:rPr>
          <w:rFonts w:hint="eastAsia" w:cs="宋体"/>
          <w:color w:val="auto"/>
          <w:sz w:val="21"/>
          <w:szCs w:val="21"/>
          <w:highlight w:val="none"/>
        </w:rPr>
        <w:t>附件10.在经营活动中没有重大违法记录的书面声明格式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_Toc3091 \h </w:instrText>
      </w:r>
      <w:r>
        <w:rPr>
          <w:rFonts w:hint="eastAsia" w:cs="宋体"/>
          <w:color w:val="auto"/>
          <w:sz w:val="21"/>
          <w:szCs w:val="21"/>
          <w:highlight w:val="none"/>
        </w:rPr>
        <w:fldChar w:fldCharType="separate"/>
      </w:r>
      <w:r>
        <w:rPr>
          <w:rFonts w:hint="eastAsia" w:cs="宋体"/>
          <w:color w:val="auto"/>
          <w:sz w:val="21"/>
          <w:szCs w:val="21"/>
          <w:highlight w:val="none"/>
        </w:rPr>
        <w:t>91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"_Toc18616" </w:instrText>
      </w:r>
      <w:r>
        <w:rPr>
          <w:color w:val="auto"/>
          <w:highlight w:val="none"/>
        </w:rPr>
        <w:fldChar w:fldCharType="separate"/>
      </w:r>
      <w:r>
        <w:rPr>
          <w:rFonts w:hint="eastAsia" w:cs="宋体"/>
          <w:color w:val="auto"/>
          <w:sz w:val="21"/>
          <w:szCs w:val="21"/>
          <w:highlight w:val="none"/>
        </w:rPr>
        <w:t>附件11.承诺书格式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_Toc18616 \h </w:instrText>
      </w:r>
      <w:r>
        <w:rPr>
          <w:rFonts w:hint="eastAsia" w:cs="宋体"/>
          <w:color w:val="auto"/>
          <w:sz w:val="21"/>
          <w:szCs w:val="21"/>
          <w:highlight w:val="none"/>
        </w:rPr>
        <w:fldChar w:fldCharType="separate"/>
      </w:r>
      <w:r>
        <w:rPr>
          <w:rFonts w:hint="eastAsia" w:cs="宋体"/>
          <w:color w:val="auto"/>
          <w:sz w:val="21"/>
          <w:szCs w:val="21"/>
          <w:highlight w:val="none"/>
        </w:rPr>
        <w:t>92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"_Toc24507" </w:instrText>
      </w:r>
      <w:r>
        <w:rPr>
          <w:color w:val="auto"/>
          <w:highlight w:val="none"/>
        </w:rPr>
        <w:fldChar w:fldCharType="separate"/>
      </w:r>
      <w:r>
        <w:rPr>
          <w:rFonts w:hint="eastAsia" w:cs="宋体"/>
          <w:color w:val="auto"/>
          <w:sz w:val="21"/>
          <w:szCs w:val="21"/>
          <w:highlight w:val="none"/>
        </w:rPr>
        <w:t>附件12.商务需求条款偏离表格式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_Toc24507 \h </w:instrText>
      </w:r>
      <w:r>
        <w:rPr>
          <w:rFonts w:hint="eastAsia" w:cs="宋体"/>
          <w:color w:val="auto"/>
          <w:sz w:val="21"/>
          <w:szCs w:val="21"/>
          <w:highlight w:val="none"/>
        </w:rPr>
        <w:fldChar w:fldCharType="separate"/>
      </w:r>
      <w:r>
        <w:rPr>
          <w:rFonts w:hint="eastAsia" w:cs="宋体"/>
          <w:color w:val="auto"/>
          <w:sz w:val="21"/>
          <w:szCs w:val="21"/>
          <w:highlight w:val="none"/>
        </w:rPr>
        <w:t>93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"_Toc22347" </w:instrText>
      </w:r>
      <w:r>
        <w:rPr>
          <w:color w:val="auto"/>
          <w:highlight w:val="none"/>
        </w:rPr>
        <w:fldChar w:fldCharType="separate"/>
      </w:r>
      <w:r>
        <w:rPr>
          <w:rFonts w:hint="eastAsia" w:cs="宋体"/>
          <w:color w:val="auto"/>
          <w:sz w:val="21"/>
          <w:szCs w:val="21"/>
          <w:highlight w:val="none"/>
        </w:rPr>
        <w:t>附件13.业绩表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_Toc22347 \h </w:instrText>
      </w:r>
      <w:r>
        <w:rPr>
          <w:rFonts w:hint="eastAsia" w:cs="宋体"/>
          <w:color w:val="auto"/>
          <w:sz w:val="21"/>
          <w:szCs w:val="21"/>
          <w:highlight w:val="none"/>
        </w:rPr>
        <w:fldChar w:fldCharType="separate"/>
      </w:r>
      <w:r>
        <w:rPr>
          <w:rFonts w:hint="eastAsia" w:cs="宋体"/>
          <w:color w:val="auto"/>
          <w:sz w:val="21"/>
          <w:szCs w:val="21"/>
          <w:highlight w:val="none"/>
        </w:rPr>
        <w:t>94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"_Toc4222" </w:instrText>
      </w:r>
      <w:r>
        <w:rPr>
          <w:color w:val="auto"/>
          <w:highlight w:val="none"/>
        </w:rPr>
        <w:fldChar w:fldCharType="separate"/>
      </w:r>
      <w:r>
        <w:rPr>
          <w:rFonts w:hint="eastAsia" w:cs="宋体"/>
          <w:color w:val="auto"/>
          <w:sz w:val="21"/>
          <w:szCs w:val="21"/>
          <w:highlight w:val="none"/>
        </w:rPr>
        <w:t>附件14.联合体协议书（如有）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_Toc4222 \h </w:instrText>
      </w:r>
      <w:r>
        <w:rPr>
          <w:rFonts w:hint="eastAsia" w:cs="宋体"/>
          <w:color w:val="auto"/>
          <w:sz w:val="21"/>
          <w:szCs w:val="21"/>
          <w:highlight w:val="none"/>
        </w:rPr>
        <w:fldChar w:fldCharType="separate"/>
      </w:r>
      <w:r>
        <w:rPr>
          <w:rFonts w:hint="eastAsia" w:cs="宋体"/>
          <w:color w:val="auto"/>
          <w:sz w:val="21"/>
          <w:szCs w:val="21"/>
          <w:highlight w:val="none"/>
        </w:rPr>
        <w:t>95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"_Toc17454" </w:instrText>
      </w:r>
      <w:r>
        <w:rPr>
          <w:color w:val="auto"/>
          <w:highlight w:val="none"/>
        </w:rPr>
        <w:fldChar w:fldCharType="separate"/>
      </w:r>
      <w:r>
        <w:rPr>
          <w:rFonts w:hint="eastAsia" w:cs="宋体"/>
          <w:color w:val="auto"/>
          <w:sz w:val="21"/>
          <w:szCs w:val="21"/>
          <w:highlight w:val="none"/>
        </w:rPr>
        <w:t>技术文件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_Toc17454 \h </w:instrText>
      </w:r>
      <w:r>
        <w:rPr>
          <w:rFonts w:hint="eastAsia" w:cs="宋体"/>
          <w:color w:val="auto"/>
          <w:sz w:val="21"/>
          <w:szCs w:val="21"/>
          <w:highlight w:val="none"/>
        </w:rPr>
        <w:fldChar w:fldCharType="separate"/>
      </w:r>
      <w:r>
        <w:rPr>
          <w:rFonts w:hint="eastAsia" w:cs="宋体"/>
          <w:color w:val="auto"/>
          <w:sz w:val="21"/>
          <w:szCs w:val="21"/>
          <w:highlight w:val="none"/>
        </w:rPr>
        <w:t>97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"_Toc3704" </w:instrText>
      </w:r>
      <w:r>
        <w:rPr>
          <w:color w:val="auto"/>
          <w:highlight w:val="none"/>
        </w:rPr>
        <w:fldChar w:fldCharType="separate"/>
      </w:r>
      <w:r>
        <w:rPr>
          <w:rFonts w:hint="eastAsia" w:cs="宋体"/>
          <w:color w:val="auto"/>
          <w:sz w:val="21"/>
          <w:szCs w:val="21"/>
          <w:highlight w:val="none"/>
        </w:rPr>
        <w:t>附件15. 技术规格偏离表格式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_Toc3704 \h </w:instrText>
      </w:r>
      <w:r>
        <w:rPr>
          <w:rFonts w:hint="eastAsia" w:cs="宋体"/>
          <w:color w:val="auto"/>
          <w:sz w:val="21"/>
          <w:szCs w:val="21"/>
          <w:highlight w:val="none"/>
        </w:rPr>
        <w:fldChar w:fldCharType="separate"/>
      </w:r>
      <w:r>
        <w:rPr>
          <w:rFonts w:hint="eastAsia" w:cs="宋体"/>
          <w:color w:val="auto"/>
          <w:sz w:val="21"/>
          <w:szCs w:val="21"/>
          <w:highlight w:val="none"/>
        </w:rPr>
        <w:t>98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"_Toc13819" </w:instrText>
      </w:r>
      <w:r>
        <w:rPr>
          <w:color w:val="auto"/>
          <w:highlight w:val="none"/>
        </w:rPr>
        <w:fldChar w:fldCharType="separate"/>
      </w:r>
      <w:r>
        <w:rPr>
          <w:rFonts w:hint="eastAsia" w:cs="宋体"/>
          <w:color w:val="auto"/>
          <w:sz w:val="21"/>
          <w:szCs w:val="21"/>
          <w:highlight w:val="none"/>
        </w:rPr>
        <w:t>附件16.项目实施方案格式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_Toc13819 \h </w:instrText>
      </w:r>
      <w:r>
        <w:rPr>
          <w:rFonts w:hint="eastAsia" w:cs="宋体"/>
          <w:color w:val="auto"/>
          <w:sz w:val="21"/>
          <w:szCs w:val="21"/>
          <w:highlight w:val="none"/>
        </w:rPr>
        <w:fldChar w:fldCharType="separate"/>
      </w:r>
      <w:r>
        <w:rPr>
          <w:rFonts w:hint="eastAsia" w:cs="宋体"/>
          <w:color w:val="auto"/>
          <w:sz w:val="21"/>
          <w:szCs w:val="21"/>
          <w:highlight w:val="none"/>
        </w:rPr>
        <w:t>99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cs="宋体"/>
          <w:color w:val="auto"/>
          <w:sz w:val="21"/>
          <w:szCs w:val="21"/>
          <w:highlight w:val="none"/>
        </w:rPr>
        <w:t>附件17.实施本项目的有关人员资料表格式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_Toc23846 \h </w:instrText>
      </w:r>
      <w:r>
        <w:rPr>
          <w:rFonts w:hint="eastAsia" w:cs="宋体"/>
          <w:color w:val="auto"/>
          <w:sz w:val="21"/>
          <w:szCs w:val="21"/>
          <w:highlight w:val="none"/>
        </w:rPr>
        <w:fldChar w:fldCharType="separate"/>
      </w:r>
      <w:r>
        <w:rPr>
          <w:rFonts w:hint="eastAsia" w:cs="宋体"/>
          <w:color w:val="auto"/>
          <w:sz w:val="21"/>
          <w:szCs w:val="21"/>
          <w:highlight w:val="none"/>
        </w:rPr>
        <w:t>100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"_Toc15162" </w:instrText>
      </w:r>
      <w:r>
        <w:rPr>
          <w:color w:val="auto"/>
          <w:highlight w:val="none"/>
        </w:rPr>
        <w:fldChar w:fldCharType="separate"/>
      </w:r>
      <w:r>
        <w:rPr>
          <w:rFonts w:hint="eastAsia" w:cs="宋体"/>
          <w:color w:val="auto"/>
          <w:sz w:val="21"/>
          <w:szCs w:val="21"/>
          <w:highlight w:val="none"/>
        </w:rPr>
        <w:t>附件18.投标保证金汇入情况说明格式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_Toc15162 \h </w:instrText>
      </w:r>
      <w:r>
        <w:rPr>
          <w:rFonts w:hint="eastAsia" w:cs="宋体"/>
          <w:color w:val="auto"/>
          <w:sz w:val="21"/>
          <w:szCs w:val="21"/>
          <w:highlight w:val="none"/>
        </w:rPr>
        <w:fldChar w:fldCharType="separate"/>
      </w:r>
      <w:r>
        <w:rPr>
          <w:rFonts w:hint="eastAsia" w:cs="宋体"/>
          <w:color w:val="auto"/>
          <w:sz w:val="21"/>
          <w:szCs w:val="21"/>
          <w:highlight w:val="none"/>
        </w:rPr>
        <w:t>101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"_Toc2801" </w:instrText>
      </w:r>
      <w:r>
        <w:rPr>
          <w:color w:val="auto"/>
          <w:highlight w:val="none"/>
        </w:rPr>
        <w:fldChar w:fldCharType="separate"/>
      </w:r>
      <w:r>
        <w:rPr>
          <w:rFonts w:hint="eastAsia" w:cs="宋体"/>
          <w:color w:val="auto"/>
          <w:sz w:val="21"/>
          <w:szCs w:val="21"/>
          <w:highlight w:val="none"/>
        </w:rPr>
        <w:t>附件19.不可撤销履约保函</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_Toc2801 \h </w:instrText>
      </w:r>
      <w:r>
        <w:rPr>
          <w:rFonts w:hint="eastAsia" w:cs="宋体"/>
          <w:color w:val="auto"/>
          <w:sz w:val="21"/>
          <w:szCs w:val="21"/>
          <w:highlight w:val="none"/>
        </w:rPr>
        <w:fldChar w:fldCharType="separate"/>
      </w:r>
      <w:r>
        <w:rPr>
          <w:rFonts w:hint="eastAsia" w:cs="宋体"/>
          <w:color w:val="auto"/>
          <w:sz w:val="21"/>
          <w:szCs w:val="21"/>
          <w:highlight w:val="none"/>
        </w:rPr>
        <w:t>103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"_Toc29098" </w:instrText>
      </w:r>
      <w:r>
        <w:rPr>
          <w:color w:val="auto"/>
          <w:highlight w:val="none"/>
        </w:rPr>
        <w:fldChar w:fldCharType="separate"/>
      </w:r>
      <w:r>
        <w:rPr>
          <w:rFonts w:hint="eastAsia" w:cs="宋体"/>
          <w:color w:val="auto"/>
          <w:sz w:val="21"/>
          <w:szCs w:val="21"/>
          <w:highlight w:val="none"/>
        </w:rPr>
        <w:t>附件20.预付款保函（适用于预付款支付）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_Toc29098 \h </w:instrText>
      </w:r>
      <w:r>
        <w:rPr>
          <w:rFonts w:hint="eastAsia" w:cs="宋体"/>
          <w:color w:val="auto"/>
          <w:sz w:val="21"/>
          <w:szCs w:val="21"/>
          <w:highlight w:val="none"/>
        </w:rPr>
        <w:fldChar w:fldCharType="separate"/>
      </w:r>
      <w:r>
        <w:rPr>
          <w:rFonts w:hint="eastAsia" w:cs="宋体"/>
          <w:color w:val="auto"/>
          <w:sz w:val="21"/>
          <w:szCs w:val="21"/>
          <w:highlight w:val="none"/>
        </w:rPr>
        <w:t>104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"_Toc16601" </w:instrText>
      </w:r>
      <w:r>
        <w:rPr>
          <w:color w:val="auto"/>
          <w:highlight w:val="none"/>
        </w:rPr>
        <w:fldChar w:fldCharType="separate"/>
      </w:r>
      <w:r>
        <w:rPr>
          <w:rFonts w:hint="eastAsia" w:cs="宋体"/>
          <w:color w:val="auto"/>
          <w:sz w:val="21"/>
          <w:szCs w:val="21"/>
          <w:highlight w:val="none"/>
        </w:rPr>
        <w:t>唱标信封</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_Toc16601 \h </w:instrText>
      </w:r>
      <w:r>
        <w:rPr>
          <w:rFonts w:hint="eastAsia" w:cs="宋体"/>
          <w:color w:val="auto"/>
          <w:sz w:val="21"/>
          <w:szCs w:val="21"/>
          <w:highlight w:val="none"/>
        </w:rPr>
        <w:fldChar w:fldCharType="separate"/>
      </w:r>
      <w:r>
        <w:rPr>
          <w:rFonts w:hint="eastAsia" w:cs="宋体"/>
          <w:color w:val="auto"/>
          <w:sz w:val="21"/>
          <w:szCs w:val="21"/>
          <w:highlight w:val="none"/>
        </w:rPr>
        <w:t>105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"_Toc31340" </w:instrText>
      </w:r>
      <w:r>
        <w:rPr>
          <w:color w:val="auto"/>
          <w:highlight w:val="none"/>
        </w:rPr>
        <w:fldChar w:fldCharType="separate"/>
      </w:r>
      <w:r>
        <w:rPr>
          <w:rFonts w:hint="eastAsia" w:cs="宋体"/>
          <w:color w:val="auto"/>
          <w:sz w:val="21"/>
          <w:szCs w:val="21"/>
          <w:highlight w:val="none"/>
        </w:rPr>
        <w:t>附件21.唱标信封内装（内容务必与投标文件正本一致）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_Toc31340 \h </w:instrText>
      </w:r>
      <w:r>
        <w:rPr>
          <w:rFonts w:hint="eastAsia" w:cs="宋体"/>
          <w:color w:val="auto"/>
          <w:sz w:val="21"/>
          <w:szCs w:val="21"/>
          <w:highlight w:val="none"/>
        </w:rPr>
        <w:fldChar w:fldCharType="separate"/>
      </w:r>
      <w:r>
        <w:rPr>
          <w:rFonts w:hint="eastAsia" w:cs="宋体"/>
          <w:color w:val="auto"/>
          <w:sz w:val="21"/>
          <w:szCs w:val="21"/>
          <w:highlight w:val="none"/>
        </w:rPr>
        <w:t>106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5"/>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end"/>
      </w: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6"/>
        <w:spacing w:before="0" w:after="0" w:line="240" w:lineRule="auto"/>
        <w:rPr>
          <w:color w:val="auto"/>
          <w:sz w:val="28"/>
          <w:szCs w:val="28"/>
          <w:highlight w:val="none"/>
        </w:rPr>
      </w:pPr>
      <w:bookmarkStart w:id="0" w:name="_Toc21044"/>
      <w:r>
        <w:rPr>
          <w:rFonts w:hint="eastAsia"/>
          <w:color w:val="auto"/>
          <w:sz w:val="28"/>
          <w:szCs w:val="28"/>
          <w:highlight w:val="none"/>
        </w:rPr>
        <w:t>第一部分投标邀请</w:t>
      </w:r>
      <w:bookmarkEnd w:id="0"/>
    </w:p>
    <w:p>
      <w:pPr>
        <w:pStyle w:val="7"/>
        <w:spacing w:before="0" w:after="0" w:line="360" w:lineRule="auto"/>
        <w:jc w:val="center"/>
        <w:rPr>
          <w:rFonts w:ascii="宋体" w:hAnsi="宋体" w:cs="宋体"/>
          <w:color w:val="auto"/>
          <w:highlight w:val="none"/>
        </w:rPr>
      </w:pPr>
      <w:bookmarkStart w:id="1" w:name="_Toc8950"/>
      <w:r>
        <w:rPr>
          <w:rFonts w:hint="eastAsia" w:ascii="宋体" w:hAnsi="宋体" w:cs="宋体"/>
          <w:color w:val="auto"/>
          <w:highlight w:val="none"/>
        </w:rPr>
        <w:t>投标邀请书</w:t>
      </w:r>
      <w:bookmarkEnd w:id="1"/>
    </w:p>
    <w:p>
      <w:pPr>
        <w:ind w:firstLine="422" w:firstLineChars="200"/>
        <w:rPr>
          <w:rFonts w:ascii="宋体" w:hAnsi="宋体"/>
          <w:color w:val="auto"/>
          <w:szCs w:val="21"/>
          <w:highlight w:val="none"/>
        </w:rPr>
      </w:pPr>
      <w:r>
        <w:rPr>
          <w:rFonts w:hint="eastAsia" w:ascii="宋体" w:hAnsi="宋体"/>
          <w:b/>
          <w:bCs/>
          <w:color w:val="auto"/>
          <w:szCs w:val="21"/>
          <w:highlight w:val="none"/>
          <w:u w:val="single"/>
        </w:rPr>
        <w:t>广东泰通伟业工程咨询有限公司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hint="eastAsia" w:ascii="宋体" w:hAnsi="宋体"/>
          <w:b/>
          <w:color w:val="auto"/>
          <w:szCs w:val="21"/>
          <w:highlight w:val="none"/>
          <w:u w:val="single"/>
        </w:rPr>
        <w:t>东莞市大学创新城建设发展有限公司</w:t>
      </w:r>
      <w:r>
        <w:rPr>
          <w:rFonts w:ascii="宋体" w:hAnsi="宋体"/>
          <w:color w:val="auto"/>
          <w:szCs w:val="21"/>
          <w:highlight w:val="none"/>
        </w:rPr>
        <w:t>（以下简称</w:t>
      </w:r>
      <w:r>
        <w:rPr>
          <w:rFonts w:hint="eastAsia" w:ascii="宋体" w:hAnsi="宋体"/>
          <w:color w:val="auto"/>
          <w:szCs w:val="21"/>
          <w:highlight w:val="none"/>
        </w:rPr>
        <w:t>“采购人”</w:t>
      </w:r>
      <w:r>
        <w:rPr>
          <w:rFonts w:ascii="宋体" w:hAnsi="宋体"/>
          <w:color w:val="auto"/>
          <w:szCs w:val="21"/>
          <w:highlight w:val="none"/>
        </w:rPr>
        <w:t>）委托，</w:t>
      </w:r>
      <w:r>
        <w:rPr>
          <w:rFonts w:hint="eastAsia" w:ascii="宋体" w:hAnsi="宋体"/>
          <w:color w:val="auto"/>
          <w:szCs w:val="21"/>
          <w:highlight w:val="none"/>
        </w:rPr>
        <w:t>现</w:t>
      </w:r>
      <w:r>
        <w:rPr>
          <w:rFonts w:ascii="宋体" w:hAnsi="宋体"/>
          <w:color w:val="auto"/>
          <w:szCs w:val="21"/>
          <w:highlight w:val="none"/>
        </w:rPr>
        <w:t>就</w:t>
      </w:r>
      <w:r>
        <w:rPr>
          <w:rFonts w:hint="eastAsia" w:ascii="宋体" w:hAnsi="宋体"/>
          <w:b/>
          <w:color w:val="auto"/>
          <w:szCs w:val="21"/>
          <w:highlight w:val="none"/>
          <w:u w:val="single"/>
        </w:rPr>
        <w:t>松山湖国际创新创业社区保洁服务</w:t>
      </w:r>
      <w:r>
        <w:rPr>
          <w:rFonts w:hint="eastAsia" w:ascii="宋体" w:hAnsi="宋体"/>
          <w:color w:val="auto"/>
          <w:szCs w:val="21"/>
          <w:highlight w:val="none"/>
        </w:rPr>
        <w:t>（项目编号：</w:t>
      </w:r>
      <w:r>
        <w:rPr>
          <w:rFonts w:hint="eastAsia" w:ascii="宋体" w:hAnsi="宋体"/>
          <w:b/>
          <w:bCs/>
          <w:color w:val="auto"/>
          <w:szCs w:val="21"/>
          <w:highlight w:val="none"/>
        </w:rPr>
        <w:t>TTWY-23025</w:t>
      </w:r>
      <w:r>
        <w:rPr>
          <w:rFonts w:hint="eastAsia" w:ascii="宋体" w:hAnsi="宋体"/>
          <w:color w:val="auto"/>
          <w:szCs w:val="21"/>
          <w:highlight w:val="none"/>
        </w:rPr>
        <w:t>）</w:t>
      </w:r>
      <w:r>
        <w:rPr>
          <w:rFonts w:hint="eastAsia" w:ascii="宋体" w:hAnsi="宋体" w:cs="Times New Roman"/>
          <w:color w:val="auto"/>
          <w:szCs w:val="21"/>
          <w:highlight w:val="none"/>
        </w:rPr>
        <w:t>进行国内公开采购</w:t>
      </w:r>
      <w:r>
        <w:rPr>
          <w:rFonts w:hint="eastAsia" w:ascii="宋体" w:hAnsi="宋体"/>
          <w:color w:val="auto"/>
          <w:szCs w:val="21"/>
          <w:highlight w:val="none"/>
        </w:rPr>
        <w:t>，欢迎符合采购文件要求的国内投标人参加投标</w:t>
      </w:r>
      <w:r>
        <w:rPr>
          <w:rFonts w:ascii="宋体" w:hAnsi="宋体"/>
          <w:color w:val="auto"/>
          <w:szCs w:val="21"/>
          <w:highlight w:val="none"/>
        </w:rPr>
        <w:t>。有关事项如下：</w:t>
      </w:r>
    </w:p>
    <w:p>
      <w:pPr>
        <w:ind w:firstLine="413" w:firstLineChars="196"/>
        <w:rPr>
          <w:rFonts w:ascii="宋体" w:hAnsi="宋体"/>
          <w:b/>
          <w:color w:val="auto"/>
          <w:szCs w:val="21"/>
          <w:highlight w:val="none"/>
        </w:rPr>
      </w:pPr>
    </w:p>
    <w:p>
      <w:pPr>
        <w:ind w:firstLine="413"/>
        <w:outlineLvl w:val="1"/>
        <w:rPr>
          <w:rFonts w:ascii="宋体" w:hAnsi="宋体"/>
          <w:b/>
          <w:color w:val="auto"/>
          <w:szCs w:val="21"/>
          <w:highlight w:val="none"/>
        </w:rPr>
      </w:pPr>
      <w:r>
        <w:rPr>
          <w:rFonts w:hint="eastAsia" w:ascii="宋体" w:hAnsi="宋体"/>
          <w:b/>
          <w:color w:val="auto"/>
          <w:szCs w:val="21"/>
          <w:highlight w:val="none"/>
        </w:rPr>
        <w:t>一、采购项目概况</w:t>
      </w:r>
    </w:p>
    <w:p>
      <w:pPr>
        <w:ind w:firstLine="420" w:firstLineChars="200"/>
        <w:outlineLvl w:val="2"/>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、采购</w:t>
      </w:r>
      <w:r>
        <w:rPr>
          <w:rFonts w:ascii="宋体" w:hAnsi="宋体"/>
          <w:color w:val="auto"/>
          <w:szCs w:val="21"/>
          <w:highlight w:val="none"/>
        </w:rPr>
        <w:t>项目名称</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松山湖国际创新创业社区保洁服务</w:t>
      </w:r>
    </w:p>
    <w:p>
      <w:pPr>
        <w:ind w:firstLine="420" w:firstLineChars="200"/>
        <w:outlineLvl w:val="2"/>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预算金额（</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：总价部分：</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3,276,000</w:t>
      </w:r>
      <w:r>
        <w:rPr>
          <w:rFonts w:hint="eastAsia" w:ascii="宋体" w:hAnsi="宋体"/>
          <w:color w:val="auto"/>
          <w:szCs w:val="21"/>
          <w:highlight w:val="none"/>
          <w:u w:val="single"/>
        </w:rPr>
        <w:t>.00元；</w:t>
      </w:r>
      <w:r>
        <w:rPr>
          <w:rFonts w:hint="eastAsia" w:ascii="宋体" w:hAnsi="宋体"/>
          <w:color w:val="auto"/>
          <w:szCs w:val="21"/>
          <w:highlight w:val="none"/>
          <w:u w:val="none"/>
        </w:rPr>
        <w:t xml:space="preserve"> 专项服务：</w:t>
      </w:r>
      <w:r>
        <w:rPr>
          <w:rFonts w:hint="eastAsia" w:ascii="宋体" w:hAnsi="宋体"/>
          <w:color w:val="auto"/>
          <w:szCs w:val="21"/>
          <w:highlight w:val="none"/>
          <w:u w:val="single"/>
        </w:rPr>
        <w:t>外墙清洗2元/m2,公寓室内保洁45元/套/次</w:t>
      </w:r>
      <w:r>
        <w:rPr>
          <w:rFonts w:hint="eastAsia" w:ascii="宋体" w:hAnsi="宋体"/>
          <w:color w:val="auto"/>
          <w:szCs w:val="21"/>
          <w:highlight w:val="none"/>
        </w:rPr>
        <w:t>。</w:t>
      </w:r>
    </w:p>
    <w:p>
      <w:pPr>
        <w:ind w:firstLine="420" w:firstLineChars="200"/>
        <w:outlineLvl w:val="2"/>
        <w:rPr>
          <w:rFonts w:ascii="宋体" w:hAnsi="宋体"/>
          <w:color w:val="auto"/>
          <w:szCs w:val="21"/>
          <w:highlight w:val="none"/>
        </w:rPr>
      </w:pPr>
      <w:r>
        <w:rPr>
          <w:rFonts w:hint="eastAsia" w:ascii="宋体" w:hAnsi="宋体"/>
          <w:color w:val="auto"/>
          <w:szCs w:val="21"/>
          <w:highlight w:val="none"/>
        </w:rPr>
        <w:t>3、最高</w:t>
      </w:r>
      <w:r>
        <w:rPr>
          <w:rFonts w:ascii="宋体" w:hAnsi="宋体"/>
          <w:color w:val="auto"/>
          <w:szCs w:val="21"/>
          <w:highlight w:val="none"/>
        </w:rPr>
        <w:t>限价</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总价部分：</w:t>
      </w:r>
      <w:r>
        <w:rPr>
          <w:rFonts w:hint="eastAsia" w:ascii="宋体" w:hAnsi="宋体"/>
          <w:color w:val="auto"/>
          <w:szCs w:val="21"/>
          <w:highlight w:val="none"/>
          <w:u w:val="single"/>
        </w:rPr>
        <w:t>¥ 3,</w:t>
      </w:r>
      <w:r>
        <w:rPr>
          <w:rFonts w:hint="eastAsia" w:ascii="宋体" w:hAnsi="宋体"/>
          <w:color w:val="auto"/>
          <w:szCs w:val="21"/>
          <w:highlight w:val="none"/>
          <w:u w:val="single"/>
          <w:lang w:val="en-US" w:eastAsia="zh-CN"/>
        </w:rPr>
        <w:t>276,000</w:t>
      </w:r>
      <w:r>
        <w:rPr>
          <w:rFonts w:hint="eastAsia" w:ascii="宋体" w:hAnsi="宋体"/>
          <w:color w:val="auto"/>
          <w:szCs w:val="21"/>
          <w:highlight w:val="none"/>
          <w:u w:val="single"/>
        </w:rPr>
        <w:t>.00元；</w:t>
      </w:r>
      <w:r>
        <w:rPr>
          <w:rFonts w:hint="eastAsia" w:ascii="宋体" w:hAnsi="宋体"/>
          <w:color w:val="auto"/>
          <w:szCs w:val="21"/>
          <w:highlight w:val="none"/>
          <w:u w:val="none"/>
        </w:rPr>
        <w:t xml:space="preserve"> 专项服务：</w:t>
      </w:r>
      <w:r>
        <w:rPr>
          <w:rFonts w:hint="eastAsia" w:ascii="宋体" w:hAnsi="宋体"/>
          <w:color w:val="auto"/>
          <w:szCs w:val="21"/>
          <w:highlight w:val="none"/>
          <w:u w:val="single"/>
        </w:rPr>
        <w:t>外墙清洗2元/m2,公寓室内保洁45元/套/次</w:t>
      </w:r>
      <w:r>
        <w:rPr>
          <w:rFonts w:hint="eastAsia" w:ascii="宋体" w:hAnsi="宋体"/>
          <w:color w:val="auto"/>
          <w:szCs w:val="21"/>
          <w:highlight w:val="none"/>
        </w:rPr>
        <w:t>。</w:t>
      </w:r>
    </w:p>
    <w:p>
      <w:pPr>
        <w:ind w:firstLine="420" w:firstLineChars="200"/>
        <w:outlineLvl w:val="2"/>
        <w:rPr>
          <w:rFonts w:ascii="宋体" w:hAnsi="宋体"/>
          <w:color w:val="auto"/>
          <w:szCs w:val="21"/>
          <w:highlight w:val="none"/>
        </w:rPr>
      </w:pPr>
      <w:r>
        <w:rPr>
          <w:rFonts w:hint="eastAsia" w:ascii="宋体" w:hAnsi="宋体"/>
          <w:color w:val="auto"/>
          <w:szCs w:val="21"/>
          <w:highlight w:val="none"/>
        </w:rPr>
        <w:t>4、项目内容</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6"/>
        <w:gridCol w:w="1851"/>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16" w:type="dxa"/>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项目内容</w:t>
            </w:r>
          </w:p>
        </w:tc>
        <w:tc>
          <w:tcPr>
            <w:tcW w:w="1851" w:type="dxa"/>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采购服务单位数量</w:t>
            </w:r>
          </w:p>
        </w:tc>
        <w:tc>
          <w:tcPr>
            <w:tcW w:w="1853" w:type="dxa"/>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816" w:type="dxa"/>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松山湖国际创新创业社区保洁服务</w:t>
            </w:r>
          </w:p>
        </w:tc>
        <w:tc>
          <w:tcPr>
            <w:tcW w:w="1851" w:type="dxa"/>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853" w:type="dxa"/>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自合同签订之日起一年。</w:t>
            </w:r>
          </w:p>
        </w:tc>
      </w:tr>
    </w:tbl>
    <w:p>
      <w:pPr>
        <w:ind w:firstLine="420" w:firstLineChars="200"/>
        <w:outlineLvl w:val="2"/>
        <w:rPr>
          <w:rFonts w:ascii="宋体" w:hAnsi="宋体"/>
          <w:color w:val="auto"/>
          <w:szCs w:val="21"/>
          <w:highlight w:val="none"/>
        </w:rPr>
      </w:pPr>
      <w:r>
        <w:rPr>
          <w:rFonts w:hint="eastAsia" w:ascii="宋体" w:hAnsi="宋体"/>
          <w:color w:val="auto"/>
          <w:szCs w:val="21"/>
          <w:highlight w:val="none"/>
        </w:rPr>
        <w:t>5、项目需求</w:t>
      </w:r>
    </w:p>
    <w:p>
      <w:pPr>
        <w:ind w:firstLine="420" w:firstLineChars="200"/>
        <w:rPr>
          <w:rFonts w:ascii="宋体" w:hAnsi="宋体"/>
          <w:color w:val="auto"/>
          <w:szCs w:val="21"/>
          <w:highlight w:val="none"/>
        </w:rPr>
      </w:pPr>
      <w:r>
        <w:rPr>
          <w:rFonts w:hint="eastAsia" w:ascii="宋体" w:hAnsi="宋体"/>
          <w:color w:val="auto"/>
          <w:szCs w:val="21"/>
          <w:highlight w:val="none"/>
        </w:rPr>
        <w:t>详细内容请参阅采购文件第三部分《用户需求书》。</w:t>
      </w:r>
    </w:p>
    <w:p>
      <w:pPr>
        <w:ind w:firstLine="413" w:firstLineChars="196"/>
        <w:rPr>
          <w:rFonts w:ascii="宋体" w:hAnsi="宋体"/>
          <w:b/>
          <w:color w:val="auto"/>
          <w:szCs w:val="21"/>
          <w:highlight w:val="none"/>
        </w:rPr>
      </w:pPr>
    </w:p>
    <w:p>
      <w:pPr>
        <w:ind w:firstLine="413" w:firstLineChars="196"/>
        <w:outlineLvl w:val="1"/>
        <w:rPr>
          <w:rFonts w:ascii="宋体" w:hAnsi="宋体"/>
          <w:b/>
          <w:color w:val="auto"/>
          <w:szCs w:val="21"/>
          <w:highlight w:val="none"/>
        </w:rPr>
      </w:pPr>
      <w:r>
        <w:rPr>
          <w:rFonts w:hint="eastAsia" w:ascii="宋体" w:hAnsi="宋体"/>
          <w:b/>
          <w:color w:val="auto"/>
          <w:szCs w:val="21"/>
          <w:highlight w:val="none"/>
        </w:rPr>
        <w:t>二、投标人资格要求</w:t>
      </w:r>
    </w:p>
    <w:p>
      <w:pPr>
        <w:ind w:firstLine="411" w:firstLineChars="196"/>
        <w:outlineLvl w:val="2"/>
        <w:rPr>
          <w:rFonts w:ascii="宋体" w:hAnsi="宋体"/>
          <w:color w:val="auto"/>
          <w:szCs w:val="21"/>
          <w:highlight w:val="none"/>
        </w:rPr>
      </w:pPr>
      <w:r>
        <w:rPr>
          <w:rFonts w:hint="eastAsia" w:ascii="宋体" w:hAnsi="宋体"/>
          <w:color w:val="auto"/>
          <w:szCs w:val="21"/>
          <w:highlight w:val="none"/>
        </w:rPr>
        <w:t>1、一般要求：</w:t>
      </w:r>
    </w:p>
    <w:p>
      <w:pPr>
        <w:ind w:firstLine="420" w:firstLineChars="200"/>
        <w:rPr>
          <w:rFonts w:ascii="宋体" w:hAnsi="宋体"/>
          <w:color w:val="auto"/>
          <w:szCs w:val="21"/>
          <w:highlight w:val="none"/>
        </w:rPr>
      </w:pPr>
      <w:r>
        <w:rPr>
          <w:rFonts w:hint="eastAsia" w:ascii="宋体" w:hAnsi="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pPr>
        <w:ind w:firstLine="420" w:firstLineChars="200"/>
        <w:rPr>
          <w:rFonts w:ascii="宋体" w:hAnsi="宋体"/>
          <w:color w:val="auto"/>
          <w:szCs w:val="21"/>
          <w:highlight w:val="none"/>
        </w:rPr>
      </w:pPr>
      <w:r>
        <w:rPr>
          <w:rFonts w:hint="eastAsia" w:ascii="宋体" w:hAnsi="宋体"/>
          <w:color w:val="auto"/>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ind w:firstLine="420" w:firstLineChars="200"/>
        <w:rPr>
          <w:rFonts w:ascii="宋体" w:hAnsi="宋体"/>
          <w:color w:val="auto"/>
          <w:szCs w:val="21"/>
          <w:highlight w:val="none"/>
        </w:rPr>
      </w:pPr>
      <w:r>
        <w:rPr>
          <w:rFonts w:hint="eastAsia" w:ascii="宋体" w:hAnsi="宋体"/>
          <w:color w:val="auto"/>
          <w:szCs w:val="21"/>
          <w:highlight w:val="none"/>
        </w:rPr>
        <w:t>（3）投标人的单位负责人为同一人或者存在直接控股、管理关系的不同投标人，不得参加同一合同项下的采购活动。</w:t>
      </w:r>
    </w:p>
    <w:p>
      <w:pPr>
        <w:ind w:firstLine="420" w:firstLineChars="200"/>
        <w:rPr>
          <w:rFonts w:ascii="宋体" w:hAnsi="宋体"/>
          <w:color w:val="auto"/>
          <w:szCs w:val="21"/>
          <w:highlight w:val="none"/>
        </w:rPr>
      </w:pPr>
      <w:r>
        <w:rPr>
          <w:rFonts w:hint="eastAsia" w:ascii="宋体" w:hAnsi="宋体"/>
          <w:color w:val="auto"/>
          <w:szCs w:val="21"/>
          <w:highlight w:val="none"/>
        </w:rPr>
        <w:t>（4）未被列入“信用中国”网站(www.creditchina.gov.cn )“记录失信被执行人或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或政府采购严重违法失信行为”记录名单。以代理机构于投标截止日当天在“信用中国”网站查询结果为准，如相关失信记录已失效，投标人需提供相关证明资料。</w:t>
      </w:r>
    </w:p>
    <w:p>
      <w:pPr>
        <w:ind w:firstLine="420" w:firstLineChars="200"/>
        <w:rPr>
          <w:rFonts w:ascii="宋体" w:hAnsi="宋体"/>
          <w:color w:val="auto"/>
          <w:szCs w:val="21"/>
          <w:highlight w:val="none"/>
        </w:rPr>
      </w:pPr>
      <w:r>
        <w:rPr>
          <w:rFonts w:hint="eastAsia" w:ascii="宋体" w:hAnsi="宋体"/>
          <w:color w:val="auto"/>
          <w:szCs w:val="21"/>
          <w:highlight w:val="none"/>
        </w:rPr>
        <w:t>（5）未被列入东实集团及下属企业相关领域黑名单。【以</w:t>
      </w:r>
      <w:r>
        <w:rPr>
          <w:rFonts w:hint="eastAsia" w:hAnsi="宋体" w:cs="宋体"/>
          <w:color w:val="auto"/>
          <w:kern w:val="2"/>
          <w:szCs w:val="21"/>
          <w:highlight w:val="none"/>
          <w:lang w:val="zh-CN"/>
        </w:rPr>
        <w:t>东莞实业投资控股集团有限公司</w:t>
      </w:r>
      <w:r>
        <w:rPr>
          <w:rFonts w:hint="eastAsia" w:ascii="宋体" w:hAnsi="宋体"/>
          <w:color w:val="auto"/>
          <w:szCs w:val="21"/>
          <w:highlight w:val="none"/>
        </w:rPr>
        <w:t>发文（东实通〔2021〕44号）、（东实通〔2021〕98号）、</w:t>
      </w:r>
      <w:r>
        <w:rPr>
          <w:rFonts w:ascii="宋体" w:hAnsi="宋体"/>
          <w:color w:val="auto"/>
          <w:szCs w:val="21"/>
          <w:highlight w:val="none"/>
        </w:rPr>
        <w:t>（东实通〔2022〕75号）</w:t>
      </w:r>
      <w:r>
        <w:rPr>
          <w:rFonts w:hint="eastAsia" w:ascii="宋体" w:hAnsi="宋体"/>
          <w:color w:val="auto"/>
          <w:szCs w:val="21"/>
          <w:highlight w:val="none"/>
        </w:rPr>
        <w:t>、（东实通〔2023〕37号）为准，如有最新发文通知，按最新文件执行。】</w:t>
      </w:r>
    </w:p>
    <w:p>
      <w:pPr>
        <w:ind w:firstLine="420" w:firstLineChars="200"/>
        <w:outlineLvl w:val="2"/>
        <w:rPr>
          <w:rFonts w:ascii="宋体" w:hAnsi="宋体"/>
          <w:color w:val="auto"/>
          <w:szCs w:val="21"/>
          <w:highlight w:val="none"/>
        </w:rPr>
      </w:pPr>
      <w:r>
        <w:rPr>
          <w:rFonts w:hint="eastAsia" w:ascii="宋体" w:hAnsi="宋体"/>
          <w:color w:val="auto"/>
          <w:szCs w:val="21"/>
          <w:highlight w:val="none"/>
        </w:rPr>
        <w:t>2、其他要求</w:t>
      </w:r>
    </w:p>
    <w:p>
      <w:pPr>
        <w:ind w:firstLine="420" w:firstLineChars="200"/>
        <w:rPr>
          <w:color w:val="auto"/>
          <w:highlight w:val="none"/>
        </w:rPr>
      </w:pPr>
      <w:r>
        <w:rPr>
          <w:rFonts w:hint="eastAsia"/>
          <w:color w:val="auto"/>
          <w:highlight w:val="none"/>
          <w:u w:val="single"/>
        </w:rPr>
        <w:t xml:space="preserve">     无      。</w:t>
      </w:r>
      <w:r>
        <w:rPr>
          <w:rFonts w:hint="eastAsia"/>
          <w:color w:val="auto"/>
          <w:highlight w:val="none"/>
        </w:rPr>
        <w:t xml:space="preserve"> </w:t>
      </w:r>
    </w:p>
    <w:p>
      <w:pPr>
        <w:ind w:firstLine="413" w:firstLineChars="196"/>
        <w:outlineLvl w:val="1"/>
        <w:rPr>
          <w:rFonts w:ascii="宋体" w:hAnsi="宋体"/>
          <w:b/>
          <w:color w:val="auto"/>
          <w:szCs w:val="21"/>
          <w:highlight w:val="none"/>
        </w:rPr>
      </w:pPr>
      <w:r>
        <w:rPr>
          <w:rFonts w:hint="eastAsia" w:ascii="宋体" w:hAnsi="宋体"/>
          <w:b/>
          <w:color w:val="auto"/>
          <w:szCs w:val="21"/>
          <w:highlight w:val="none"/>
        </w:rPr>
        <w:t>三、获取采购文件方式及要求：</w:t>
      </w:r>
      <w:bookmarkStart w:id="201" w:name="_GoBack"/>
      <w:bookmarkEnd w:id="201"/>
    </w:p>
    <w:p>
      <w:pPr>
        <w:wordWrap w:val="0"/>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本项目不进行实名登记报名，拟参加投标的投标人可于投标截止时间前自行网上下载采购文件。</w:t>
      </w:r>
      <w:r>
        <w:rPr>
          <w:rFonts w:ascii="宋体" w:hAnsi="宋体" w:cs="宋体"/>
          <w:color w:val="auto"/>
          <w:szCs w:val="21"/>
          <w:highlight w:val="none"/>
        </w:rPr>
        <w:t>采购文件下载地址：</w:t>
      </w:r>
      <w:r>
        <w:rPr>
          <w:rFonts w:hint="eastAsia" w:ascii="宋体" w:hAnsi="宋体" w:cs="宋体"/>
          <w:color w:val="auto"/>
          <w:szCs w:val="21"/>
          <w:highlight w:val="none"/>
          <w:u w:val="single"/>
        </w:rPr>
        <w:t>中国招标投标公共服务平台（http://www.cebpubservice.com/）、东莞实业投资控股集团有限公司-招标采购栏目（http://www.dgsy.com.cn/）、代理公司官网（http://www.weiyecoltd.com/）</w:t>
      </w:r>
      <w:r>
        <w:rPr>
          <w:rFonts w:hint="eastAsia" w:ascii="宋体" w:hAnsi="宋体" w:cs="宋体"/>
          <w:color w:val="auto"/>
          <w:szCs w:val="21"/>
          <w:highlight w:val="none"/>
        </w:rPr>
        <w:t>。</w:t>
      </w:r>
    </w:p>
    <w:p>
      <w:pPr>
        <w:rPr>
          <w:color w:val="auto"/>
          <w:highlight w:val="none"/>
        </w:rPr>
      </w:pPr>
    </w:p>
    <w:p>
      <w:pPr>
        <w:ind w:firstLine="413" w:firstLineChars="196"/>
        <w:outlineLvl w:val="1"/>
        <w:rPr>
          <w:rFonts w:ascii="宋体" w:hAnsi="宋体"/>
          <w:b/>
          <w:color w:val="auto"/>
          <w:szCs w:val="21"/>
          <w:highlight w:val="none"/>
        </w:rPr>
      </w:pPr>
      <w:r>
        <w:rPr>
          <w:rFonts w:hint="eastAsia" w:ascii="宋体" w:hAnsi="宋体"/>
          <w:b/>
          <w:color w:val="auto"/>
          <w:szCs w:val="21"/>
          <w:highlight w:val="none"/>
        </w:rPr>
        <w:t>四、投标文件的递交</w:t>
      </w:r>
    </w:p>
    <w:p>
      <w:pPr>
        <w:ind w:firstLine="420" w:firstLineChars="200"/>
        <w:rPr>
          <w:rFonts w:ascii="宋体" w:hAnsi="宋体"/>
          <w:color w:val="auto"/>
          <w:szCs w:val="21"/>
          <w:highlight w:val="none"/>
        </w:rPr>
      </w:pPr>
      <w:r>
        <w:rPr>
          <w:rFonts w:hint="eastAsia" w:ascii="宋体" w:hAnsi="宋体"/>
          <w:color w:val="auto"/>
          <w:szCs w:val="21"/>
          <w:highlight w:val="none"/>
        </w:rPr>
        <w:t>1、递交投标文件时间：</w:t>
      </w: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rPr>
        <w:t>日（</w:t>
      </w:r>
      <w:r>
        <w:rPr>
          <w:rFonts w:hint="eastAsia" w:ascii="宋体" w:hAnsi="宋体"/>
          <w:color w:val="auto"/>
          <w:szCs w:val="21"/>
          <w:highlight w:val="none"/>
        </w:rPr>
        <w:t>北京时间）</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w:t>
      </w:r>
      <w:r>
        <w:rPr>
          <w:rFonts w:hint="eastAsia" w:ascii="宋体" w:hAnsi="宋体"/>
          <w:color w:val="auto"/>
          <w:szCs w:val="21"/>
          <w:highlight w:val="none"/>
          <w:u w:val="single"/>
          <w:lang w:val="en-US" w:eastAsia="zh-CN"/>
        </w:rPr>
        <w:t>00</w:t>
      </w:r>
      <w:r>
        <w:rPr>
          <w:rFonts w:ascii="宋体" w:hAnsi="宋体"/>
          <w:color w:val="auto"/>
          <w:szCs w:val="21"/>
          <w:highlight w:val="none"/>
        </w:rPr>
        <w:t>-</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w:t>
      </w:r>
      <w:r>
        <w:rPr>
          <w:rFonts w:hint="eastAsia" w:ascii="宋体" w:hAnsi="宋体"/>
          <w:color w:val="auto"/>
          <w:szCs w:val="21"/>
          <w:highlight w:val="none"/>
          <w:u w:val="single"/>
          <w:lang w:val="en-US" w:eastAsia="zh-CN"/>
        </w:rPr>
        <w:t>30</w:t>
      </w:r>
      <w:r>
        <w:rPr>
          <w:rFonts w:hint="eastAsia" w:ascii="宋体" w:hAnsi="宋体"/>
          <w:color w:val="auto"/>
          <w:szCs w:val="21"/>
          <w:highlight w:val="none"/>
        </w:rPr>
        <w:t>。</w:t>
      </w:r>
    </w:p>
    <w:p>
      <w:pPr>
        <w:ind w:firstLine="420" w:firstLineChars="200"/>
        <w:rPr>
          <w:rFonts w:ascii="宋体" w:hAnsi="宋体"/>
          <w:b/>
          <w:color w:val="auto"/>
          <w:szCs w:val="21"/>
          <w:highlight w:val="none"/>
        </w:rPr>
      </w:pPr>
      <w:r>
        <w:rPr>
          <w:rFonts w:hint="eastAsia" w:ascii="宋体" w:hAnsi="宋体"/>
          <w:color w:val="auto"/>
          <w:szCs w:val="21"/>
          <w:highlight w:val="none"/>
        </w:rPr>
        <w:t>2、递交投标文件</w:t>
      </w:r>
      <w:r>
        <w:rPr>
          <w:rFonts w:ascii="宋体" w:hAnsi="宋体"/>
          <w:color w:val="auto"/>
          <w:szCs w:val="21"/>
          <w:highlight w:val="none"/>
        </w:rPr>
        <w:t>截止</w:t>
      </w:r>
      <w:r>
        <w:rPr>
          <w:rFonts w:hint="eastAsia" w:ascii="宋体" w:hAnsi="宋体"/>
          <w:color w:val="auto"/>
          <w:szCs w:val="21"/>
          <w:highlight w:val="none"/>
        </w:rPr>
        <w:t>及开标时间：</w:t>
      </w: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rPr>
        <w:t>日</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w:t>
      </w:r>
      <w:r>
        <w:rPr>
          <w:rFonts w:hint="eastAsia" w:ascii="宋体" w:hAnsi="宋体"/>
          <w:color w:val="auto"/>
          <w:szCs w:val="21"/>
          <w:highlight w:val="none"/>
          <w:u w:val="single"/>
          <w:lang w:val="en-US" w:eastAsia="zh-CN"/>
        </w:rPr>
        <w:t>30</w:t>
      </w:r>
      <w:r>
        <w:rPr>
          <w:rFonts w:hint="eastAsia" w:ascii="宋体" w:hAnsi="宋体"/>
          <w:color w:val="auto"/>
          <w:szCs w:val="21"/>
          <w:highlight w:val="none"/>
        </w:rPr>
        <w:t>（北京时间），所有投标文件应于截止时间之前递交，迟交或以电报、传真形式的投标文件将拒绝接收。</w:t>
      </w:r>
    </w:p>
    <w:p>
      <w:pPr>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开标地点</w:t>
      </w:r>
      <w:r>
        <w:rPr>
          <w:rFonts w:hint="eastAsia" w:ascii="宋体" w:hAnsi="宋体"/>
          <w:color w:val="auto"/>
          <w:szCs w:val="21"/>
          <w:highlight w:val="none"/>
        </w:rPr>
        <w:t>：</w:t>
      </w:r>
      <w:r>
        <w:rPr>
          <w:rFonts w:hint="eastAsia" w:ascii="宋体" w:hAnsi="宋体"/>
          <w:color w:val="auto"/>
          <w:szCs w:val="21"/>
          <w:highlight w:val="none"/>
          <w:u w:val="single"/>
        </w:rPr>
        <w:t>广东省东莞市南城街道科创路100号2栋1302室。</w:t>
      </w:r>
    </w:p>
    <w:p>
      <w:pPr>
        <w:ind w:firstLine="411" w:firstLineChars="196"/>
        <w:rPr>
          <w:rFonts w:ascii="宋体" w:hAnsi="宋体"/>
          <w:bCs/>
          <w:color w:val="auto"/>
          <w:szCs w:val="21"/>
          <w:highlight w:val="none"/>
        </w:rPr>
      </w:pPr>
      <w:r>
        <w:rPr>
          <w:rFonts w:hint="eastAsia" w:ascii="宋体" w:hAnsi="宋体"/>
          <w:bCs/>
          <w:color w:val="auto"/>
          <w:szCs w:val="21"/>
          <w:highlight w:val="none"/>
        </w:rPr>
        <w:t>4、开标事宜：</w:t>
      </w:r>
      <w:r>
        <w:rPr>
          <w:rFonts w:hint="eastAsia" w:ascii="宋体" w:hAnsi="宋体"/>
          <w:b/>
          <w:bCs/>
          <w:color w:val="auto"/>
          <w:szCs w:val="21"/>
          <w:highlight w:val="none"/>
        </w:rPr>
        <w:t>届时请投标人的法定代表人或其授权代表务必携带有效身份证明出席开标会</w:t>
      </w:r>
      <w:r>
        <w:rPr>
          <w:rFonts w:hint="eastAsia" w:ascii="宋体" w:hAnsi="宋体"/>
          <w:bCs/>
          <w:color w:val="auto"/>
          <w:szCs w:val="21"/>
          <w:highlight w:val="none"/>
        </w:rPr>
        <w:t>。</w:t>
      </w:r>
    </w:p>
    <w:p>
      <w:pPr>
        <w:pStyle w:val="38"/>
        <w:spacing w:line="360" w:lineRule="auto"/>
        <w:rPr>
          <w:color w:val="auto"/>
          <w:sz w:val="21"/>
          <w:szCs w:val="21"/>
          <w:highlight w:val="none"/>
        </w:rPr>
      </w:pPr>
      <w:r>
        <w:rPr>
          <w:rFonts w:hint="eastAsia"/>
          <w:color w:val="auto"/>
          <w:sz w:val="21"/>
          <w:szCs w:val="21"/>
          <w:highlight w:val="none"/>
        </w:rPr>
        <w:t>5、出现以下情形时，采购代理机构不予接收投标（响应）文件：</w:t>
      </w:r>
    </w:p>
    <w:p>
      <w:pPr>
        <w:pStyle w:val="38"/>
        <w:spacing w:line="360" w:lineRule="auto"/>
        <w:rPr>
          <w:color w:val="auto"/>
          <w:sz w:val="21"/>
          <w:szCs w:val="21"/>
          <w:highlight w:val="none"/>
        </w:rPr>
      </w:pPr>
      <w:r>
        <w:rPr>
          <w:color w:val="auto"/>
          <w:sz w:val="21"/>
          <w:szCs w:val="21"/>
          <w:highlight w:val="none"/>
        </w:rPr>
        <w:tab/>
      </w:r>
      <w:r>
        <w:rPr>
          <w:rFonts w:hint="eastAsia"/>
          <w:color w:val="auto"/>
          <w:sz w:val="21"/>
          <w:szCs w:val="21"/>
          <w:highlight w:val="none"/>
        </w:rPr>
        <w:t>（1）逾期送达或者未送达指定地点的；</w:t>
      </w:r>
    </w:p>
    <w:p>
      <w:pPr>
        <w:pStyle w:val="38"/>
        <w:spacing w:line="360" w:lineRule="auto"/>
        <w:rPr>
          <w:color w:val="auto"/>
          <w:sz w:val="21"/>
          <w:szCs w:val="21"/>
          <w:highlight w:val="none"/>
        </w:rPr>
      </w:pPr>
      <w:r>
        <w:rPr>
          <w:color w:val="auto"/>
          <w:sz w:val="21"/>
          <w:szCs w:val="21"/>
          <w:highlight w:val="none"/>
        </w:rPr>
        <w:tab/>
      </w:r>
      <w:r>
        <w:rPr>
          <w:rFonts w:hint="eastAsia"/>
          <w:color w:val="auto"/>
          <w:sz w:val="21"/>
          <w:szCs w:val="21"/>
          <w:highlight w:val="none"/>
        </w:rPr>
        <w:t>（2）未按采购文件要求密封的。</w:t>
      </w:r>
    </w:p>
    <w:p>
      <w:pPr>
        <w:pStyle w:val="38"/>
        <w:ind w:firstLine="400"/>
        <w:rPr>
          <w:color w:val="auto"/>
          <w:highlight w:val="none"/>
        </w:rPr>
      </w:pPr>
    </w:p>
    <w:p>
      <w:pPr>
        <w:pStyle w:val="38"/>
        <w:ind w:firstLine="422"/>
        <w:outlineLvl w:val="1"/>
        <w:rPr>
          <w:rFonts w:ascii="宋体" w:hAnsi="宋体" w:eastAsia="宋体" w:cstheme="minorBidi"/>
          <w:b/>
          <w:color w:val="auto"/>
          <w:sz w:val="21"/>
          <w:szCs w:val="21"/>
          <w:highlight w:val="none"/>
        </w:rPr>
      </w:pPr>
      <w:r>
        <w:rPr>
          <w:rFonts w:hint="eastAsia" w:ascii="宋体" w:hAnsi="宋体" w:eastAsia="宋体" w:cstheme="minorBidi"/>
          <w:b/>
          <w:color w:val="auto"/>
          <w:sz w:val="21"/>
          <w:szCs w:val="21"/>
          <w:highlight w:val="none"/>
        </w:rPr>
        <w:t>五</w:t>
      </w:r>
      <w:r>
        <w:rPr>
          <w:rFonts w:ascii="宋体" w:hAnsi="宋体" w:eastAsia="宋体" w:cstheme="minorBidi"/>
          <w:b/>
          <w:color w:val="auto"/>
          <w:sz w:val="21"/>
          <w:szCs w:val="21"/>
          <w:highlight w:val="none"/>
        </w:rPr>
        <w:t>、发布公告的媒介</w:t>
      </w:r>
    </w:p>
    <w:p>
      <w:pPr>
        <w:pStyle w:val="38"/>
        <w:spacing w:line="360" w:lineRule="auto"/>
        <w:outlineLvl w:val="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中国招标投标公共服务平台（http://www.cebpubservice.com/）、东莞实业投资控股集团有限公司-招标采购栏目（http://www.dgsy.com.cn/）、代理公司官网（http://www.weiyecoltd.com/）</w:t>
      </w:r>
      <w:r>
        <w:rPr>
          <w:rFonts w:hint="eastAsia" w:ascii="宋体" w:hAnsi="宋体" w:eastAsia="宋体" w:cs="宋体"/>
          <w:color w:val="auto"/>
          <w:sz w:val="21"/>
          <w:szCs w:val="21"/>
          <w:highlight w:val="none"/>
        </w:rPr>
        <w:t>。</w:t>
      </w:r>
    </w:p>
    <w:p>
      <w:pPr>
        <w:pStyle w:val="38"/>
        <w:spacing w:line="360" w:lineRule="auto"/>
        <w:outlineLvl w:val="2"/>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pPr>
        <w:pStyle w:val="38"/>
        <w:spacing w:line="360" w:lineRule="auto"/>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pPr>
        <w:ind w:firstLine="413" w:firstLineChars="196"/>
        <w:outlineLvl w:val="1"/>
        <w:rPr>
          <w:rFonts w:ascii="宋体" w:hAnsi="宋体"/>
          <w:bCs/>
          <w:color w:val="auto"/>
          <w:szCs w:val="21"/>
          <w:highlight w:val="none"/>
        </w:rPr>
      </w:pPr>
      <w:r>
        <w:rPr>
          <w:rFonts w:hint="eastAsia" w:ascii="宋体" w:hAnsi="宋体"/>
          <w:b/>
          <w:color w:val="auto"/>
          <w:szCs w:val="21"/>
          <w:highlight w:val="none"/>
        </w:rPr>
        <w:t>六、采购人及采购代理机构的名称、地址和联系方法：</w:t>
      </w:r>
    </w:p>
    <w:p>
      <w:pPr>
        <w:ind w:firstLine="420" w:firstLineChars="200"/>
        <w:rPr>
          <w:rFonts w:ascii="宋体" w:hAnsi="宋体"/>
          <w:bCs/>
          <w:color w:val="auto"/>
          <w:szCs w:val="21"/>
          <w:highlight w:val="none"/>
        </w:rPr>
      </w:pPr>
      <w:r>
        <w:rPr>
          <w:rFonts w:hint="eastAsia" w:ascii="宋体" w:hAnsi="宋体"/>
          <w:bCs/>
          <w:color w:val="auto"/>
          <w:szCs w:val="21"/>
          <w:highlight w:val="none"/>
        </w:rPr>
        <w:t>采购人</w:t>
      </w:r>
      <w:r>
        <w:rPr>
          <w:rFonts w:ascii="宋体" w:hAnsi="宋体"/>
          <w:bCs/>
          <w:color w:val="auto"/>
          <w:szCs w:val="21"/>
          <w:highlight w:val="none"/>
        </w:rPr>
        <w:t>名称</w:t>
      </w:r>
      <w:r>
        <w:rPr>
          <w:rFonts w:hint="eastAsia" w:ascii="宋体" w:hAnsi="宋体"/>
          <w:bCs/>
          <w:color w:val="auto"/>
          <w:szCs w:val="21"/>
          <w:highlight w:val="none"/>
        </w:rPr>
        <w:t>：</w:t>
      </w:r>
      <w:r>
        <w:rPr>
          <w:rFonts w:hint="eastAsia" w:hAnsi="宋体" w:cs="宋体"/>
          <w:color w:val="auto"/>
          <w:szCs w:val="21"/>
          <w:highlight w:val="none"/>
        </w:rPr>
        <w:t>东莞市大学创新城建设发展有限公司</w:t>
      </w:r>
    </w:p>
    <w:p>
      <w:pPr>
        <w:ind w:firstLine="420" w:firstLineChars="200"/>
        <w:rPr>
          <w:rFonts w:ascii="宋体" w:hAnsi="宋体"/>
          <w:bCs/>
          <w:color w:val="auto"/>
          <w:szCs w:val="21"/>
          <w:highlight w:val="none"/>
        </w:rPr>
      </w:pPr>
      <w:r>
        <w:rPr>
          <w:rFonts w:hint="eastAsia" w:ascii="宋体" w:hAnsi="宋体"/>
          <w:bCs/>
          <w:color w:val="auto"/>
          <w:szCs w:val="21"/>
          <w:highlight w:val="none"/>
        </w:rPr>
        <w:t xml:space="preserve">采购人联系人： </w:t>
      </w:r>
      <w:r>
        <w:rPr>
          <w:rFonts w:hint="eastAsia" w:hAnsi="宋体"/>
          <w:color w:val="auto"/>
          <w:szCs w:val="21"/>
          <w:highlight w:val="none"/>
          <w:lang w:val="en-US" w:eastAsia="zh-CN"/>
        </w:rPr>
        <w:t>翟</w:t>
      </w:r>
      <w:r>
        <w:rPr>
          <w:rFonts w:hint="eastAsia" w:hAnsi="宋体"/>
          <w:color w:val="auto"/>
          <w:szCs w:val="21"/>
          <w:highlight w:val="none"/>
        </w:rPr>
        <w:t>工</w:t>
      </w:r>
    </w:p>
    <w:p>
      <w:pPr>
        <w:ind w:firstLine="420" w:firstLineChars="200"/>
        <w:rPr>
          <w:rFonts w:ascii="宋体" w:hAnsi="宋体"/>
          <w:bCs/>
          <w:color w:val="auto"/>
          <w:szCs w:val="21"/>
          <w:highlight w:val="none"/>
        </w:rPr>
      </w:pPr>
      <w:r>
        <w:rPr>
          <w:rFonts w:hint="eastAsia" w:ascii="宋体" w:hAnsi="宋体"/>
          <w:bCs/>
          <w:color w:val="auto"/>
          <w:szCs w:val="21"/>
          <w:highlight w:val="none"/>
        </w:rPr>
        <w:t>采购人地址：</w:t>
      </w:r>
      <w:r>
        <w:rPr>
          <w:rFonts w:hint="eastAsia" w:hAnsi="宋体"/>
          <w:color w:val="auto"/>
          <w:szCs w:val="21"/>
          <w:highlight w:val="none"/>
        </w:rPr>
        <w:t>东莞市松山湖大学创</w:t>
      </w:r>
      <w:r>
        <w:rPr>
          <w:rFonts w:hint="eastAsia" w:ascii="宋体" w:hAnsi="宋体" w:eastAsia="宋体" w:cs="宋体"/>
          <w:color w:val="auto"/>
          <w:szCs w:val="21"/>
          <w:highlight w:val="none"/>
        </w:rPr>
        <w:t>新城G4栋20层</w:t>
      </w:r>
    </w:p>
    <w:p>
      <w:pPr>
        <w:ind w:firstLine="420" w:firstLineChars="200"/>
        <w:rPr>
          <w:rFonts w:ascii="宋体" w:hAnsi="宋体"/>
          <w:bCs/>
          <w:color w:val="auto"/>
          <w:szCs w:val="21"/>
          <w:highlight w:val="none"/>
        </w:rPr>
      </w:pPr>
      <w:r>
        <w:rPr>
          <w:rFonts w:hint="eastAsia" w:ascii="宋体" w:hAnsi="宋体"/>
          <w:bCs/>
          <w:color w:val="auto"/>
          <w:szCs w:val="21"/>
          <w:highlight w:val="none"/>
        </w:rPr>
        <w:t>采购人联系电话：0769-38888010</w:t>
      </w:r>
      <w:r>
        <w:rPr>
          <w:rFonts w:hint="eastAsia" w:ascii="宋体" w:hAnsi="宋体" w:cs="宋体"/>
          <w:color w:val="auto"/>
          <w:sz w:val="22"/>
          <w:highlight w:val="none"/>
        </w:rPr>
        <w:t xml:space="preserve"> </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采购代理机构名称：广东泰通伟业工程咨询有限公司</w:t>
      </w:r>
    </w:p>
    <w:p>
      <w:pPr>
        <w:ind w:firstLine="420" w:firstLineChars="200"/>
        <w:rPr>
          <w:rFonts w:ascii="宋体" w:hAnsi="宋体"/>
          <w:color w:val="auto"/>
          <w:szCs w:val="21"/>
          <w:highlight w:val="none"/>
        </w:rPr>
      </w:pPr>
      <w:r>
        <w:rPr>
          <w:rFonts w:hint="eastAsia" w:ascii="宋体" w:hAnsi="宋体"/>
          <w:color w:val="auto"/>
          <w:szCs w:val="21"/>
          <w:highlight w:val="none"/>
        </w:rPr>
        <w:t>采购代理机构地址：广东省东莞市南城街道科创路100号2栋1302室</w:t>
      </w:r>
    </w:p>
    <w:p>
      <w:pPr>
        <w:ind w:firstLine="420" w:firstLineChars="200"/>
        <w:rPr>
          <w:rFonts w:ascii="宋体" w:hAnsi="宋体"/>
          <w:color w:val="auto"/>
          <w:szCs w:val="21"/>
          <w:highlight w:val="none"/>
        </w:rPr>
      </w:pPr>
      <w:r>
        <w:rPr>
          <w:rFonts w:hint="eastAsia" w:ascii="宋体" w:hAnsi="宋体"/>
          <w:color w:val="auto"/>
          <w:szCs w:val="21"/>
          <w:highlight w:val="none"/>
        </w:rPr>
        <w:t>采购代理机构联系人：冼小姐</w:t>
      </w:r>
    </w:p>
    <w:p>
      <w:pPr>
        <w:ind w:firstLine="420" w:firstLineChars="200"/>
        <w:rPr>
          <w:rFonts w:ascii="宋体" w:hAnsi="宋体"/>
          <w:color w:val="auto"/>
          <w:szCs w:val="21"/>
          <w:highlight w:val="none"/>
        </w:rPr>
      </w:pPr>
      <w:r>
        <w:rPr>
          <w:rFonts w:hint="eastAsia" w:ascii="宋体" w:hAnsi="宋体"/>
          <w:color w:val="auto"/>
          <w:szCs w:val="21"/>
          <w:highlight w:val="none"/>
        </w:rPr>
        <w:t>采购代理机构联系电话： 0769-22652033</w:t>
      </w:r>
    </w:p>
    <w:p>
      <w:pPr>
        <w:ind w:firstLine="420" w:firstLineChars="200"/>
        <w:rPr>
          <w:color w:val="auto"/>
          <w:highlight w:val="none"/>
        </w:rPr>
      </w:pPr>
      <w:r>
        <w:rPr>
          <w:rFonts w:hint="eastAsia" w:ascii="宋体" w:hAnsi="宋体"/>
          <w:color w:val="auto"/>
          <w:szCs w:val="21"/>
          <w:highlight w:val="none"/>
        </w:rPr>
        <w:t>采购代理机构邮箱： WYZFCG@126.com</w:t>
      </w:r>
    </w:p>
    <w:p>
      <w:pPr>
        <w:ind w:firstLine="420" w:firstLineChars="200"/>
        <w:rPr>
          <w:color w:val="auto"/>
          <w:highlight w:val="none"/>
        </w:rPr>
      </w:pPr>
    </w:p>
    <w:p>
      <w:pPr>
        <w:ind w:right="752" w:rightChars="358"/>
        <w:jc w:val="right"/>
        <w:rPr>
          <w:color w:val="auto"/>
          <w:highlight w:val="none"/>
        </w:rPr>
      </w:pPr>
    </w:p>
    <w:p>
      <w:pPr>
        <w:ind w:right="752" w:rightChars="358"/>
        <w:jc w:val="right"/>
        <w:rPr>
          <w:rFonts w:ascii="宋体" w:hAnsi="宋体" w:cs="宋体"/>
          <w:color w:val="auto"/>
          <w:szCs w:val="21"/>
          <w:highlight w:val="none"/>
        </w:rPr>
      </w:pPr>
      <w:r>
        <w:rPr>
          <w:rFonts w:hint="eastAsia" w:ascii="宋体" w:hAnsi="宋体" w:cs="宋体"/>
          <w:color w:val="auto"/>
          <w:szCs w:val="21"/>
          <w:highlight w:val="none"/>
        </w:rPr>
        <w:t>广东泰通伟业工程咨询有限公司</w:t>
      </w:r>
    </w:p>
    <w:p>
      <w:pPr>
        <w:ind w:right="752" w:rightChars="358"/>
        <w:jc w:val="right"/>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月 </w:t>
      </w:r>
    </w:p>
    <w:p>
      <w:pP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p>
    <w:p>
      <w:pPr>
        <w:pStyle w:val="6"/>
        <w:spacing w:before="0" w:after="0" w:line="240" w:lineRule="auto"/>
        <w:rPr>
          <w:color w:val="auto"/>
          <w:sz w:val="28"/>
          <w:szCs w:val="28"/>
          <w:highlight w:val="none"/>
        </w:rPr>
      </w:pPr>
      <w:bookmarkStart w:id="2" w:name="_Toc20564"/>
      <w:r>
        <w:rPr>
          <w:rFonts w:hint="eastAsia"/>
          <w:color w:val="auto"/>
          <w:sz w:val="28"/>
          <w:szCs w:val="28"/>
          <w:highlight w:val="none"/>
        </w:rPr>
        <w:t>第二部分相关资料表格</w:t>
      </w:r>
      <w:bookmarkEnd w:id="2"/>
    </w:p>
    <w:p>
      <w:pPr>
        <w:pStyle w:val="7"/>
        <w:spacing w:before="0" w:after="0" w:line="240" w:lineRule="auto"/>
        <w:jc w:val="center"/>
        <w:rPr>
          <w:rFonts w:ascii="宋体" w:hAnsi="宋体" w:cs="宋体"/>
          <w:color w:val="auto"/>
          <w:sz w:val="24"/>
          <w:szCs w:val="24"/>
          <w:highlight w:val="none"/>
        </w:rPr>
      </w:pPr>
      <w:bookmarkStart w:id="3" w:name="_Toc14333"/>
      <w:r>
        <w:rPr>
          <w:rFonts w:hint="eastAsia" w:ascii="宋体" w:hAnsi="宋体" w:cs="宋体"/>
          <w:color w:val="auto"/>
          <w:sz w:val="24"/>
          <w:szCs w:val="24"/>
          <w:highlight w:val="none"/>
        </w:rPr>
        <w:t>附表一：投标资料表</w:t>
      </w:r>
      <w:bookmarkEnd w:id="3"/>
    </w:p>
    <w:tbl>
      <w:tblPr>
        <w:tblStyle w:val="29"/>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532" w:type="dxa"/>
            <w:gridSpan w:val="2"/>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项目最高限价（</w:t>
            </w:r>
            <w:r>
              <w:rPr>
                <w:rFonts w:hint="eastAsia" w:ascii="宋体" w:hAnsi="宋体"/>
                <w:b/>
                <w:bCs/>
                <w:color w:val="auto"/>
                <w:szCs w:val="21"/>
                <w:highlight w:val="none"/>
                <w:u w:val="single"/>
              </w:rPr>
              <w:t>单位：元</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3,276,000.00元（大写：人民币</w:t>
            </w:r>
            <w:r>
              <w:rPr>
                <w:rFonts w:hint="eastAsia" w:ascii="宋体" w:hAnsi="宋体"/>
                <w:b/>
                <w:bCs/>
                <w:color w:val="auto"/>
                <w:szCs w:val="21"/>
                <w:highlight w:val="none"/>
                <w:lang w:eastAsia="zh-CN"/>
              </w:rPr>
              <w:t>叁佰贰拾柒万陆仟元整</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color w:val="auto"/>
                <w:szCs w:val="21"/>
                <w:highlight w:val="none"/>
              </w:rPr>
              <w:sym w:font="Wingdings 2" w:char="0052"/>
            </w:r>
            <w:r>
              <w:rPr>
                <w:rFonts w:hint="eastAsia" w:ascii="宋体" w:hAnsi="宋体"/>
                <w:b/>
                <w:bCs/>
                <w:color w:val="auto"/>
                <w:szCs w:val="21"/>
                <w:highlight w:val="none"/>
              </w:rPr>
              <w:t>固定总价包干；</w:t>
            </w:r>
          </w:p>
          <w:p>
            <w:pPr>
              <w:rPr>
                <w:rFonts w:ascii="宋体" w:hAnsi="宋体"/>
                <w:b/>
                <w:bCs/>
                <w:color w:val="auto"/>
                <w:szCs w:val="21"/>
                <w:highlight w:val="none"/>
              </w:rPr>
            </w:pPr>
            <w:r>
              <w:rPr>
                <w:rFonts w:hint="eastAsia" w:ascii="宋体" w:hAnsi="宋体"/>
                <w:color w:val="auto"/>
                <w:szCs w:val="21"/>
                <w:highlight w:val="none"/>
              </w:rPr>
              <w:sym w:font="Wingdings 2" w:char="00A3"/>
            </w:r>
            <w:r>
              <w:rPr>
                <w:rFonts w:hint="eastAsia" w:ascii="宋体" w:hAnsi="宋体"/>
                <w:b/>
                <w:bCs/>
                <w:color w:val="auto"/>
                <w:szCs w:val="21"/>
                <w:highlight w:val="none"/>
              </w:rPr>
              <w:t>固定单价暂定总价包干；</w:t>
            </w:r>
          </w:p>
          <w:p>
            <w:pPr>
              <w:rPr>
                <w:rFonts w:ascii="宋体" w:hAnsi="宋体"/>
                <w:b/>
                <w:bCs/>
                <w:color w:val="auto"/>
                <w:szCs w:val="21"/>
                <w:highlight w:val="none"/>
                <w:u w:val="single"/>
              </w:rPr>
            </w:pPr>
            <w:r>
              <w:rPr>
                <w:rFonts w:hint="eastAsia" w:ascii="宋体" w:hAnsi="宋体"/>
                <w:color w:val="auto"/>
                <w:szCs w:val="21"/>
                <w:highlight w:val="none"/>
              </w:rPr>
              <w:sym w:font="Wingdings 2" w:char="00A3"/>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p>
          <w:p>
            <w:pPr>
              <w:rPr>
                <w:rFonts w:ascii="宋体" w:hAnsi="宋体"/>
                <w:b/>
                <w:bCs/>
                <w:color w:val="auto"/>
                <w:szCs w:val="21"/>
                <w:highlight w:val="none"/>
              </w:rPr>
            </w:pPr>
            <w:r>
              <w:rPr>
                <w:rFonts w:hint="eastAsia" w:ascii="宋体" w:hAnsi="宋体"/>
                <w:color w:val="auto"/>
                <w:szCs w:val="21"/>
                <w:highlight w:val="none"/>
              </w:rPr>
              <w:sym w:font="Wingdings 2" w:char="00A3"/>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是否接受联合体投标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pStyle w:val="41"/>
              <w:ind w:firstLine="0" w:firstLineChars="0"/>
              <w:rPr>
                <w:rFonts w:ascii="宋体" w:hAnsi="宋体" w:cs="宋体"/>
                <w:color w:val="auto"/>
                <w:szCs w:val="21"/>
                <w:highlight w:val="none"/>
              </w:rPr>
            </w:pPr>
            <w:r>
              <w:rPr>
                <w:rFonts w:hint="eastAsia" w:ascii="宋体" w:hAnsi="宋体"/>
                <w:color w:val="auto"/>
                <w:szCs w:val="21"/>
                <w:highlight w:val="none"/>
              </w:rPr>
              <w:sym w:font="Wingdings 2" w:char="00A3"/>
            </w:r>
            <w:r>
              <w:rPr>
                <w:rFonts w:hint="eastAsia" w:ascii="宋体" w:hAnsi="宋体" w:cs="宋体"/>
                <w:color w:val="auto"/>
                <w:szCs w:val="21"/>
                <w:highlight w:val="none"/>
              </w:rPr>
              <w:t>是，</w:t>
            </w:r>
            <w:r>
              <w:rPr>
                <w:rFonts w:hint="eastAsia" w:ascii="宋体" w:hAnsi="宋体"/>
                <w:color w:val="auto"/>
                <w:szCs w:val="21"/>
                <w:highlight w:val="none"/>
              </w:rPr>
              <w:t>联合体投标的，应满足下列要求：</w:t>
            </w:r>
            <w:r>
              <w:rPr>
                <w:rFonts w:ascii="宋体" w:hAnsi="宋体"/>
                <w:color w:val="auto"/>
                <w:szCs w:val="21"/>
                <w:highlight w:val="none"/>
                <w:u w:val="single"/>
              </w:rPr>
              <w:t xml:space="preserve">         </w:t>
            </w:r>
            <w:r>
              <w:rPr>
                <w:rFonts w:hint="eastAsia" w:ascii="宋体" w:hAnsi="宋体" w:cs="宋体"/>
                <w:color w:val="auto"/>
                <w:szCs w:val="21"/>
                <w:highlight w:val="none"/>
              </w:rPr>
              <w:t>；</w:t>
            </w:r>
          </w:p>
          <w:p>
            <w:pPr>
              <w:rPr>
                <w:rFonts w:ascii="宋体" w:hAnsi="宋体"/>
                <w:b/>
                <w:bCs/>
                <w:color w:val="auto"/>
                <w:szCs w:val="21"/>
                <w:highlight w:val="none"/>
              </w:rPr>
            </w:pPr>
            <w:r>
              <w:rPr>
                <w:rFonts w:hint="eastAsia" w:ascii="宋体" w:hAnsi="宋体"/>
                <w:color w:val="auto"/>
                <w:szCs w:val="21"/>
                <w:highlight w:val="none"/>
              </w:rPr>
              <w:sym w:font="Wingdings 2" w:char="0052"/>
            </w:r>
            <w:r>
              <w:rPr>
                <w:rFonts w:hint="eastAsia" w:ascii="宋体" w:hAnsi="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color w:val="auto"/>
                <w:szCs w:val="21"/>
                <w:highlight w:val="none"/>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532" w:type="dxa"/>
            <w:gridSpan w:val="2"/>
            <w:tcBorders>
              <w:tl2br w:val="nil"/>
              <w:tr2bl w:val="nil"/>
            </w:tcBorders>
            <w:vAlign w:val="center"/>
          </w:tcPr>
          <w:p>
            <w:pPr>
              <w:rPr>
                <w:rFonts w:ascii="宋体" w:hAnsi="宋体"/>
                <w:b/>
                <w:color w:val="auto"/>
                <w:szCs w:val="21"/>
                <w:highlight w:val="none"/>
              </w:rPr>
            </w:pPr>
            <w:r>
              <w:rPr>
                <w:rFonts w:hint="eastAsia" w:ascii="宋体" w:hAnsi="宋体"/>
                <w:b/>
                <w:color w:val="auto"/>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Cs/>
                <w:color w:val="auto"/>
                <w:szCs w:val="21"/>
                <w:highlight w:val="none"/>
              </w:rPr>
            </w:pPr>
            <w:r>
              <w:rPr>
                <w:rFonts w:hint="eastAsia" w:ascii="宋体" w:hAnsi="宋体"/>
                <w:bCs/>
                <w:color w:val="auto"/>
                <w:szCs w:val="21"/>
                <w:highlight w:val="none"/>
              </w:rPr>
              <w:sym w:font="Wingdings 2" w:char="0052"/>
            </w:r>
            <w:r>
              <w:rPr>
                <w:rFonts w:hint="eastAsia" w:ascii="宋体" w:hAnsi="宋体"/>
                <w:bCs/>
                <w:color w:val="auto"/>
                <w:szCs w:val="21"/>
                <w:highlight w:val="none"/>
              </w:rPr>
              <w:t>不组织 。</w:t>
            </w:r>
          </w:p>
          <w:p>
            <w:pPr>
              <w:rPr>
                <w:rFonts w:ascii="宋体" w:hAnsi="宋体"/>
                <w:bCs/>
                <w:color w:val="auto"/>
                <w:szCs w:val="21"/>
                <w:highlight w:val="none"/>
              </w:rPr>
            </w:pP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二、投标文件的编制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532" w:type="dxa"/>
            <w:gridSpan w:val="2"/>
            <w:tcBorders>
              <w:tl2br w:val="nil"/>
              <w:tr2bl w:val="nil"/>
            </w:tcBorders>
            <w:vAlign w:val="center"/>
          </w:tcPr>
          <w:p>
            <w:pPr>
              <w:rPr>
                <w:rFonts w:ascii="宋体" w:hAnsi="宋体"/>
                <w:b/>
                <w:color w:val="auto"/>
                <w:szCs w:val="21"/>
                <w:highlight w:val="none"/>
              </w:rPr>
            </w:pPr>
            <w:r>
              <w:rPr>
                <w:rFonts w:hint="eastAsia" w:ascii="宋体" w:hAnsi="宋体"/>
                <w:b/>
                <w:color w:val="auto"/>
                <w:szCs w:val="21"/>
                <w:highlight w:val="none"/>
              </w:rPr>
              <w:t>投标语言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
                <w:color w:val="auto"/>
                <w:szCs w:val="21"/>
                <w:highlight w:val="none"/>
              </w:rPr>
            </w:pPr>
            <w:r>
              <w:rPr>
                <w:rFonts w:hint="eastAsia" w:ascii="宋体" w:hAnsi="宋体"/>
                <w:color w:val="auto"/>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投标报价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color w:val="auto"/>
                <w:szCs w:val="21"/>
                <w:highlight w:val="none"/>
              </w:rPr>
              <w:t>详见投标人须知。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color w:val="auto"/>
                <w:szCs w:val="21"/>
                <w:highlight w:val="none"/>
              </w:rPr>
              <w:t>（1）投标保证金金额：人民币</w:t>
            </w:r>
            <w:r>
              <w:rPr>
                <w:rFonts w:hint="eastAsia" w:ascii="宋体" w:hAnsi="宋体"/>
                <w:b/>
                <w:color w:val="auto"/>
                <w:szCs w:val="21"/>
                <w:highlight w:val="none"/>
              </w:rPr>
              <w:t>（大写）</w:t>
            </w:r>
            <w:r>
              <w:rPr>
                <w:rFonts w:hint="eastAsia" w:ascii="宋体" w:hAnsi="宋体"/>
                <w:b/>
                <w:color w:val="auto"/>
                <w:szCs w:val="21"/>
                <w:highlight w:val="none"/>
                <w:u w:val="single"/>
              </w:rPr>
              <w:t xml:space="preserve"> 陆万</w:t>
            </w:r>
            <w:r>
              <w:rPr>
                <w:rFonts w:hint="eastAsia" w:ascii="宋体" w:hAnsi="宋体"/>
                <w:b/>
                <w:color w:val="auto"/>
                <w:szCs w:val="21"/>
                <w:highlight w:val="none"/>
                <w:u w:val="single"/>
                <w:lang w:eastAsia="zh-CN"/>
              </w:rPr>
              <w:t>肆</w:t>
            </w:r>
            <w:r>
              <w:rPr>
                <w:rFonts w:hint="eastAsia" w:ascii="宋体" w:hAnsi="宋体"/>
                <w:b/>
                <w:color w:val="auto"/>
                <w:szCs w:val="21"/>
                <w:highlight w:val="none"/>
                <w:u w:val="single"/>
              </w:rPr>
              <w:t>仟</w:t>
            </w:r>
            <w:r>
              <w:rPr>
                <w:rFonts w:hint="eastAsia" w:ascii="宋体" w:hAnsi="宋体"/>
                <w:color w:val="auto"/>
                <w:szCs w:val="21"/>
                <w:highlight w:val="none"/>
              </w:rPr>
              <w:t>元（</w:t>
            </w:r>
            <w:r>
              <w:rPr>
                <w:rFonts w:hint="eastAsia" w:ascii="宋体" w:hAnsi="宋体"/>
                <w:b/>
                <w:bCs/>
                <w:color w:val="auto"/>
                <w:szCs w:val="21"/>
                <w:highlight w:val="none"/>
              </w:rPr>
              <w:t>￥</w:t>
            </w:r>
            <w:r>
              <w:rPr>
                <w:rFonts w:hint="eastAsia" w:ascii="宋体" w:hAnsi="宋体"/>
                <w:b/>
                <w:color w:val="auto"/>
                <w:szCs w:val="21"/>
                <w:highlight w:val="none"/>
                <w:u w:val="single"/>
              </w:rPr>
              <w:t xml:space="preserve"> 6</w:t>
            </w:r>
            <w:r>
              <w:rPr>
                <w:rFonts w:hint="eastAsia" w:ascii="宋体" w:hAnsi="宋体"/>
                <w:b/>
                <w:color w:val="auto"/>
                <w:szCs w:val="21"/>
                <w:highlight w:val="none"/>
                <w:u w:val="single"/>
                <w:lang w:val="en-US" w:eastAsia="zh-CN"/>
              </w:rPr>
              <w:t>4</w:t>
            </w:r>
            <w:r>
              <w:rPr>
                <w:rFonts w:hint="eastAsia" w:ascii="宋体" w:hAnsi="宋体"/>
                <w:b/>
                <w:color w:val="auto"/>
                <w:szCs w:val="21"/>
                <w:highlight w:val="none"/>
                <w:u w:val="single"/>
              </w:rPr>
              <w:t>000.00元</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投标保证金专用账户如下：</w:t>
            </w:r>
          </w:p>
          <w:p>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 xml:space="preserve">帐户名称： </w:t>
            </w:r>
            <w:r>
              <w:rPr>
                <w:rFonts w:hint="eastAsia" w:hAnsi="宋体" w:cs="宋体"/>
                <w:color w:val="auto"/>
                <w:kern w:val="2"/>
                <w:szCs w:val="21"/>
                <w:highlight w:val="none"/>
                <w:u w:val="single"/>
              </w:rPr>
              <w:t>广东泰通伟业工程咨询有限公司</w:t>
            </w:r>
            <w:r>
              <w:rPr>
                <w:rFonts w:hint="eastAsia" w:hAnsi="宋体" w:cs="宋体"/>
                <w:color w:val="auto"/>
                <w:kern w:val="2"/>
                <w:szCs w:val="21"/>
                <w:highlight w:val="none"/>
                <w:lang w:val="zh-CN"/>
              </w:rPr>
              <w:t>；</w:t>
            </w:r>
          </w:p>
          <w:p>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开户银行：</w:t>
            </w:r>
            <w:r>
              <w:rPr>
                <w:rFonts w:hint="eastAsia" w:hAnsi="宋体" w:cs="宋体"/>
                <w:color w:val="auto"/>
                <w:kern w:val="2"/>
                <w:szCs w:val="21"/>
                <w:highlight w:val="none"/>
                <w:u w:val="single"/>
                <w:lang w:val="zh-CN"/>
              </w:rPr>
              <w:t>广发银行股份有限公司东莞东翔支行</w:t>
            </w:r>
            <w:r>
              <w:rPr>
                <w:rFonts w:hint="eastAsia" w:hAnsi="宋体" w:cs="宋体"/>
                <w:color w:val="auto"/>
                <w:kern w:val="2"/>
                <w:szCs w:val="21"/>
                <w:highlight w:val="none"/>
                <w:lang w:val="zh-CN"/>
              </w:rPr>
              <w:t>；</w:t>
            </w:r>
          </w:p>
          <w:p>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银行帐号：</w:t>
            </w:r>
            <w:r>
              <w:rPr>
                <w:rFonts w:hint="eastAsia" w:hAnsi="宋体" w:cs="宋体"/>
                <w:color w:val="auto"/>
                <w:kern w:val="2"/>
                <w:szCs w:val="21"/>
                <w:highlight w:val="none"/>
                <w:u w:val="single"/>
                <w:lang w:val="zh-CN"/>
              </w:rPr>
              <w:t>6232590699050063864</w:t>
            </w:r>
            <w:r>
              <w:rPr>
                <w:rFonts w:hint="eastAsia" w:hAnsi="宋体" w:cs="宋体"/>
                <w:color w:val="auto"/>
                <w:kern w:val="2"/>
                <w:szCs w:val="21"/>
                <w:highlight w:val="none"/>
                <w:lang w:val="zh-CN"/>
              </w:rPr>
              <w:t>；</w:t>
            </w:r>
          </w:p>
          <w:p>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（注：各投标人在转帐或电汇时须在用途栏上备注项目编号，及项目名称，如有字数限制项目名称可简写。）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532" w:type="dxa"/>
            <w:gridSpan w:val="2"/>
            <w:tcBorders>
              <w:tl2br w:val="nil"/>
              <w:tr2bl w:val="nil"/>
            </w:tcBorders>
            <w:vAlign w:val="center"/>
          </w:tcPr>
          <w:p>
            <w:pPr>
              <w:jc w:val="both"/>
              <w:rPr>
                <w:rFonts w:ascii="宋体" w:hAnsi="宋体"/>
                <w:b/>
                <w:bCs/>
                <w:color w:val="auto"/>
                <w:szCs w:val="21"/>
                <w:highlight w:val="none"/>
                <w:lang w:val="zh-CN"/>
              </w:rPr>
            </w:pPr>
            <w:r>
              <w:rPr>
                <w:rFonts w:hint="eastAsia" w:ascii="宋体" w:hAnsi="宋体"/>
                <w:b/>
                <w:bCs/>
                <w:color w:val="auto"/>
                <w:szCs w:val="21"/>
                <w:highlight w:val="none"/>
                <w:lang w:val="zh-CN"/>
              </w:rPr>
              <w:t>投标保证金退还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）未中标的投标人的保证金应当在中标通知书发出后退还，中标</w:t>
            </w:r>
            <w:r>
              <w:rPr>
                <w:rFonts w:hint="eastAsia" w:ascii="宋体" w:hAnsi="宋体"/>
                <w:color w:val="auto"/>
                <w:szCs w:val="21"/>
                <w:highlight w:val="none"/>
              </w:rPr>
              <w:t>的</w:t>
            </w:r>
            <w:r>
              <w:rPr>
                <w:rFonts w:hint="eastAsia" w:ascii="宋体" w:hAnsi="宋体"/>
                <w:color w:val="auto"/>
                <w:szCs w:val="21"/>
                <w:highlight w:val="none"/>
                <w:lang w:val="zh-CN"/>
              </w:rPr>
              <w:t>投标人的保证金应当在采购合同签订</w:t>
            </w:r>
            <w:r>
              <w:rPr>
                <w:rFonts w:hint="eastAsia" w:ascii="宋体" w:hAnsi="宋体"/>
                <w:color w:val="auto"/>
                <w:szCs w:val="21"/>
                <w:highlight w:val="none"/>
              </w:rPr>
              <w:t>并缴纳履约保证金</w:t>
            </w:r>
            <w:r>
              <w:rPr>
                <w:rFonts w:hint="eastAsia" w:ascii="宋体" w:hAnsi="宋体"/>
                <w:color w:val="auto"/>
                <w:szCs w:val="21"/>
                <w:highlight w:val="none"/>
                <w:lang w:val="zh-CN"/>
              </w:rPr>
              <w:t>后退还。</w:t>
            </w:r>
          </w:p>
          <w:p>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）为方便退还未中标的投标人的保证金，投标人应制作《投标保证金汇入情况说明》随唱标信封一并递交。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投标有效期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color w:val="auto"/>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7532" w:type="dxa"/>
            <w:gridSpan w:val="2"/>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投标文件类型</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唱标信封</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投标文件正本</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投标文件副本</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sym w:font="Wingdings 2" w:char="0052"/>
            </w:r>
            <w:r>
              <w:rPr>
                <w:rFonts w:hint="eastAsia" w:ascii="宋体" w:hAnsi="宋体"/>
                <w:b/>
                <w:color w:val="auto"/>
                <w:szCs w:val="21"/>
                <w:highlight w:val="none"/>
              </w:rPr>
              <w:t xml:space="preserve">5  </w:t>
            </w:r>
            <w:r>
              <w:rPr>
                <w:rFonts w:hint="eastAsia" w:ascii="宋体" w:hAnsi="宋体"/>
                <w:b/>
                <w:color w:val="auto"/>
                <w:szCs w:val="21"/>
                <w:highlight w:val="none"/>
              </w:rPr>
              <w:sym w:font="Wingdings 2" w:char="00A3"/>
            </w:r>
            <w:r>
              <w:rPr>
                <w:rFonts w:hint="eastAsia" w:ascii="宋体" w:hAnsi="宋体"/>
                <w:b/>
                <w:color w:val="auto"/>
                <w:szCs w:val="21"/>
                <w:highlight w:val="none"/>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vMerge w:val="restart"/>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电子文档</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vMerge w:val="continue"/>
            <w:tcBorders>
              <w:tl2br w:val="nil"/>
              <w:tr2bl w:val="nil"/>
            </w:tcBorders>
            <w:vAlign w:val="center"/>
          </w:tcPr>
          <w:p>
            <w:pPr>
              <w:jc w:val="center"/>
              <w:rPr>
                <w:rFonts w:ascii="宋体" w:hAnsi="宋体"/>
                <w:b/>
                <w:color w:val="auto"/>
                <w:szCs w:val="21"/>
                <w:highlight w:val="none"/>
              </w:rPr>
            </w:pP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cs="Times New Roman"/>
                <w:b/>
                <w:color w:val="auto"/>
                <w:szCs w:val="21"/>
                <w:highlight w:val="none"/>
              </w:rPr>
              <w:t>U盘，须含盖章版PDF投标文件和WORD版投标文件各一版，文字采用WORD文档，计算表格采用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b/>
                <w:color w:val="auto"/>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color w:val="auto"/>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color w:val="auto"/>
                <w:szCs w:val="21"/>
                <w:highlight w:val="none"/>
              </w:rPr>
              <w:t>见附表二。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b/>
                <w:color w:val="auto"/>
                <w:szCs w:val="21"/>
                <w:highlight w:val="none"/>
              </w:rPr>
              <w:t>评标委员会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color w:val="auto"/>
                <w:szCs w:val="21"/>
                <w:highlight w:val="none"/>
              </w:rPr>
              <w:t>评标委员会成员共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五</w:t>
            </w:r>
            <w:r>
              <w:rPr>
                <w:rFonts w:hint="eastAsia" w:ascii="宋体" w:hAnsi="宋体"/>
                <w:color w:val="auto"/>
                <w:szCs w:val="21"/>
                <w:highlight w:val="none"/>
                <w:u w:val="single"/>
              </w:rPr>
              <w:t xml:space="preserve"> </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成员人数为五人或五人以上单数</w:t>
            </w:r>
            <w:r>
              <w:rPr>
                <w:rFonts w:hint="eastAsia" w:ascii="宋体" w:hAnsi="宋体"/>
                <w:color w:val="auto"/>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7532" w:type="dxa"/>
            <w:gridSpan w:val="2"/>
            <w:tcBorders>
              <w:tl2br w:val="nil"/>
              <w:tr2bl w:val="nil"/>
            </w:tcBorders>
            <w:shd w:val="clear" w:color="auto" w:fill="auto"/>
            <w:vAlign w:val="center"/>
          </w:tcPr>
          <w:p>
            <w:pPr>
              <w:jc w:val="both"/>
              <w:rPr>
                <w:rFonts w:ascii="宋体" w:hAnsi="宋体"/>
                <w:b/>
                <w:color w:val="auto"/>
                <w:szCs w:val="21"/>
                <w:highlight w:val="none"/>
              </w:rPr>
            </w:pPr>
            <w:r>
              <w:rPr>
                <w:rFonts w:hint="eastAsia" w:ascii="宋体" w:hAnsi="宋体"/>
                <w:b/>
                <w:color w:val="auto"/>
                <w:szCs w:val="21"/>
                <w:highlight w:val="none"/>
              </w:rPr>
              <w:t>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shd w:val="clear" w:color="auto" w:fill="auto"/>
            <w:vAlign w:val="center"/>
          </w:tcPr>
          <w:p>
            <w:pPr>
              <w:jc w:val="both"/>
              <w:rPr>
                <w:rFonts w:ascii="宋体" w:hAnsi="宋体"/>
                <w:color w:val="auto"/>
                <w:szCs w:val="21"/>
                <w:highlight w:val="none"/>
              </w:rPr>
            </w:pPr>
            <w:r>
              <w:rPr>
                <w:rFonts w:hint="eastAsia" w:ascii="宋体" w:hAnsi="宋体"/>
                <w:color w:val="auto"/>
                <w:szCs w:val="21"/>
                <w:highlight w:val="none"/>
              </w:rPr>
              <w:t>1.履约担保金额为：</w:t>
            </w:r>
            <w:r>
              <w:rPr>
                <w:rFonts w:hint="eastAsia" w:ascii="宋体" w:hAnsi="宋体"/>
                <w:color w:val="auto"/>
                <w:szCs w:val="21"/>
                <w:highlight w:val="none"/>
                <w:u w:val="single"/>
              </w:rPr>
              <w:t xml:space="preserve">     合同金额的10%    。</w:t>
            </w:r>
          </w:p>
          <w:p>
            <w:pPr>
              <w:jc w:val="both"/>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履约保证金账户信息：</w:t>
            </w:r>
          </w:p>
          <w:p>
            <w:pPr>
              <w:ind w:firstLine="420" w:firstLineChars="200"/>
              <w:jc w:val="both"/>
              <w:rPr>
                <w:rFonts w:ascii="宋体" w:hAnsi="宋体"/>
                <w:color w:val="auto"/>
                <w:szCs w:val="21"/>
                <w:highlight w:val="none"/>
              </w:rPr>
            </w:pPr>
            <w:r>
              <w:rPr>
                <w:rFonts w:hint="eastAsia" w:ascii="宋体" w:hAnsi="宋体"/>
                <w:color w:val="auto"/>
                <w:szCs w:val="21"/>
                <w:highlight w:val="none"/>
              </w:rPr>
              <w:t>账户名称：</w:t>
            </w:r>
            <w:r>
              <w:rPr>
                <w:rFonts w:hint="eastAsia" w:hAnsi="宋体" w:cs="宋体"/>
                <w:color w:val="auto"/>
                <w:kern w:val="2"/>
                <w:szCs w:val="21"/>
                <w:highlight w:val="none"/>
                <w:lang w:val="zh-CN"/>
              </w:rPr>
              <w:t xml:space="preserve"> </w:t>
            </w:r>
            <w:r>
              <w:rPr>
                <w:rFonts w:hint="eastAsia" w:hAnsi="宋体" w:cs="宋体"/>
                <w:color w:val="auto"/>
                <w:kern w:val="2"/>
                <w:szCs w:val="21"/>
                <w:highlight w:val="none"/>
                <w:u w:val="single"/>
              </w:rPr>
              <w:t>东莞市大学创新城建设发展有限公司</w:t>
            </w:r>
            <w:r>
              <w:rPr>
                <w:rFonts w:hint="eastAsia" w:hAnsi="宋体" w:cs="宋体"/>
                <w:color w:val="auto"/>
                <w:kern w:val="2"/>
                <w:szCs w:val="21"/>
                <w:highlight w:val="none"/>
                <w:lang w:val="zh-CN"/>
              </w:rPr>
              <w:t>；</w:t>
            </w:r>
          </w:p>
          <w:p>
            <w:pPr>
              <w:ind w:firstLine="420" w:firstLineChars="200"/>
              <w:jc w:val="both"/>
              <w:rPr>
                <w:rFonts w:ascii="宋体" w:hAnsi="宋体"/>
                <w:color w:val="auto"/>
                <w:szCs w:val="21"/>
                <w:highlight w:val="none"/>
              </w:rPr>
            </w:pPr>
            <w:r>
              <w:rPr>
                <w:rFonts w:hint="eastAsia" w:ascii="宋体" w:hAnsi="宋体"/>
                <w:color w:val="auto"/>
                <w:szCs w:val="21"/>
                <w:highlight w:val="none"/>
              </w:rPr>
              <w:t xml:space="preserve">开户银行： </w:t>
            </w:r>
            <w:r>
              <w:rPr>
                <w:rFonts w:hint="eastAsia" w:hAnsi="宋体" w:cs="宋体"/>
                <w:color w:val="auto"/>
                <w:kern w:val="2"/>
                <w:szCs w:val="21"/>
                <w:highlight w:val="none"/>
                <w:u w:val="single"/>
              </w:rPr>
              <w:t>1060 1651 6010 0036 35</w:t>
            </w:r>
            <w:r>
              <w:rPr>
                <w:rFonts w:hint="eastAsia" w:hAnsi="宋体" w:cs="宋体"/>
                <w:color w:val="auto"/>
                <w:kern w:val="2"/>
                <w:szCs w:val="21"/>
                <w:highlight w:val="none"/>
                <w:u w:val="single"/>
                <w:lang w:val="en-US" w:eastAsia="zh-CN"/>
              </w:rPr>
              <w:t xml:space="preserve">      </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u w:val="single"/>
                <w:lang w:val="en-US" w:eastAsia="zh-CN"/>
              </w:rPr>
              <w:t xml:space="preserve">  </w:t>
            </w:r>
            <w:r>
              <w:rPr>
                <w:rFonts w:hint="eastAsia" w:hAnsi="宋体" w:cs="宋体"/>
                <w:color w:val="auto"/>
                <w:kern w:val="2"/>
                <w:szCs w:val="21"/>
                <w:highlight w:val="none"/>
                <w:lang w:val="zh-CN"/>
              </w:rPr>
              <w:t>；</w:t>
            </w:r>
          </w:p>
          <w:p>
            <w:pPr>
              <w:ind w:firstLine="420" w:firstLineChars="200"/>
              <w:jc w:val="both"/>
              <w:rPr>
                <w:rFonts w:ascii="宋体" w:hAnsi="宋体"/>
                <w:color w:val="auto"/>
                <w:szCs w:val="21"/>
                <w:highlight w:val="none"/>
              </w:rPr>
            </w:pPr>
            <w:r>
              <w:rPr>
                <w:rFonts w:hint="eastAsia" w:ascii="宋体" w:hAnsi="宋体"/>
                <w:color w:val="auto"/>
                <w:szCs w:val="21"/>
                <w:highlight w:val="none"/>
              </w:rPr>
              <w:t>银行账号：</w:t>
            </w:r>
            <w:r>
              <w:rPr>
                <w:rFonts w:hint="eastAsia" w:hAnsi="宋体" w:cs="宋体"/>
                <w:color w:val="auto"/>
                <w:kern w:val="2"/>
                <w:szCs w:val="21"/>
                <w:highlight w:val="none"/>
                <w:lang w:val="zh-CN"/>
              </w:rPr>
              <w:t xml:space="preserve"> </w:t>
            </w:r>
            <w:r>
              <w:rPr>
                <w:rFonts w:hint="eastAsia" w:hAnsi="宋体" w:cs="宋体"/>
                <w:color w:val="auto"/>
                <w:kern w:val="2"/>
                <w:szCs w:val="21"/>
                <w:highlight w:val="none"/>
                <w:u w:val="single"/>
              </w:rPr>
              <w:t xml:space="preserve"> 广发银行松山湖支行             </w:t>
            </w:r>
            <w:r>
              <w:rPr>
                <w:rFonts w:hint="eastAsia" w:hAnsi="宋体" w:cs="宋体"/>
                <w:color w:val="auto"/>
                <w:kern w:val="2"/>
                <w:szCs w:val="21"/>
                <w:highlight w:val="none"/>
                <w:lang w:val="zh-CN"/>
              </w:rPr>
              <w:t>；</w:t>
            </w:r>
          </w:p>
          <w:p>
            <w:pPr>
              <w:jc w:val="both"/>
              <w:rPr>
                <w:rFonts w:ascii="宋体" w:hAnsi="宋体"/>
                <w:color w:val="auto"/>
                <w:szCs w:val="21"/>
                <w:highlight w:val="none"/>
              </w:rPr>
            </w:pPr>
            <w:r>
              <w:rPr>
                <w:rFonts w:hint="eastAsia" w:ascii="宋体" w:hAnsi="宋体"/>
                <w:color w:val="auto"/>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pPr>
              <w:jc w:val="both"/>
              <w:rPr>
                <w:rFonts w:ascii="宋体" w:hAnsi="宋体"/>
                <w:color w:val="auto"/>
                <w:szCs w:val="21"/>
                <w:highlight w:val="none"/>
              </w:rPr>
            </w:pPr>
            <w:r>
              <w:rPr>
                <w:rFonts w:hint="eastAsia" w:ascii="宋体" w:hAnsi="宋体"/>
                <w:color w:val="auto"/>
                <w:szCs w:val="21"/>
                <w:highlight w:val="none"/>
              </w:rPr>
              <w:t>4.履约担保期限从合同签订之日起至项目完工验收合格并结算完毕后，经双方签字</w:t>
            </w:r>
            <w:r>
              <w:rPr>
                <w:rFonts w:hint="eastAsia" w:ascii="宋体" w:hAnsi="宋体"/>
                <w:color w:val="auto"/>
                <w:szCs w:val="21"/>
                <w:highlight w:val="none"/>
                <w:u w:val="single"/>
              </w:rPr>
              <w:t xml:space="preserve">  7  </w:t>
            </w:r>
            <w:r>
              <w:rPr>
                <w:rFonts w:hint="eastAsia" w:ascii="宋体" w:hAnsi="宋体"/>
                <w:color w:val="auto"/>
                <w:szCs w:val="21"/>
                <w:highlight w:val="none"/>
              </w:rPr>
              <w:t>天内保持有效。</w:t>
            </w:r>
          </w:p>
          <w:p>
            <w:pPr>
              <w:jc w:val="both"/>
              <w:rPr>
                <w:rFonts w:ascii="宋体" w:hAnsi="宋体"/>
                <w:color w:val="auto"/>
                <w:szCs w:val="21"/>
                <w:highlight w:val="none"/>
              </w:rPr>
            </w:pPr>
            <w:r>
              <w:rPr>
                <w:rFonts w:hint="eastAsia" w:ascii="宋体" w:hAnsi="宋体"/>
                <w:color w:val="auto"/>
                <w:szCs w:val="21"/>
                <w:highlight w:val="none"/>
              </w:rPr>
              <w:t>5、履约担保要求：</w:t>
            </w:r>
          </w:p>
          <w:p>
            <w:pPr>
              <w:jc w:val="both"/>
              <w:rPr>
                <w:rFonts w:ascii="宋体" w:hAnsi="宋体"/>
                <w:color w:val="auto"/>
                <w:szCs w:val="21"/>
                <w:highlight w:val="none"/>
              </w:rPr>
            </w:pPr>
            <w:r>
              <w:rPr>
                <w:rFonts w:hint="eastAsia" w:ascii="宋体" w:hAnsi="宋体"/>
                <w:color w:val="auto"/>
                <w:szCs w:val="21"/>
                <w:highlight w:val="none"/>
              </w:rPr>
              <w:t>（1）履约保函。如果中标人的履约担保是以银行保函形式提供的，则该银行保函应：</w:t>
            </w:r>
          </w:p>
          <w:p>
            <w:pPr>
              <w:jc w:val="both"/>
              <w:rPr>
                <w:rFonts w:ascii="宋体" w:hAnsi="宋体"/>
                <w:color w:val="auto"/>
                <w:szCs w:val="21"/>
                <w:highlight w:val="none"/>
              </w:rPr>
            </w:pPr>
            <w:r>
              <w:rPr>
                <w:rFonts w:hint="eastAsia" w:ascii="宋体" w:hAnsi="宋体"/>
                <w:color w:val="auto"/>
                <w:szCs w:val="21"/>
                <w:highlight w:val="none"/>
              </w:rPr>
              <w:t>①保函应由银行支行或以上银行机构开具，非东莞市行政区内的银行开具的保函要由银行所在地公证部门出具的公证书。</w:t>
            </w:r>
          </w:p>
          <w:p>
            <w:pPr>
              <w:jc w:val="both"/>
              <w:rPr>
                <w:rFonts w:ascii="宋体" w:hAnsi="宋体"/>
                <w:color w:val="auto"/>
                <w:szCs w:val="21"/>
                <w:highlight w:val="none"/>
              </w:rPr>
            </w:pPr>
            <w:r>
              <w:rPr>
                <w:rFonts w:hint="eastAsia" w:ascii="宋体" w:hAnsi="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jc w:val="both"/>
              <w:rPr>
                <w:rFonts w:ascii="宋体" w:hAnsi="宋体"/>
                <w:color w:val="auto"/>
                <w:szCs w:val="21"/>
                <w:highlight w:val="none"/>
              </w:rPr>
            </w:pPr>
            <w:r>
              <w:rPr>
                <w:rFonts w:hint="eastAsia" w:ascii="宋体" w:hAnsi="宋体"/>
                <w:color w:val="auto"/>
                <w:szCs w:val="21"/>
                <w:highlight w:val="none"/>
              </w:rPr>
              <w:t>③履约保函必须打印，手写、涂改无效。</w:t>
            </w:r>
          </w:p>
          <w:p>
            <w:pPr>
              <w:jc w:val="both"/>
              <w:rPr>
                <w:rFonts w:ascii="宋体" w:hAnsi="宋体"/>
                <w:color w:val="auto"/>
                <w:szCs w:val="21"/>
                <w:highlight w:val="none"/>
              </w:rPr>
            </w:pPr>
            <w:r>
              <w:rPr>
                <w:rFonts w:hint="eastAsia" w:ascii="宋体" w:hAnsi="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pPr>
              <w:jc w:val="both"/>
              <w:rPr>
                <w:rFonts w:ascii="宋体" w:hAnsi="宋体"/>
                <w:color w:val="auto"/>
                <w:szCs w:val="21"/>
                <w:highlight w:val="none"/>
              </w:rPr>
            </w:pPr>
            <w:r>
              <w:rPr>
                <w:rFonts w:hint="eastAsia" w:ascii="宋体" w:hAnsi="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jc w:val="both"/>
              <w:rPr>
                <w:rFonts w:ascii="宋体" w:hAnsi="宋体"/>
                <w:color w:val="auto"/>
                <w:szCs w:val="21"/>
                <w:highlight w:val="none"/>
              </w:rPr>
            </w:pPr>
            <w:r>
              <w:rPr>
                <w:rFonts w:hint="eastAsia" w:ascii="宋体" w:hAnsi="宋体"/>
                <w:color w:val="auto"/>
                <w:szCs w:val="21"/>
                <w:highlight w:val="none"/>
              </w:rPr>
              <w:t>（4）为取得履约担保所需的费用，由中标人承担；若工期延误，履约担保时间延长，延长费用由中标人承担。</w:t>
            </w:r>
          </w:p>
          <w:p>
            <w:pPr>
              <w:jc w:val="both"/>
              <w:rPr>
                <w:rFonts w:ascii="宋体" w:hAnsi="宋体"/>
                <w:color w:val="auto"/>
                <w:szCs w:val="21"/>
                <w:highlight w:val="none"/>
              </w:rPr>
            </w:pPr>
            <w:r>
              <w:rPr>
                <w:rFonts w:hint="eastAsia" w:ascii="宋体" w:hAnsi="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jc w:val="both"/>
              <w:rPr>
                <w:rFonts w:ascii="宋体" w:hAnsi="宋体"/>
                <w:color w:val="auto"/>
                <w:szCs w:val="21"/>
                <w:highlight w:val="none"/>
              </w:rPr>
            </w:pPr>
            <w:r>
              <w:rPr>
                <w:rFonts w:hint="eastAsia" w:ascii="宋体" w:hAnsi="宋体"/>
                <w:color w:val="auto"/>
                <w:szCs w:val="21"/>
                <w:highlight w:val="none"/>
              </w:rPr>
              <w:t>（6）下列任何情况发生时，采购人有权行使享有的担保权利：</w:t>
            </w:r>
          </w:p>
          <w:p>
            <w:pPr>
              <w:jc w:val="both"/>
              <w:rPr>
                <w:rFonts w:ascii="宋体" w:hAnsi="宋体"/>
                <w:color w:val="auto"/>
                <w:szCs w:val="21"/>
                <w:highlight w:val="none"/>
              </w:rPr>
            </w:pPr>
            <w:r>
              <w:rPr>
                <w:rFonts w:hint="eastAsia" w:ascii="宋体" w:hAnsi="宋体"/>
                <w:color w:val="auto"/>
                <w:szCs w:val="21"/>
                <w:highlight w:val="none"/>
              </w:rPr>
              <w:t>①中标人将本项目转让给他人，或者在投标文件中未说明，且未经采购人同意，将中标项目分包给他人的；</w:t>
            </w:r>
          </w:p>
          <w:p>
            <w:pPr>
              <w:jc w:val="both"/>
              <w:rPr>
                <w:rFonts w:ascii="宋体" w:hAnsi="宋体"/>
                <w:color w:val="auto"/>
                <w:szCs w:val="21"/>
                <w:highlight w:val="none"/>
              </w:rPr>
            </w:pPr>
            <w:r>
              <w:rPr>
                <w:rFonts w:hint="eastAsia" w:ascii="宋体" w:hAnsi="宋体"/>
                <w:color w:val="auto"/>
                <w:szCs w:val="21"/>
                <w:highlight w:val="none"/>
              </w:rPr>
              <w:t>②中标人在履行采购合同期间，违反有关法律法规的规定及合同约定的条款，损害了采购人的利益。</w:t>
            </w:r>
          </w:p>
          <w:p>
            <w:pPr>
              <w:jc w:val="both"/>
              <w:rPr>
                <w:rFonts w:ascii="宋体" w:hAnsi="宋体"/>
                <w:b/>
                <w:color w:val="auto"/>
                <w:szCs w:val="21"/>
                <w:highlight w:val="none"/>
              </w:rPr>
            </w:pPr>
            <w:r>
              <w:rPr>
                <w:rFonts w:hint="eastAsia" w:ascii="宋体" w:hAnsi="宋体"/>
                <w:color w:val="auto"/>
                <w:szCs w:val="21"/>
                <w:highlight w:val="none"/>
              </w:rPr>
              <w:t>（7）在整个项目验收合格后，中标人向采购人提交退回履约担保的申请，采购人办理履约担保退还手续。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中标服务费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t>中标人应在领取《中标通知书》原件时向采购代理机构一次性支付中标服务费。中标服务费参照国家计委[计价格[2002]1980号]文和国家发改委[发改价格[2011]534号]文及相关规定收取，按差额定率累进法计算，按服务类的70%收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84" w:hRule="atLeast"/>
        </w:trPr>
        <w:tc>
          <w:tcPr>
            <w:tcW w:w="878" w:type="dxa"/>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7532" w:type="dxa"/>
            <w:gridSpan w:val="2"/>
            <w:tcBorders>
              <w:tl2br w:val="nil"/>
              <w:tr2bl w:val="nil"/>
            </w:tcBorders>
            <w:vAlign w:val="center"/>
          </w:tcPr>
          <w:p>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pPr>
        <w:jc w:val="center"/>
        <w:rPr>
          <w:color w:val="auto"/>
          <w:highlight w:val="none"/>
        </w:rPr>
      </w:pPr>
      <w:r>
        <w:rPr>
          <w:rFonts w:hint="eastAsia"/>
          <w:color w:val="auto"/>
          <w:highlight w:val="none"/>
        </w:rPr>
        <w:br w:type="page"/>
      </w:r>
    </w:p>
    <w:p>
      <w:pPr>
        <w:pStyle w:val="7"/>
        <w:spacing w:before="0" w:after="0" w:line="240" w:lineRule="auto"/>
        <w:jc w:val="center"/>
        <w:rPr>
          <w:rFonts w:hAnsi="宋体" w:cs="宋体"/>
          <w:color w:val="auto"/>
          <w:sz w:val="21"/>
          <w:szCs w:val="21"/>
          <w:highlight w:val="none"/>
        </w:rPr>
      </w:pPr>
      <w:bookmarkStart w:id="4" w:name="_Toc1445"/>
      <w:r>
        <w:rPr>
          <w:rFonts w:hint="eastAsia" w:ascii="宋体" w:hAnsi="宋体" w:cs="宋体"/>
          <w:color w:val="auto"/>
          <w:sz w:val="24"/>
          <w:szCs w:val="24"/>
          <w:highlight w:val="none"/>
        </w:rPr>
        <w:t>附表二：商务技术评分及价格权重表（满分100分）</w:t>
      </w:r>
      <w:bookmarkEnd w:id="4"/>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9"/>
        <w:gridCol w:w="734"/>
        <w:gridCol w:w="28"/>
        <w:gridCol w:w="5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609"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461"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商务评审（20分）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9" w:type="dxa"/>
            <w:tcBorders>
              <w:top w:val="single" w:color="auto" w:sz="4" w:space="0"/>
              <w:left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u w:val="single"/>
              </w:rPr>
            </w:pPr>
            <w:r>
              <w:rPr>
                <w:rFonts w:hint="eastAsia" w:ascii="宋体" w:eastAsia="宋体" w:cs="宋体"/>
                <w:color w:val="auto"/>
                <w:sz w:val="21"/>
                <w:szCs w:val="21"/>
                <w:highlight w:val="none"/>
                <w:u w:val="single"/>
              </w:rPr>
              <w:t>企业管理体系</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u w:val="single"/>
              </w:rPr>
            </w:pPr>
            <w:r>
              <w:rPr>
                <w:rFonts w:hint="eastAsia" w:ascii="宋体" w:eastAsia="宋体" w:cs="宋体"/>
                <w:color w:val="auto"/>
                <w:sz w:val="21"/>
                <w:szCs w:val="21"/>
                <w:highlight w:val="none"/>
                <w:u w:val="single"/>
              </w:rPr>
              <w:t>3</w:t>
            </w:r>
          </w:p>
        </w:tc>
        <w:tc>
          <w:tcPr>
            <w:tcW w:w="5461"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420" w:firstLineChars="200"/>
              <w:rPr>
                <w:rFonts w:ascii="宋体" w:eastAsia="宋体" w:cs="宋体"/>
                <w:bCs/>
                <w:color w:val="auto"/>
                <w:sz w:val="21"/>
                <w:szCs w:val="21"/>
                <w:highlight w:val="none"/>
                <w:u w:val="single"/>
              </w:rPr>
            </w:pPr>
            <w:r>
              <w:rPr>
                <w:rFonts w:hint="eastAsia" w:ascii="宋体" w:eastAsia="宋体" w:cs="宋体"/>
                <w:bCs/>
                <w:color w:val="auto"/>
                <w:sz w:val="21"/>
                <w:szCs w:val="21"/>
                <w:highlight w:val="none"/>
                <w:u w:val="single"/>
              </w:rPr>
              <w:t>投标人具有由国家认证认可监督管理部门批准设立的认证机构颁发的有效期内认证证书：</w:t>
            </w:r>
          </w:p>
          <w:p>
            <w:pPr>
              <w:pStyle w:val="44"/>
              <w:spacing w:line="360" w:lineRule="auto"/>
              <w:ind w:firstLine="420" w:firstLineChars="200"/>
              <w:rPr>
                <w:rFonts w:ascii="宋体" w:eastAsia="宋体" w:cs="宋体"/>
                <w:bCs/>
                <w:color w:val="auto"/>
                <w:sz w:val="21"/>
                <w:szCs w:val="21"/>
                <w:highlight w:val="none"/>
                <w:u w:val="single"/>
              </w:rPr>
            </w:pPr>
            <w:r>
              <w:rPr>
                <w:rFonts w:hint="eastAsia" w:ascii="宋体" w:eastAsia="宋体" w:cs="宋体"/>
                <w:bCs/>
                <w:color w:val="auto"/>
                <w:sz w:val="21"/>
                <w:szCs w:val="21"/>
                <w:highlight w:val="none"/>
                <w:u w:val="single"/>
              </w:rPr>
              <w:t>①质量管理体系认证；</w:t>
            </w:r>
          </w:p>
          <w:p>
            <w:pPr>
              <w:pStyle w:val="44"/>
              <w:spacing w:line="360" w:lineRule="auto"/>
              <w:ind w:firstLine="420" w:firstLineChars="200"/>
              <w:rPr>
                <w:rFonts w:ascii="宋体" w:eastAsia="宋体" w:cs="宋体"/>
                <w:bCs/>
                <w:color w:val="auto"/>
                <w:sz w:val="21"/>
                <w:szCs w:val="21"/>
                <w:highlight w:val="none"/>
                <w:u w:val="single"/>
              </w:rPr>
            </w:pPr>
            <w:r>
              <w:rPr>
                <w:rFonts w:hint="eastAsia" w:ascii="宋体" w:eastAsia="宋体" w:cs="宋体"/>
                <w:bCs/>
                <w:color w:val="auto"/>
                <w:sz w:val="21"/>
                <w:szCs w:val="21"/>
                <w:highlight w:val="none"/>
                <w:u w:val="single"/>
              </w:rPr>
              <w:t>②环境管理体系认证；</w:t>
            </w:r>
          </w:p>
          <w:p>
            <w:pPr>
              <w:pStyle w:val="44"/>
              <w:spacing w:line="360" w:lineRule="auto"/>
              <w:ind w:firstLine="420" w:firstLineChars="200"/>
              <w:rPr>
                <w:rFonts w:ascii="宋体" w:eastAsia="宋体" w:cs="宋体"/>
                <w:bCs/>
                <w:color w:val="auto"/>
                <w:sz w:val="21"/>
                <w:szCs w:val="21"/>
                <w:highlight w:val="none"/>
                <w:u w:val="single"/>
              </w:rPr>
            </w:pPr>
            <w:r>
              <w:rPr>
                <w:rFonts w:hint="eastAsia" w:ascii="宋体" w:eastAsia="宋体" w:cs="宋体"/>
                <w:bCs/>
                <w:color w:val="auto"/>
                <w:sz w:val="21"/>
                <w:szCs w:val="21"/>
                <w:highlight w:val="none"/>
                <w:u w:val="single"/>
              </w:rPr>
              <w:t>③职业健康安全管理体系认证；</w:t>
            </w:r>
          </w:p>
          <w:p>
            <w:pPr>
              <w:pStyle w:val="44"/>
              <w:spacing w:line="360" w:lineRule="auto"/>
              <w:ind w:firstLine="420" w:firstLineChars="200"/>
              <w:rPr>
                <w:rFonts w:ascii="宋体" w:eastAsia="宋体" w:cs="宋体"/>
                <w:bCs/>
                <w:color w:val="auto"/>
                <w:sz w:val="21"/>
                <w:szCs w:val="21"/>
                <w:highlight w:val="none"/>
                <w:u w:val="single"/>
              </w:rPr>
            </w:pPr>
            <w:r>
              <w:rPr>
                <w:rFonts w:hint="eastAsia" w:ascii="宋体" w:eastAsia="宋体" w:cs="宋体"/>
                <w:bCs/>
                <w:color w:val="auto"/>
                <w:sz w:val="21"/>
                <w:szCs w:val="21"/>
                <w:highlight w:val="none"/>
                <w:u w:val="single"/>
              </w:rPr>
              <w:t>每提供一项得1分，本项最高得3分。</w:t>
            </w:r>
          </w:p>
          <w:p>
            <w:pPr>
              <w:pStyle w:val="44"/>
              <w:spacing w:line="360" w:lineRule="auto"/>
              <w:ind w:firstLine="422" w:firstLineChars="200"/>
              <w:rPr>
                <w:rFonts w:ascii="宋体" w:eastAsia="宋体" w:cs="宋体"/>
                <w:bCs/>
                <w:color w:val="auto"/>
                <w:sz w:val="21"/>
                <w:szCs w:val="21"/>
                <w:highlight w:val="none"/>
                <w:u w:val="single"/>
                <w:lang w:val="zh-CN"/>
              </w:rPr>
            </w:pPr>
            <w:r>
              <w:rPr>
                <w:rFonts w:hint="eastAsia" w:ascii="宋体" w:eastAsia="宋体" w:cs="宋体"/>
                <w:b/>
                <w:color w:val="auto"/>
                <w:sz w:val="21"/>
                <w:szCs w:val="21"/>
                <w:highlight w:val="none"/>
                <w:u w:val="single"/>
                <w:lang w:val="zh-CN"/>
              </w:rPr>
              <w:t>注：须提供有效证书复印件及全国认证认可信息公共服务平台官网查询截图加盖</w:t>
            </w:r>
            <w:r>
              <w:rPr>
                <w:rFonts w:hint="eastAsia" w:ascii="宋体" w:eastAsia="宋体" w:cs="宋体"/>
                <w:b/>
                <w:color w:val="auto"/>
                <w:sz w:val="21"/>
                <w:szCs w:val="21"/>
                <w:highlight w:val="none"/>
                <w:u w:val="single"/>
              </w:rPr>
              <w:t>投标人</w:t>
            </w:r>
            <w:r>
              <w:rPr>
                <w:rFonts w:hint="eastAsia" w:ascii="宋体" w:eastAsia="宋体" w:cs="宋体"/>
                <w:b/>
                <w:color w:val="auto"/>
                <w:sz w:val="21"/>
                <w:szCs w:val="21"/>
                <w:highlight w:val="none"/>
                <w:u w:val="single"/>
                <w:lang w:val="zh-CN"/>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2</w:t>
            </w:r>
          </w:p>
        </w:tc>
        <w:tc>
          <w:tcPr>
            <w:tcW w:w="1609"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u w:val="single"/>
              </w:rPr>
            </w:pPr>
            <w:r>
              <w:rPr>
                <w:rFonts w:hint="eastAsia" w:ascii="宋体" w:eastAsia="宋体" w:cs="宋体"/>
                <w:color w:val="auto"/>
                <w:sz w:val="21"/>
                <w:szCs w:val="21"/>
                <w:highlight w:val="none"/>
                <w:u w:val="single"/>
              </w:rPr>
              <w:t>拟投入设备情况</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u w:val="single"/>
              </w:rPr>
            </w:pPr>
            <w:r>
              <w:rPr>
                <w:rFonts w:hint="eastAsia" w:ascii="宋体" w:eastAsia="宋体" w:cs="宋体"/>
                <w:color w:val="auto"/>
                <w:sz w:val="21"/>
                <w:szCs w:val="21"/>
                <w:highlight w:val="none"/>
                <w:u w:val="single"/>
              </w:rPr>
              <w:t>3</w:t>
            </w:r>
          </w:p>
        </w:tc>
        <w:tc>
          <w:tcPr>
            <w:tcW w:w="546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snapToGrid/>
              <w:ind w:firstLine="420" w:firstLineChars="200"/>
              <w:rPr>
                <w:rFonts w:hAnsi="宋体" w:cs="宋体"/>
                <w:bCs/>
                <w:color w:val="auto"/>
                <w:szCs w:val="21"/>
                <w:highlight w:val="none"/>
              </w:rPr>
            </w:pPr>
            <w:r>
              <w:rPr>
                <w:rFonts w:hint="eastAsia" w:ascii="宋体" w:hAnsi="宋体" w:cs="宋体"/>
                <w:bCs/>
                <w:color w:val="auto"/>
                <w:kern w:val="2"/>
                <w:szCs w:val="21"/>
                <w:highlight w:val="none"/>
                <w:u w:val="single"/>
              </w:rPr>
              <w:t>根据投标人</w:t>
            </w:r>
            <w:r>
              <w:rPr>
                <w:rFonts w:hint="eastAsia" w:hAnsi="宋体" w:cs="宋体"/>
                <w:bCs/>
                <w:color w:val="auto"/>
                <w:szCs w:val="21"/>
                <w:highlight w:val="none"/>
              </w:rPr>
              <w:t>在满足采购文件用户需求中对拟投入设备要求的前提下，额外增加用户需求中要求的设备或车辆进行评审，每增加1台价值不低于2万元的设备或车辆得0.5分，本项满分3分。</w:t>
            </w:r>
          </w:p>
          <w:p>
            <w:pPr>
              <w:pStyle w:val="44"/>
              <w:spacing w:line="360" w:lineRule="auto"/>
              <w:ind w:firstLine="422" w:firstLineChars="200"/>
              <w:rPr>
                <w:rFonts w:ascii="宋体" w:eastAsia="宋体" w:cs="宋体"/>
                <w:b/>
                <w:color w:val="auto"/>
                <w:sz w:val="21"/>
                <w:szCs w:val="21"/>
                <w:highlight w:val="none"/>
                <w:u w:val="single"/>
              </w:rPr>
            </w:pPr>
            <w:r>
              <w:rPr>
                <w:rFonts w:hint="eastAsia" w:ascii="宋体" w:eastAsia="宋体" w:cs="宋体"/>
                <w:b/>
                <w:color w:val="auto"/>
                <w:sz w:val="21"/>
                <w:szCs w:val="21"/>
                <w:highlight w:val="none"/>
              </w:rPr>
              <w:t>注：以上设备属于自有的，须提供购买发票；租赁的须提供租赁合同</w:t>
            </w:r>
            <w:r>
              <w:rPr>
                <w:rFonts w:hint="eastAsia" w:ascii="宋体" w:eastAsia="宋体" w:cs="宋体"/>
                <w:b/>
                <w:color w:val="auto"/>
                <w:sz w:val="21"/>
                <w:szCs w:val="21"/>
                <w:highlight w:val="none"/>
                <w:lang w:eastAsia="zh-CN"/>
              </w:rPr>
              <w:t>及购买发票</w:t>
            </w:r>
            <w:r>
              <w:rPr>
                <w:rFonts w:hint="eastAsia" w:ascii="宋体" w:eastAsia="宋体" w:cs="宋体"/>
                <w:b/>
                <w:color w:val="auto"/>
                <w:sz w:val="21"/>
                <w:szCs w:val="21"/>
                <w:highlight w:val="none"/>
              </w:rPr>
              <w:t>；上述资料须附相应的复印件，并盖投标人公章。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3</w:t>
            </w:r>
          </w:p>
        </w:tc>
        <w:tc>
          <w:tcPr>
            <w:tcW w:w="1609"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u w:val="single"/>
              </w:rPr>
            </w:pPr>
            <w:r>
              <w:rPr>
                <w:rFonts w:hint="eastAsia" w:ascii="宋体" w:eastAsia="宋体" w:cs="宋体"/>
                <w:color w:val="auto"/>
                <w:sz w:val="21"/>
                <w:szCs w:val="21"/>
                <w:highlight w:val="none"/>
                <w:u w:val="single"/>
              </w:rPr>
              <w:t>服务时间</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u w:val="single"/>
              </w:rPr>
            </w:pPr>
            <w:r>
              <w:rPr>
                <w:rFonts w:hint="eastAsia" w:ascii="宋体" w:eastAsia="宋体" w:cs="宋体"/>
                <w:color w:val="auto"/>
                <w:sz w:val="21"/>
                <w:szCs w:val="21"/>
                <w:highlight w:val="none"/>
                <w:u w:val="single"/>
              </w:rPr>
              <w:t>2</w:t>
            </w:r>
          </w:p>
        </w:tc>
        <w:tc>
          <w:tcPr>
            <w:tcW w:w="546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snapToGrid/>
              <w:ind w:firstLine="420" w:firstLineChars="200"/>
              <w:rPr>
                <w:rFonts w:hAnsi="宋体" w:cs="宋体"/>
                <w:bCs/>
                <w:color w:val="auto"/>
                <w:szCs w:val="21"/>
                <w:highlight w:val="none"/>
              </w:rPr>
            </w:pPr>
            <w:r>
              <w:rPr>
                <w:rFonts w:hint="eastAsia" w:ascii="宋体" w:hAnsi="宋体" w:cs="宋体"/>
                <w:bCs/>
                <w:color w:val="auto"/>
                <w:kern w:val="2"/>
                <w:szCs w:val="21"/>
                <w:highlight w:val="none"/>
                <w:u w:val="single"/>
              </w:rPr>
              <w:t>根据投标人</w:t>
            </w:r>
            <w:r>
              <w:rPr>
                <w:rFonts w:hint="eastAsia" w:hAnsi="宋体" w:cs="宋体"/>
                <w:bCs/>
                <w:color w:val="auto"/>
                <w:szCs w:val="21"/>
                <w:highlight w:val="none"/>
              </w:rPr>
              <w:t>在满足采购文件用户需求中对每日的服务时间要求（</w:t>
            </w:r>
            <w:r>
              <w:rPr>
                <w:rFonts w:hint="eastAsia" w:ascii="宋体" w:hAnsi="宋体"/>
                <w:bCs/>
                <w:color w:val="auto"/>
                <w:szCs w:val="21"/>
                <w:highlight w:val="none"/>
              </w:rPr>
              <w:t>服务时间07：30-17：30</w:t>
            </w:r>
            <w:r>
              <w:rPr>
                <w:rFonts w:hint="eastAsia" w:hAnsi="宋体" w:cs="宋体"/>
                <w:bCs/>
                <w:color w:val="auto"/>
                <w:szCs w:val="21"/>
                <w:highlight w:val="none"/>
              </w:rPr>
              <w:t>）的前提下，增加服务时间的情况进行评审：每日服务时间每增加1小时，得1分，本项满分2分。</w:t>
            </w:r>
          </w:p>
          <w:p>
            <w:pPr>
              <w:pStyle w:val="44"/>
              <w:spacing w:line="360" w:lineRule="auto"/>
              <w:ind w:firstLine="422" w:firstLineChars="200"/>
              <w:rPr>
                <w:rFonts w:ascii="宋体" w:eastAsia="宋体" w:cs="宋体"/>
                <w:bCs/>
                <w:color w:val="auto"/>
                <w:sz w:val="21"/>
                <w:szCs w:val="21"/>
                <w:highlight w:val="none"/>
              </w:rPr>
            </w:pPr>
            <w:r>
              <w:rPr>
                <w:rFonts w:hint="eastAsia" w:ascii="宋体" w:eastAsia="宋体" w:cs="宋体"/>
                <w:b/>
                <w:color w:val="auto"/>
                <w:sz w:val="21"/>
                <w:szCs w:val="21"/>
                <w:highlight w:val="none"/>
              </w:rPr>
              <w:t>注：须提供单独承诺函加盖投标人公章，承诺函形式自拟，未提供或未按要求提供的不得分。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4</w:t>
            </w:r>
          </w:p>
        </w:tc>
        <w:tc>
          <w:tcPr>
            <w:tcW w:w="1609"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u w:val="single"/>
              </w:rPr>
            </w:pPr>
            <w:r>
              <w:rPr>
                <w:rFonts w:hint="eastAsia" w:ascii="宋体" w:eastAsia="宋体" w:cs="宋体"/>
                <w:color w:val="auto"/>
                <w:sz w:val="21"/>
                <w:szCs w:val="21"/>
                <w:highlight w:val="none"/>
                <w:u w:val="single"/>
              </w:rPr>
              <w:t>业绩</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highlight w:val="none"/>
                <w:u w:val="single"/>
              </w:rPr>
            </w:pPr>
            <w:r>
              <w:rPr>
                <w:rFonts w:hint="eastAsia" w:ascii="宋体" w:cs="宋体"/>
                <w:color w:val="auto"/>
                <w:szCs w:val="21"/>
                <w:highlight w:val="none"/>
                <w:u w:val="single"/>
              </w:rPr>
              <w:t>12</w:t>
            </w:r>
          </w:p>
        </w:tc>
        <w:tc>
          <w:tcPr>
            <w:tcW w:w="5461"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420" w:firstLineChars="200"/>
              <w:rPr>
                <w:rFonts w:ascii="宋体" w:eastAsia="宋体" w:cs="宋体"/>
                <w:bCs/>
                <w:color w:val="auto"/>
                <w:sz w:val="21"/>
                <w:szCs w:val="21"/>
                <w:highlight w:val="none"/>
                <w:u w:val="single"/>
              </w:rPr>
            </w:pPr>
            <w:r>
              <w:rPr>
                <w:rFonts w:hint="eastAsia" w:ascii="宋体" w:eastAsia="宋体" w:cs="宋体"/>
                <w:bCs/>
                <w:color w:val="auto"/>
                <w:sz w:val="21"/>
                <w:szCs w:val="21"/>
                <w:highlight w:val="none"/>
                <w:u w:val="single"/>
              </w:rPr>
              <w:t>根据投标人2018年1月1日至今完成的同类型（酒店、写字楼、综合体）类合同金额200万元及以上的保洁服务项目，每提供一个得4分，本项最高得12分。</w:t>
            </w:r>
          </w:p>
          <w:p>
            <w:pPr>
              <w:pStyle w:val="44"/>
              <w:spacing w:line="360" w:lineRule="auto"/>
              <w:ind w:firstLine="422" w:firstLineChars="200"/>
              <w:rPr>
                <w:rFonts w:ascii="宋体" w:eastAsia="宋体" w:cs="宋体"/>
                <w:bCs/>
                <w:color w:val="auto"/>
                <w:sz w:val="21"/>
                <w:szCs w:val="21"/>
                <w:highlight w:val="none"/>
                <w:u w:val="single"/>
                <w:lang w:val="zh-CN"/>
              </w:rPr>
            </w:pPr>
            <w:r>
              <w:rPr>
                <w:rFonts w:hint="eastAsia" w:ascii="宋体" w:eastAsia="宋体" w:cs="宋体"/>
                <w:b/>
                <w:color w:val="auto"/>
                <w:sz w:val="21"/>
                <w:szCs w:val="21"/>
                <w:highlight w:val="none"/>
                <w:u w:val="single"/>
                <w:lang w:val="zh-CN"/>
              </w:rPr>
              <w:t>注：①须提供合同</w:t>
            </w:r>
            <w:r>
              <w:rPr>
                <w:rFonts w:hint="eastAsia" w:ascii="宋体" w:eastAsia="宋体" w:cs="宋体"/>
                <w:b/>
                <w:color w:val="auto"/>
                <w:sz w:val="21"/>
                <w:szCs w:val="21"/>
                <w:highlight w:val="none"/>
                <w:u w:val="single"/>
              </w:rPr>
              <w:t>关键页</w:t>
            </w:r>
            <w:r>
              <w:rPr>
                <w:rFonts w:hint="eastAsia" w:ascii="宋体" w:eastAsia="宋体" w:cs="宋体"/>
                <w:b/>
                <w:color w:val="auto"/>
                <w:sz w:val="21"/>
                <w:szCs w:val="21"/>
                <w:highlight w:val="none"/>
                <w:u w:val="single"/>
                <w:lang w:val="zh-CN"/>
              </w:rPr>
              <w:t>复印件（包含但不限于合同首页、合同金额页、合同签字页等）加盖投标人公章，日期以合同签订时间为准；②</w:t>
            </w:r>
            <w:r>
              <w:rPr>
                <w:rFonts w:hint="eastAsia" w:ascii="宋体" w:eastAsia="宋体" w:cs="宋体"/>
                <w:b/>
                <w:color w:val="auto"/>
                <w:sz w:val="21"/>
                <w:szCs w:val="21"/>
                <w:highlight w:val="none"/>
                <w:u w:val="single"/>
              </w:rPr>
              <w:t>该合同期内任意一期</w:t>
            </w:r>
            <w:r>
              <w:rPr>
                <w:rFonts w:hint="eastAsia" w:ascii="宋体" w:eastAsia="宋体" w:cs="宋体"/>
                <w:b/>
                <w:color w:val="auto"/>
                <w:sz w:val="21"/>
                <w:szCs w:val="21"/>
                <w:highlight w:val="none"/>
                <w:u w:val="single"/>
                <w:lang w:val="zh-CN"/>
              </w:rPr>
              <w:t>发票</w:t>
            </w:r>
            <w:r>
              <w:rPr>
                <w:rFonts w:hint="eastAsia" w:ascii="宋体" w:eastAsia="宋体" w:cs="宋体"/>
                <w:b/>
                <w:color w:val="auto"/>
                <w:sz w:val="21"/>
                <w:szCs w:val="21"/>
                <w:highlight w:val="none"/>
                <w:u w:val="single"/>
              </w:rPr>
              <w:t>复印件并加盖投标人公章</w:t>
            </w:r>
            <w:r>
              <w:rPr>
                <w:rFonts w:hint="eastAsia" w:ascii="宋体" w:eastAsia="宋体" w:cs="宋体"/>
                <w:b/>
                <w:color w:val="auto"/>
                <w:sz w:val="21"/>
                <w:szCs w:val="21"/>
                <w:highlight w:val="none"/>
                <w:u w:val="singl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b/>
                <w:bCs/>
                <w:color w:val="auto"/>
                <w:sz w:val="21"/>
                <w:szCs w:val="21"/>
                <w:highlight w:val="none"/>
              </w:rPr>
              <w:t>技术评审（3</w:t>
            </w:r>
            <w:r>
              <w:rPr>
                <w:rFonts w:ascii="宋体" w:eastAsia="宋体" w:cs="宋体"/>
                <w:b/>
                <w:bCs/>
                <w:color w:val="auto"/>
                <w:sz w:val="21"/>
                <w:szCs w:val="21"/>
                <w:highlight w:val="none"/>
              </w:rPr>
              <w:t>0</w:t>
            </w:r>
            <w:r>
              <w:rPr>
                <w:rFonts w:hint="eastAsia" w:asci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u w:val="single"/>
              </w:rPr>
            </w:pPr>
            <w:r>
              <w:rPr>
                <w:rFonts w:hint="eastAsia" w:hAnsi="宋体"/>
                <w:color w:val="auto"/>
                <w:szCs w:val="21"/>
                <w:highlight w:val="none"/>
              </w:rPr>
              <w:t>总体管理服务方案</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hAnsi="宋体"/>
                <w:color w:val="auto"/>
                <w:szCs w:val="21"/>
                <w:highlight w:val="none"/>
              </w:rPr>
              <w:t>8</w:t>
            </w:r>
            <w:r>
              <w:rPr>
                <w:rFonts w:hint="eastAsia" w:hAnsi="宋体"/>
                <w:color w:val="auto"/>
                <w:szCs w:val="21"/>
                <w:highlight w:val="none"/>
                <w:lang w:val="zh-CN"/>
              </w:rPr>
              <w:t>分</w:t>
            </w:r>
          </w:p>
        </w:tc>
        <w:tc>
          <w:tcPr>
            <w:tcW w:w="5461" w:type="dxa"/>
            <w:tcBorders>
              <w:top w:val="single" w:color="auto" w:sz="4" w:space="0"/>
              <w:left w:val="single" w:color="auto" w:sz="4" w:space="0"/>
              <w:bottom w:val="single" w:color="auto" w:sz="4" w:space="0"/>
              <w:right w:val="single" w:color="auto" w:sz="4" w:space="0"/>
            </w:tcBorders>
            <w:vAlign w:val="center"/>
          </w:tcPr>
          <w:p>
            <w:pPr>
              <w:rPr>
                <w:rFonts w:hAnsi="宋体"/>
                <w:color w:val="auto"/>
                <w:szCs w:val="21"/>
                <w:highlight w:val="none"/>
                <w:lang w:val="zh-CN"/>
              </w:rPr>
            </w:pPr>
            <w:r>
              <w:rPr>
                <w:rFonts w:hint="eastAsia" w:hAnsi="宋体"/>
                <w:color w:val="auto"/>
                <w:szCs w:val="21"/>
                <w:highlight w:val="none"/>
                <w:lang w:val="zh-CN"/>
              </w:rPr>
              <w:t>根据投标人总体管理服务方案（包括但不限于地面养护技术方案、地毯清洁技术方案、电梯清洁技术方案、垃圾清理方案、公共场所卫生保洁、消毒、除味技术方案、水景清洗方案、投诉处理方案、员工培训方案）的科学性、合理性以及可行性进行综合评审：</w:t>
            </w:r>
          </w:p>
          <w:p>
            <w:pPr>
              <w:rPr>
                <w:rFonts w:hAnsi="宋体"/>
                <w:color w:val="auto"/>
                <w:szCs w:val="21"/>
                <w:highlight w:val="none"/>
                <w:lang w:val="zh-CN"/>
              </w:rPr>
            </w:pPr>
            <w:r>
              <w:rPr>
                <w:rFonts w:hint="eastAsia" w:hAnsi="宋体"/>
                <w:color w:val="auto"/>
                <w:szCs w:val="21"/>
                <w:highlight w:val="none"/>
                <w:lang w:val="zh-CN"/>
              </w:rPr>
              <w:t>①对用户需求的响应、理解程度，对各项服务方案、管理要求、安全文明措施等方案详细可行，优于以上提出的要求，得</w:t>
            </w:r>
            <w:r>
              <w:rPr>
                <w:rFonts w:hint="eastAsia" w:hAnsi="宋体"/>
                <w:color w:val="auto"/>
                <w:szCs w:val="21"/>
                <w:highlight w:val="none"/>
              </w:rPr>
              <w:t>8</w:t>
            </w:r>
            <w:r>
              <w:rPr>
                <w:rFonts w:hint="eastAsia" w:hAnsi="宋体"/>
                <w:color w:val="auto"/>
                <w:szCs w:val="21"/>
                <w:highlight w:val="none"/>
                <w:lang w:val="zh-CN"/>
              </w:rPr>
              <w:t>分；</w:t>
            </w:r>
          </w:p>
          <w:p>
            <w:pPr>
              <w:rPr>
                <w:rFonts w:hAnsi="宋体"/>
                <w:color w:val="auto"/>
                <w:szCs w:val="21"/>
                <w:highlight w:val="none"/>
                <w:lang w:val="zh-CN"/>
              </w:rPr>
            </w:pPr>
            <w:r>
              <w:rPr>
                <w:rFonts w:hint="eastAsia" w:hAnsi="宋体"/>
                <w:color w:val="auto"/>
                <w:szCs w:val="21"/>
                <w:highlight w:val="none"/>
                <w:lang w:val="zh-CN"/>
              </w:rPr>
              <w:t>②对用户需求的响应、理解程度，对各项服务方案、管理要求、安全文明措施等方案基本可行，基本达到要求，得</w:t>
            </w:r>
            <w:r>
              <w:rPr>
                <w:rFonts w:hint="eastAsia" w:hAnsi="宋体"/>
                <w:color w:val="auto"/>
                <w:szCs w:val="21"/>
                <w:highlight w:val="none"/>
              </w:rPr>
              <w:t>5</w:t>
            </w:r>
            <w:r>
              <w:rPr>
                <w:rFonts w:hint="eastAsia" w:hAnsi="宋体"/>
                <w:color w:val="auto"/>
                <w:szCs w:val="21"/>
                <w:highlight w:val="none"/>
                <w:lang w:val="zh-CN"/>
              </w:rPr>
              <w:t>分；</w:t>
            </w:r>
          </w:p>
          <w:p>
            <w:pPr>
              <w:rPr>
                <w:rFonts w:hAnsi="宋体"/>
                <w:color w:val="auto"/>
                <w:szCs w:val="21"/>
                <w:highlight w:val="none"/>
                <w:lang w:val="zh-CN"/>
              </w:rPr>
            </w:pPr>
            <w:r>
              <w:rPr>
                <w:rFonts w:hint="eastAsia" w:hAnsi="宋体"/>
                <w:color w:val="auto"/>
                <w:szCs w:val="21"/>
                <w:highlight w:val="none"/>
              </w:rPr>
              <w:t>③</w:t>
            </w:r>
            <w:r>
              <w:rPr>
                <w:rFonts w:hint="eastAsia" w:hAnsi="宋体"/>
                <w:color w:val="auto"/>
                <w:szCs w:val="21"/>
                <w:highlight w:val="none"/>
                <w:lang w:val="zh-CN"/>
              </w:rPr>
              <w:t>项目方案不完整，实施方法不当的，得</w:t>
            </w:r>
            <w:r>
              <w:rPr>
                <w:rFonts w:hint="eastAsia" w:hAnsi="宋体"/>
                <w:color w:val="auto"/>
                <w:szCs w:val="21"/>
                <w:highlight w:val="none"/>
              </w:rPr>
              <w:t>2</w:t>
            </w:r>
            <w:r>
              <w:rPr>
                <w:rFonts w:hint="eastAsia" w:hAnsi="宋体"/>
                <w:color w:val="auto"/>
                <w:szCs w:val="21"/>
                <w:highlight w:val="none"/>
                <w:lang w:val="zh-CN"/>
              </w:rPr>
              <w:t xml:space="preserve">分； </w:t>
            </w:r>
          </w:p>
          <w:p>
            <w:pPr>
              <w:rPr>
                <w:color w:val="auto"/>
                <w:szCs w:val="21"/>
                <w:highlight w:val="none"/>
              </w:rPr>
            </w:pPr>
            <w:r>
              <w:rPr>
                <w:rFonts w:hint="eastAsia" w:hAnsi="宋体"/>
                <w:color w:val="auto"/>
                <w:szCs w:val="21"/>
                <w:highlight w:val="none"/>
                <w:lang w:val="zh-CN"/>
              </w:rPr>
              <w:t>④未提供不得分。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2</w:t>
            </w:r>
          </w:p>
        </w:tc>
        <w:tc>
          <w:tcPr>
            <w:tcW w:w="1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u w:val="single"/>
              </w:rPr>
            </w:pPr>
            <w:r>
              <w:rPr>
                <w:rFonts w:hint="eastAsia" w:hAnsi="宋体"/>
                <w:color w:val="auto"/>
                <w:szCs w:val="21"/>
                <w:highlight w:val="none"/>
              </w:rPr>
              <w:t>保洁实施方案</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hAnsi="宋体"/>
                <w:color w:val="auto"/>
                <w:szCs w:val="21"/>
                <w:highlight w:val="none"/>
              </w:rPr>
              <w:t>6分</w:t>
            </w:r>
          </w:p>
        </w:tc>
        <w:tc>
          <w:tcPr>
            <w:tcW w:w="5461" w:type="dxa"/>
            <w:tcBorders>
              <w:top w:val="single" w:color="auto" w:sz="4" w:space="0"/>
              <w:left w:val="single" w:color="auto" w:sz="4" w:space="0"/>
              <w:bottom w:val="single" w:color="auto" w:sz="4" w:space="0"/>
              <w:right w:val="single" w:color="auto" w:sz="4" w:space="0"/>
            </w:tcBorders>
            <w:vAlign w:val="center"/>
          </w:tcPr>
          <w:p>
            <w:pPr>
              <w:rPr>
                <w:rFonts w:hAnsi="宋体"/>
                <w:color w:val="auto"/>
                <w:szCs w:val="21"/>
                <w:highlight w:val="none"/>
              </w:rPr>
            </w:pPr>
            <w:r>
              <w:rPr>
                <w:rFonts w:hint="eastAsia" w:hAnsi="宋体"/>
                <w:color w:val="auto"/>
                <w:szCs w:val="21"/>
                <w:highlight w:val="none"/>
              </w:rPr>
              <w:t>根据投标人制定的保洁实施方案（包括但不限于公共环境卫生保洁、</w:t>
            </w:r>
            <w:r>
              <w:rPr>
                <w:rFonts w:hint="eastAsia" w:hAnsi="宋体"/>
                <w:color w:val="auto"/>
                <w:szCs w:val="21"/>
                <w:highlight w:val="none"/>
                <w:lang w:val="zh-CN"/>
              </w:rPr>
              <w:t>高区保洁、</w:t>
            </w:r>
            <w:r>
              <w:rPr>
                <w:rFonts w:hint="eastAsia" w:hAnsi="宋体"/>
                <w:color w:val="auto"/>
                <w:szCs w:val="21"/>
                <w:highlight w:val="none"/>
              </w:rPr>
              <w:t>24小时保洁安排、垃圾收集、机械智能化、巡查监督、有关设施维护、保洁值班制度等）的针对性、可行性、科学性等进行综合评审：</w:t>
            </w:r>
          </w:p>
          <w:p>
            <w:pPr>
              <w:rPr>
                <w:rFonts w:hAnsi="宋体"/>
                <w:color w:val="auto"/>
                <w:szCs w:val="21"/>
                <w:highlight w:val="none"/>
              </w:rPr>
            </w:pPr>
            <w:r>
              <w:rPr>
                <w:rFonts w:hint="eastAsia" w:hAnsi="宋体"/>
                <w:color w:val="auto"/>
                <w:szCs w:val="21"/>
                <w:highlight w:val="none"/>
              </w:rPr>
              <w:t xml:space="preserve">①保洁实施方案详细全面，可行性、科学性强，得6分； </w:t>
            </w:r>
          </w:p>
          <w:p>
            <w:pPr>
              <w:rPr>
                <w:rFonts w:hAnsi="宋体"/>
                <w:color w:val="auto"/>
                <w:szCs w:val="21"/>
                <w:highlight w:val="none"/>
              </w:rPr>
            </w:pPr>
            <w:r>
              <w:rPr>
                <w:rFonts w:hint="eastAsia" w:hAnsi="宋体"/>
                <w:color w:val="auto"/>
                <w:szCs w:val="21"/>
                <w:highlight w:val="none"/>
              </w:rPr>
              <w:t xml:space="preserve">②保洁实施方案基本有针对性，可行性一般，得3分； </w:t>
            </w:r>
          </w:p>
          <w:p>
            <w:pPr>
              <w:rPr>
                <w:rFonts w:hAnsi="宋体"/>
                <w:color w:val="auto"/>
                <w:szCs w:val="21"/>
                <w:highlight w:val="none"/>
              </w:rPr>
            </w:pPr>
            <w:r>
              <w:rPr>
                <w:rFonts w:hint="eastAsia" w:hAnsi="宋体"/>
                <w:color w:val="auto"/>
                <w:szCs w:val="21"/>
                <w:highlight w:val="none"/>
              </w:rPr>
              <w:t xml:space="preserve">③保洁实施方案不完整，不可行的，得1分； </w:t>
            </w:r>
          </w:p>
          <w:p>
            <w:pPr>
              <w:rPr>
                <w:rFonts w:ascii="宋体" w:hAnsi="宋体" w:cs="宋体"/>
                <w:color w:val="auto"/>
                <w:szCs w:val="21"/>
                <w:highlight w:val="none"/>
                <w:u w:val="single"/>
                <w:lang w:val="zh-CN"/>
              </w:rPr>
            </w:pPr>
            <w:r>
              <w:rPr>
                <w:rFonts w:hint="eastAsia" w:hAnsi="宋体"/>
                <w:color w:val="auto"/>
                <w:szCs w:val="21"/>
                <w:highlight w:val="none"/>
              </w:rPr>
              <w:t>④未提供不得分。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3</w:t>
            </w:r>
          </w:p>
        </w:tc>
        <w:tc>
          <w:tcPr>
            <w:tcW w:w="1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u w:val="single"/>
              </w:rPr>
            </w:pPr>
            <w:r>
              <w:rPr>
                <w:rFonts w:hint="eastAsia" w:hAnsi="宋体"/>
                <w:color w:val="auto"/>
                <w:szCs w:val="21"/>
                <w:highlight w:val="none"/>
                <w:lang w:val="zh-CN"/>
              </w:rPr>
              <w:t>服务质量控制方案</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86"/>
              <w:keepNext w:val="0"/>
              <w:tabs>
                <w:tab w:val="left" w:pos="585"/>
                <w:tab w:val="left" w:pos="680"/>
              </w:tabs>
              <w:spacing w:after="48"/>
              <w:jc w:val="center"/>
              <w:rPr>
                <w:rFonts w:ascii="宋体"/>
                <w:color w:val="auto"/>
                <w:szCs w:val="21"/>
                <w:highlight w:val="none"/>
              </w:rPr>
            </w:pPr>
            <w:r>
              <w:rPr>
                <w:rFonts w:hint="eastAsia" w:ascii="宋体"/>
                <w:color w:val="auto"/>
                <w:szCs w:val="21"/>
                <w:highlight w:val="none"/>
              </w:rPr>
              <w:t>6分</w:t>
            </w:r>
          </w:p>
        </w:tc>
        <w:tc>
          <w:tcPr>
            <w:tcW w:w="5461" w:type="dxa"/>
            <w:tcBorders>
              <w:top w:val="single" w:color="auto" w:sz="4" w:space="0"/>
              <w:left w:val="single" w:color="auto" w:sz="4" w:space="0"/>
              <w:bottom w:val="single" w:color="auto" w:sz="4" w:space="0"/>
              <w:right w:val="single" w:color="auto" w:sz="4" w:space="0"/>
            </w:tcBorders>
            <w:vAlign w:val="center"/>
          </w:tcPr>
          <w:p>
            <w:pPr>
              <w:spacing w:before="36" w:beforeLines="10" w:after="30"/>
              <w:rPr>
                <w:rFonts w:hAnsi="宋体"/>
                <w:color w:val="auto"/>
                <w:szCs w:val="21"/>
                <w:highlight w:val="none"/>
                <w:lang w:val="zh-CN"/>
              </w:rPr>
            </w:pPr>
            <w:r>
              <w:rPr>
                <w:rFonts w:hint="eastAsia" w:hAnsi="宋体"/>
                <w:color w:val="auto"/>
                <w:szCs w:val="21"/>
                <w:highlight w:val="none"/>
                <w:lang w:val="zh-CN"/>
              </w:rPr>
              <w:t>根据投标人制定的服务质量控制方案（包括但不限于管理服务质量指标、日常服务质量控制流程、作业频次记录及质量考核等情况）的科学性、合理性以及可行性进行综合评审：</w:t>
            </w:r>
          </w:p>
          <w:p>
            <w:pPr>
              <w:spacing w:before="36" w:beforeLines="10" w:after="30"/>
              <w:rPr>
                <w:rFonts w:hAnsi="宋体"/>
                <w:color w:val="auto"/>
                <w:szCs w:val="21"/>
                <w:highlight w:val="none"/>
                <w:lang w:val="zh-CN"/>
              </w:rPr>
            </w:pPr>
            <w:r>
              <w:rPr>
                <w:rFonts w:hint="eastAsia" w:hAnsi="宋体"/>
                <w:color w:val="auto"/>
                <w:szCs w:val="21"/>
                <w:highlight w:val="none"/>
              </w:rPr>
              <w:t>①</w:t>
            </w:r>
            <w:r>
              <w:rPr>
                <w:rFonts w:hint="eastAsia" w:hAnsi="宋体"/>
                <w:color w:val="auto"/>
                <w:szCs w:val="21"/>
                <w:highlight w:val="none"/>
                <w:lang w:val="zh-CN"/>
              </w:rPr>
              <w:t>服务质量指标明确、质量考核制度健全，方案全面详细，可行性强，得</w:t>
            </w:r>
            <w:r>
              <w:rPr>
                <w:rFonts w:hint="eastAsia" w:hAnsi="宋体"/>
                <w:color w:val="auto"/>
                <w:szCs w:val="21"/>
                <w:highlight w:val="none"/>
              </w:rPr>
              <w:t>6</w:t>
            </w:r>
            <w:r>
              <w:rPr>
                <w:rFonts w:hint="eastAsia" w:hAnsi="宋体"/>
                <w:color w:val="auto"/>
                <w:szCs w:val="21"/>
                <w:highlight w:val="none"/>
                <w:lang w:val="zh-CN"/>
              </w:rPr>
              <w:t xml:space="preserve">分； </w:t>
            </w:r>
          </w:p>
          <w:p>
            <w:pPr>
              <w:spacing w:before="36" w:beforeLines="10" w:after="30"/>
              <w:rPr>
                <w:rFonts w:hAnsi="宋体"/>
                <w:color w:val="auto"/>
                <w:szCs w:val="21"/>
                <w:highlight w:val="none"/>
                <w:lang w:val="zh-CN"/>
              </w:rPr>
            </w:pPr>
            <w:r>
              <w:rPr>
                <w:rFonts w:hint="eastAsia" w:hAnsi="宋体"/>
                <w:color w:val="auto"/>
                <w:szCs w:val="21"/>
                <w:highlight w:val="none"/>
              </w:rPr>
              <w:t>②</w:t>
            </w:r>
            <w:r>
              <w:rPr>
                <w:rFonts w:hint="eastAsia" w:hAnsi="宋体"/>
                <w:color w:val="auto"/>
                <w:szCs w:val="21"/>
                <w:highlight w:val="none"/>
                <w:lang w:val="zh-CN"/>
              </w:rPr>
              <w:t>服务质量指标基本明确、质量考核制度基本健全，方案基本可行，得</w:t>
            </w:r>
            <w:r>
              <w:rPr>
                <w:rFonts w:hint="eastAsia" w:hAnsi="宋体"/>
                <w:color w:val="auto"/>
                <w:szCs w:val="21"/>
                <w:highlight w:val="none"/>
              </w:rPr>
              <w:t>3</w:t>
            </w:r>
            <w:r>
              <w:rPr>
                <w:rFonts w:hint="eastAsia" w:hAnsi="宋体"/>
                <w:color w:val="auto"/>
                <w:szCs w:val="21"/>
                <w:highlight w:val="none"/>
                <w:lang w:val="zh-CN"/>
              </w:rPr>
              <w:t xml:space="preserve">分； </w:t>
            </w:r>
          </w:p>
          <w:p>
            <w:pPr>
              <w:spacing w:before="36" w:beforeLines="10" w:after="30"/>
              <w:rPr>
                <w:rFonts w:hAnsi="宋体"/>
                <w:color w:val="auto"/>
                <w:szCs w:val="21"/>
                <w:highlight w:val="none"/>
                <w:lang w:val="zh-CN"/>
              </w:rPr>
            </w:pPr>
            <w:r>
              <w:rPr>
                <w:rFonts w:hint="eastAsia" w:hAnsi="宋体"/>
                <w:color w:val="auto"/>
                <w:szCs w:val="21"/>
                <w:highlight w:val="none"/>
              </w:rPr>
              <w:t>③</w:t>
            </w:r>
            <w:r>
              <w:rPr>
                <w:rFonts w:hint="eastAsia" w:hAnsi="宋体"/>
                <w:color w:val="auto"/>
                <w:szCs w:val="21"/>
                <w:highlight w:val="none"/>
                <w:lang w:val="zh-CN"/>
              </w:rPr>
              <w:t>服务质量不明确、质量考核制度不健全，方案不可行得</w:t>
            </w:r>
            <w:r>
              <w:rPr>
                <w:rFonts w:hint="eastAsia" w:hAnsi="宋体"/>
                <w:color w:val="auto"/>
                <w:szCs w:val="21"/>
                <w:highlight w:val="none"/>
              </w:rPr>
              <w:t>1</w:t>
            </w:r>
            <w:r>
              <w:rPr>
                <w:rFonts w:hint="eastAsia" w:hAnsi="宋体"/>
                <w:color w:val="auto"/>
                <w:szCs w:val="21"/>
                <w:highlight w:val="none"/>
                <w:lang w:val="zh-CN"/>
              </w:rPr>
              <w:t xml:space="preserve">分； </w:t>
            </w:r>
          </w:p>
          <w:p>
            <w:pPr>
              <w:spacing w:before="36" w:beforeLines="10" w:after="30"/>
              <w:rPr>
                <w:rFonts w:ascii="宋体" w:hAnsi="宋体" w:cs="宋体"/>
                <w:color w:val="auto"/>
                <w:szCs w:val="21"/>
                <w:highlight w:val="none"/>
                <w:u w:val="single"/>
                <w:lang w:val="zh-CN"/>
              </w:rPr>
            </w:pPr>
            <w:r>
              <w:rPr>
                <w:rFonts w:hint="eastAsia" w:hAnsi="宋体"/>
                <w:color w:val="auto"/>
                <w:szCs w:val="21"/>
                <w:highlight w:val="none"/>
              </w:rPr>
              <w:t>④</w:t>
            </w:r>
            <w:r>
              <w:rPr>
                <w:rFonts w:hint="eastAsia" w:hAnsi="宋体"/>
                <w:color w:val="auto"/>
                <w:szCs w:val="21"/>
                <w:highlight w:val="none"/>
                <w:lang w:val="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4</w:t>
            </w:r>
          </w:p>
        </w:tc>
        <w:tc>
          <w:tcPr>
            <w:tcW w:w="1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u w:val="single"/>
              </w:rPr>
            </w:pPr>
            <w:r>
              <w:rPr>
                <w:rFonts w:hint="eastAsia" w:hAnsi="宋体"/>
                <w:bCs/>
                <w:color w:val="auto"/>
                <w:szCs w:val="21"/>
                <w:highlight w:val="none"/>
              </w:rPr>
              <w:t>物资装备配置</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hAnsi="宋体"/>
                <w:color w:val="auto"/>
                <w:szCs w:val="21"/>
                <w:highlight w:val="none"/>
              </w:rPr>
              <w:t>5</w:t>
            </w:r>
            <w:r>
              <w:rPr>
                <w:rFonts w:hint="eastAsia" w:hAnsi="宋体"/>
                <w:color w:val="auto"/>
                <w:szCs w:val="21"/>
                <w:highlight w:val="none"/>
                <w:lang w:val="zh-CN"/>
              </w:rPr>
              <w:t>分</w:t>
            </w:r>
          </w:p>
        </w:tc>
        <w:tc>
          <w:tcPr>
            <w:tcW w:w="5461" w:type="dxa"/>
            <w:tcBorders>
              <w:top w:val="single" w:color="auto" w:sz="4" w:space="0"/>
              <w:left w:val="single" w:color="auto" w:sz="4" w:space="0"/>
              <w:bottom w:val="single" w:color="auto" w:sz="4" w:space="0"/>
              <w:right w:val="single" w:color="auto" w:sz="4" w:space="0"/>
            </w:tcBorders>
            <w:vAlign w:val="center"/>
          </w:tcPr>
          <w:p>
            <w:pPr>
              <w:rPr>
                <w:rFonts w:hAnsi="宋体"/>
                <w:color w:val="auto"/>
                <w:szCs w:val="21"/>
                <w:highlight w:val="none"/>
              </w:rPr>
            </w:pPr>
            <w:r>
              <w:rPr>
                <w:rFonts w:hint="eastAsia" w:hAnsi="宋体"/>
                <w:color w:val="auto"/>
                <w:szCs w:val="21"/>
                <w:highlight w:val="none"/>
              </w:rPr>
              <w:t>根据投标人对本项目正常运作所配备保洁物资及资产齐全、合理、完善，能满足本项目的日常工作需要等进行综合评审：</w:t>
            </w:r>
          </w:p>
          <w:p>
            <w:pPr>
              <w:rPr>
                <w:rFonts w:hAnsi="宋体"/>
                <w:color w:val="auto"/>
                <w:szCs w:val="21"/>
                <w:highlight w:val="none"/>
              </w:rPr>
            </w:pPr>
            <w:r>
              <w:rPr>
                <w:rFonts w:hint="eastAsia" w:hAnsi="宋体"/>
                <w:color w:val="auto"/>
                <w:szCs w:val="21"/>
                <w:highlight w:val="none"/>
              </w:rPr>
              <w:t>①对项目运作所配备的保洁物资及资产很齐全，能优于本项目的日常工作需要，得5分；</w:t>
            </w:r>
          </w:p>
          <w:p>
            <w:pPr>
              <w:rPr>
                <w:rFonts w:hAnsi="宋体"/>
                <w:color w:val="auto"/>
                <w:szCs w:val="21"/>
                <w:highlight w:val="none"/>
              </w:rPr>
            </w:pPr>
            <w:r>
              <w:rPr>
                <w:rFonts w:hint="eastAsia" w:hAnsi="宋体"/>
                <w:color w:val="auto"/>
                <w:szCs w:val="21"/>
                <w:highlight w:val="none"/>
              </w:rPr>
              <w:t>②对项目运作所配备的保洁物资及资产基本齐全，基本满足本项目的日常工作需要，得2分；</w:t>
            </w:r>
          </w:p>
          <w:p>
            <w:pPr>
              <w:rPr>
                <w:rFonts w:hAnsi="宋体"/>
                <w:color w:val="auto"/>
                <w:szCs w:val="21"/>
                <w:highlight w:val="none"/>
              </w:rPr>
            </w:pPr>
            <w:r>
              <w:rPr>
                <w:rFonts w:hint="eastAsia" w:hAnsi="宋体"/>
                <w:color w:val="auto"/>
                <w:szCs w:val="21"/>
                <w:highlight w:val="none"/>
              </w:rPr>
              <w:t>③对项目运作需要的保洁物资及资产配备情况较差，得1分；</w:t>
            </w:r>
          </w:p>
          <w:p>
            <w:pPr>
              <w:rPr>
                <w:color w:val="auto"/>
                <w:szCs w:val="21"/>
                <w:highlight w:val="none"/>
                <w:u w:val="single"/>
              </w:rPr>
            </w:pPr>
            <w:r>
              <w:rPr>
                <w:rFonts w:hint="eastAsia" w:hAnsi="宋体"/>
                <w:color w:val="auto"/>
                <w:szCs w:val="21"/>
                <w:highlight w:val="none"/>
              </w:rPr>
              <w:t>④未提供不得分。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5</w:t>
            </w:r>
          </w:p>
        </w:tc>
        <w:tc>
          <w:tcPr>
            <w:tcW w:w="1609"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pacing w:val="2"/>
                <w:szCs w:val="21"/>
                <w:highlight w:val="none"/>
                <w:u w:val="single"/>
              </w:rPr>
            </w:pPr>
            <w:r>
              <w:rPr>
                <w:rFonts w:hint="eastAsia" w:hAnsi="宋体"/>
                <w:bCs/>
                <w:color w:val="auto"/>
                <w:szCs w:val="21"/>
                <w:highlight w:val="none"/>
              </w:rPr>
              <w:t>应急预案</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hAnsi="宋体"/>
                <w:color w:val="auto"/>
                <w:szCs w:val="21"/>
                <w:highlight w:val="none"/>
              </w:rPr>
              <w:t>5分</w:t>
            </w:r>
          </w:p>
        </w:tc>
        <w:tc>
          <w:tcPr>
            <w:tcW w:w="5461"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left"/>
              <w:rPr>
                <w:rFonts w:ascii="宋体" w:eastAsia="宋体"/>
                <w:bCs/>
                <w:color w:val="auto"/>
                <w:sz w:val="21"/>
                <w:szCs w:val="21"/>
                <w:highlight w:val="none"/>
              </w:rPr>
            </w:pPr>
            <w:r>
              <w:rPr>
                <w:rFonts w:hint="eastAsia" w:ascii="宋体" w:eastAsia="宋体"/>
                <w:bCs/>
                <w:color w:val="auto"/>
                <w:sz w:val="21"/>
                <w:szCs w:val="21"/>
                <w:highlight w:val="none"/>
              </w:rPr>
              <w:t>根据投标人提供的应急预案（包括但不限于重大节日、贵宾接待、突发事件的保洁配合、人员紧急调配等情况）的科学性、合理性以及可行性进行评审：</w:t>
            </w:r>
          </w:p>
          <w:p>
            <w:pPr>
              <w:pStyle w:val="44"/>
              <w:spacing w:line="360" w:lineRule="auto"/>
              <w:ind w:firstLine="0" w:firstLineChars="0"/>
              <w:jc w:val="left"/>
              <w:rPr>
                <w:rFonts w:ascii="宋体" w:eastAsia="宋体"/>
                <w:bCs/>
                <w:color w:val="auto"/>
                <w:sz w:val="21"/>
                <w:szCs w:val="21"/>
                <w:highlight w:val="none"/>
              </w:rPr>
            </w:pPr>
            <w:r>
              <w:rPr>
                <w:rFonts w:hint="eastAsia" w:ascii="宋体" w:eastAsia="宋体"/>
                <w:bCs/>
                <w:color w:val="auto"/>
                <w:sz w:val="21"/>
                <w:szCs w:val="21"/>
                <w:highlight w:val="none"/>
              </w:rPr>
              <w:t xml:space="preserve">①应急预案具体全面，响应迅捷，可实施性强的，得5分； </w:t>
            </w:r>
          </w:p>
          <w:p>
            <w:pPr>
              <w:pStyle w:val="44"/>
              <w:spacing w:line="360" w:lineRule="auto"/>
              <w:ind w:firstLine="0" w:firstLineChars="0"/>
              <w:jc w:val="left"/>
              <w:rPr>
                <w:rFonts w:ascii="宋体" w:eastAsia="宋体"/>
                <w:bCs/>
                <w:color w:val="auto"/>
                <w:sz w:val="21"/>
                <w:szCs w:val="21"/>
                <w:highlight w:val="none"/>
              </w:rPr>
            </w:pPr>
            <w:r>
              <w:rPr>
                <w:rFonts w:hint="eastAsia" w:ascii="宋体" w:eastAsia="宋体"/>
                <w:bCs/>
                <w:color w:val="auto"/>
                <w:sz w:val="21"/>
                <w:szCs w:val="21"/>
                <w:highlight w:val="none"/>
              </w:rPr>
              <w:t>②应急预案基本合理，响应一般，基本可实施,基本满足采购需求的，得2分；</w:t>
            </w:r>
          </w:p>
          <w:p>
            <w:pPr>
              <w:pStyle w:val="44"/>
              <w:spacing w:line="360" w:lineRule="auto"/>
              <w:ind w:firstLine="0" w:firstLineChars="0"/>
              <w:jc w:val="left"/>
              <w:rPr>
                <w:rFonts w:ascii="宋体" w:eastAsia="宋体"/>
                <w:bCs/>
                <w:color w:val="auto"/>
                <w:sz w:val="21"/>
                <w:szCs w:val="21"/>
                <w:highlight w:val="none"/>
              </w:rPr>
            </w:pPr>
            <w:r>
              <w:rPr>
                <w:rFonts w:hint="eastAsia" w:ascii="宋体" w:eastAsia="宋体"/>
                <w:bCs/>
                <w:color w:val="auto"/>
                <w:sz w:val="21"/>
                <w:szCs w:val="21"/>
                <w:highlight w:val="none"/>
              </w:rPr>
              <w:t>③应急预案不合理，响应慢，较难实施,不满足采购需求的，得1分；</w:t>
            </w:r>
          </w:p>
          <w:p>
            <w:pPr>
              <w:pStyle w:val="44"/>
              <w:spacing w:line="360" w:lineRule="auto"/>
              <w:ind w:firstLine="0" w:firstLineChars="0"/>
              <w:jc w:val="left"/>
              <w:rPr>
                <w:color w:val="auto"/>
                <w:sz w:val="21"/>
                <w:szCs w:val="21"/>
                <w:highlight w:val="none"/>
                <w:u w:val="single"/>
              </w:rPr>
            </w:pPr>
            <w:r>
              <w:rPr>
                <w:rFonts w:hint="eastAsia" w:ascii="宋体" w:eastAsia="宋体"/>
                <w:bCs/>
                <w:color w:val="auto"/>
                <w:sz w:val="21"/>
                <w:szCs w:val="21"/>
                <w:highlight w:val="none"/>
              </w:rPr>
              <w:t>④未提供不得分。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907"/>
              </w:tabs>
              <w:adjustRightInd/>
              <w:snapToGrid/>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注：</w:t>
            </w:r>
          </w:p>
          <w:p>
            <w:pPr>
              <w:widowControl w:val="0"/>
              <w:tabs>
                <w:tab w:val="left" w:pos="907"/>
              </w:tabs>
              <w:adjustRightInd/>
              <w:snapToGrid/>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（1）无特殊说明外，以上评审项，同一证明文件不重复计分。</w:t>
            </w:r>
          </w:p>
          <w:p>
            <w:pPr>
              <w:widowControl w:val="0"/>
              <w:tabs>
                <w:tab w:val="left" w:pos="907"/>
              </w:tabs>
              <w:adjustRightInd/>
              <w:snapToGrid/>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（2）投标人根据以上评分要求提供的投标材料因模糊不清导致评标委员会无法清晰辨认进行评审的，视为无效材料。</w:t>
            </w:r>
          </w:p>
          <w:p>
            <w:pPr>
              <w:widowControl w:val="0"/>
              <w:tabs>
                <w:tab w:val="left" w:pos="907"/>
              </w:tabs>
              <w:adjustRightInd/>
              <w:snapToGrid/>
              <w:ind w:firstLine="422" w:firstLineChars="200"/>
              <w:jc w:val="both"/>
              <w:rPr>
                <w:rFonts w:ascii="宋体" w:hAnsi="宋体" w:cs="宋体"/>
                <w:color w:val="auto"/>
                <w:szCs w:val="21"/>
                <w:highlight w:val="none"/>
              </w:rPr>
            </w:pPr>
            <w:r>
              <w:rPr>
                <w:rFonts w:hint="eastAsia" w:ascii="宋体" w:hAnsi="宋体" w:cs="宋体"/>
                <w:b/>
                <w:color w:val="auto"/>
                <w:szCs w:val="21"/>
                <w:highlight w:val="none"/>
              </w:rPr>
              <w:t>（3）若因疫情原因暂缓统一托收或阶段性减免社会保险费而导致无法打印社保缴费证明的需提供书面说明并加盖投标人公章。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lang w:val="zh-CN"/>
              </w:rPr>
            </w:pPr>
            <w:r>
              <w:rPr>
                <w:rFonts w:hint="eastAsia" w:ascii="宋体" w:eastAsia="宋体" w:cs="宋体"/>
                <w:b/>
                <w:bCs/>
                <w:color w:val="auto"/>
                <w:sz w:val="21"/>
                <w:szCs w:val="21"/>
                <w:highlight w:val="none"/>
                <w:u w:val="single"/>
              </w:rPr>
              <w:t>价格评审（50分）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jc w:val="center"/>
              <w:rPr>
                <w:rFonts w:ascii="宋体" w:hAnsi="宋体" w:cs="宋体"/>
                <w:color w:val="auto"/>
                <w:kern w:val="2"/>
                <w:szCs w:val="21"/>
                <w:highlight w:val="none"/>
              </w:rPr>
            </w:pPr>
            <w:r>
              <w:rPr>
                <w:rFonts w:hint="eastAsia" w:ascii="宋体" w:hAnsi="宋体" w:cs="宋体"/>
                <w:color w:val="auto"/>
                <w:kern w:val="2"/>
                <w:szCs w:val="21"/>
                <w:highlight w:val="none"/>
              </w:rPr>
              <w:t>投标总价</w:t>
            </w: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jc w:val="center"/>
              <w:rPr>
                <w:rFonts w:ascii="宋体" w:hAnsi="宋体" w:cs="宋体"/>
                <w:color w:val="auto"/>
                <w:kern w:val="2"/>
                <w:szCs w:val="21"/>
                <w:highlight w:val="none"/>
              </w:rPr>
            </w:pPr>
            <w:r>
              <w:rPr>
                <w:rFonts w:hint="eastAsia" w:ascii="宋体" w:hAnsi="宋体" w:cs="宋体"/>
                <w:color w:val="auto"/>
                <w:kern w:val="2"/>
                <w:szCs w:val="21"/>
                <w:highlight w:val="none"/>
              </w:rPr>
              <w:t>45分</w:t>
            </w:r>
          </w:p>
        </w:tc>
        <w:tc>
          <w:tcPr>
            <w:tcW w:w="548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ind w:firstLine="420" w:firstLineChars="200"/>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价格分计算方法：满足采购文件要求且投标价格最低的投标报价为评标基准价，其价格分为满分。其他投标人的价格分统一按照下列公式计算：</w:t>
            </w:r>
          </w:p>
          <w:p>
            <w:pPr>
              <w:widowControl w:val="0"/>
              <w:adjustRightInd/>
              <w:snapToGrid/>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lang w:val="zh-CN"/>
              </w:rPr>
              <w:t>投标报价得分=(评标基准价／投标报价)×价格权</w:t>
            </w:r>
            <w:r>
              <w:rPr>
                <w:rFonts w:hint="eastAsia" w:ascii="宋体" w:hAnsi="宋体" w:cs="宋体"/>
                <w:color w:val="auto"/>
                <w:kern w:val="2"/>
                <w:szCs w:val="21"/>
                <w:highlight w:val="none"/>
              </w:rPr>
              <w:t>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4"/>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2</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jc w:val="center"/>
              <w:rPr>
                <w:rFonts w:ascii="宋体" w:hAnsi="宋体" w:cs="宋体"/>
                <w:color w:val="auto"/>
                <w:kern w:val="2"/>
                <w:szCs w:val="21"/>
                <w:highlight w:val="none"/>
              </w:rPr>
            </w:pPr>
            <w:r>
              <w:rPr>
                <w:rFonts w:hint="eastAsia" w:ascii="宋体" w:hAnsi="宋体" w:cs="宋体"/>
                <w:color w:val="auto"/>
                <w:kern w:val="2"/>
                <w:szCs w:val="21"/>
                <w:highlight w:val="none"/>
              </w:rPr>
              <w:t>专项服务</w:t>
            </w: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jc w:val="center"/>
              <w:rPr>
                <w:rFonts w:ascii="宋体" w:hAnsi="宋体" w:cs="宋体"/>
                <w:color w:val="auto"/>
                <w:kern w:val="2"/>
                <w:szCs w:val="21"/>
                <w:highlight w:val="none"/>
              </w:rPr>
            </w:pPr>
            <w:r>
              <w:rPr>
                <w:rFonts w:hint="eastAsia" w:ascii="宋体" w:hAnsi="宋体" w:cs="宋体"/>
                <w:color w:val="auto"/>
                <w:kern w:val="2"/>
                <w:szCs w:val="21"/>
                <w:highlight w:val="none"/>
              </w:rPr>
              <w:t>5分</w:t>
            </w:r>
          </w:p>
        </w:tc>
        <w:tc>
          <w:tcPr>
            <w:tcW w:w="5489" w:type="dxa"/>
            <w:gridSpan w:val="2"/>
            <w:tcBorders>
              <w:top w:val="single" w:color="auto" w:sz="4" w:space="0"/>
              <w:left w:val="single" w:color="auto" w:sz="4" w:space="0"/>
              <w:bottom w:val="single" w:color="auto" w:sz="4" w:space="0"/>
              <w:right w:val="single" w:color="auto" w:sz="4" w:space="0"/>
            </w:tcBorders>
            <w:vAlign w:val="center"/>
          </w:tcPr>
          <w:p>
            <w:pPr>
              <w:pStyle w:val="27"/>
              <w:widowControl/>
              <w:rPr>
                <w:rFonts w:ascii="宋体" w:hAnsi="宋体" w:cs="宋体"/>
                <w:color w:val="auto"/>
                <w:sz w:val="21"/>
                <w:szCs w:val="21"/>
                <w:highlight w:val="none"/>
              </w:rPr>
            </w:pPr>
            <w:r>
              <w:rPr>
                <w:rFonts w:hint="eastAsia" w:ascii="宋体" w:hAnsi="宋体" w:cs="宋体"/>
                <w:color w:val="auto"/>
                <w:sz w:val="21"/>
                <w:szCs w:val="21"/>
                <w:highlight w:val="none"/>
              </w:rPr>
              <w:t>满足采购文件要求且磋商响应报价下浮率最多的报价为基准价，其价格分为满分，各供应商的价格评分统一按照下列公式计算：</w:t>
            </w:r>
          </w:p>
          <w:p>
            <w:pPr>
              <w:pStyle w:val="27"/>
              <w:widowControl/>
              <w:rPr>
                <w:rFonts w:ascii="宋体" w:hAnsi="宋体" w:cs="宋体"/>
                <w:color w:val="auto"/>
                <w:sz w:val="21"/>
                <w:szCs w:val="21"/>
                <w:highlight w:val="none"/>
              </w:rPr>
            </w:pPr>
            <w:r>
              <w:rPr>
                <w:rFonts w:hint="eastAsia" w:ascii="宋体" w:hAnsi="宋体" w:cs="宋体"/>
                <w:color w:val="auto"/>
                <w:sz w:val="21"/>
                <w:szCs w:val="21"/>
                <w:highlight w:val="none"/>
              </w:rPr>
              <w:t>价格得分＝（1-评标基准下浮率）/（1-评标下浮率）×价格分值</w:t>
            </w:r>
          </w:p>
          <w:p>
            <w:pPr>
              <w:pStyle w:val="27"/>
              <w:widowControl/>
              <w:rPr>
                <w:rFonts w:ascii="宋体" w:hAnsi="宋体" w:cs="宋体"/>
                <w:color w:val="auto"/>
                <w:sz w:val="21"/>
                <w:szCs w:val="21"/>
                <w:highlight w:val="none"/>
              </w:rPr>
            </w:pPr>
            <w:r>
              <w:rPr>
                <w:rFonts w:hint="eastAsia" w:ascii="宋体" w:hAnsi="宋体" w:cs="宋体"/>
                <w:color w:val="auto"/>
                <w:sz w:val="21"/>
                <w:szCs w:val="21"/>
                <w:highlight w:val="none"/>
              </w:rPr>
              <w:t>评标下浮率：按磋商文件规定条款的原则校核修正后的下浮率；</w:t>
            </w:r>
          </w:p>
          <w:p>
            <w:pPr>
              <w:widowControl w:val="0"/>
              <w:adjustRightInd/>
              <w:snapToGrid/>
              <w:rPr>
                <w:rFonts w:ascii="宋体" w:hAnsi="宋体" w:cs="宋体"/>
                <w:color w:val="auto"/>
                <w:kern w:val="2"/>
                <w:szCs w:val="21"/>
                <w:highlight w:val="none"/>
                <w:lang w:val="zh-CN"/>
              </w:rPr>
            </w:pPr>
            <w:r>
              <w:rPr>
                <w:rFonts w:hint="eastAsia" w:ascii="宋体" w:hAnsi="宋体" w:cs="宋体"/>
                <w:color w:val="auto"/>
                <w:kern w:val="2"/>
                <w:szCs w:val="21"/>
                <w:highlight w:val="none"/>
              </w:rPr>
              <w:t>评标基准下浮率：各有效供应商的磋商响应报价下浮率最多</w:t>
            </w:r>
            <w:r>
              <w:rPr>
                <w:rFonts w:hint="eastAsia" w:cs="宋体"/>
                <w:color w:val="auto"/>
                <w:kern w:val="2"/>
                <w:szCs w:val="21"/>
                <w:highlight w:val="none"/>
              </w:rPr>
              <w:t>的报价</w:t>
            </w:r>
            <w:r>
              <w:rPr>
                <w:rFonts w:hint="eastAsia" w:ascii="宋体" w:hAnsi="宋体" w:cs="宋体"/>
                <w:color w:val="auto"/>
                <w:kern w:val="2"/>
                <w:szCs w:val="21"/>
                <w:highlight w:val="none"/>
              </w:rPr>
              <w:t>。</w:t>
            </w:r>
          </w:p>
        </w:tc>
      </w:tr>
    </w:tbl>
    <w:p>
      <w:pPr>
        <w:ind w:firstLine="420" w:firstLineChars="200"/>
        <w:rPr>
          <w:color w:val="auto"/>
          <w:highlight w:val="none"/>
        </w:rPr>
      </w:pPr>
      <w:r>
        <w:rPr>
          <w:rFonts w:hint="eastAsia"/>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color w:val="auto"/>
          <w:highlight w:val="none"/>
        </w:rPr>
        <w:br w:type="page"/>
      </w:r>
    </w:p>
    <w:p>
      <w:pPr>
        <w:pStyle w:val="6"/>
        <w:spacing w:before="0" w:after="0" w:line="240" w:lineRule="auto"/>
        <w:rPr>
          <w:color w:val="auto"/>
          <w:sz w:val="36"/>
          <w:szCs w:val="36"/>
          <w:highlight w:val="none"/>
        </w:rPr>
      </w:pPr>
      <w:bookmarkStart w:id="5" w:name="_Toc21237"/>
      <w:r>
        <w:rPr>
          <w:rFonts w:hint="eastAsia"/>
          <w:color w:val="auto"/>
          <w:sz w:val="28"/>
          <w:szCs w:val="28"/>
          <w:highlight w:val="none"/>
        </w:rPr>
        <w:t>第三部分用户需求书</w:t>
      </w:r>
      <w:bookmarkEnd w:id="5"/>
    </w:p>
    <w:p>
      <w:pPr>
        <w:pStyle w:val="7"/>
        <w:spacing w:before="0" w:after="0" w:line="360" w:lineRule="auto"/>
        <w:jc w:val="center"/>
        <w:rPr>
          <w:rFonts w:ascii="宋体" w:hAnsi="宋体"/>
          <w:color w:val="auto"/>
          <w:highlight w:val="none"/>
        </w:rPr>
      </w:pPr>
      <w:bookmarkStart w:id="6" w:name="_Toc1593"/>
      <w:bookmarkStart w:id="7" w:name="_Toc15266"/>
      <w:bookmarkStart w:id="8" w:name="_Toc308786492"/>
      <w:bookmarkStart w:id="9" w:name="_Toc24679"/>
      <w:bookmarkStart w:id="10" w:name="_Toc13112"/>
      <w:bookmarkStart w:id="11" w:name="_Toc31278"/>
      <w:bookmarkStart w:id="12" w:name="_Toc14462"/>
      <w:r>
        <w:rPr>
          <w:rFonts w:hint="eastAsia" w:ascii="宋体" w:hAnsi="宋体"/>
          <w:color w:val="auto"/>
          <w:highlight w:val="none"/>
        </w:rPr>
        <w:t>第一章 商务需求书</w:t>
      </w:r>
      <w:bookmarkEnd w:id="6"/>
      <w:bookmarkEnd w:id="7"/>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Ansi="宋体"/>
                <w:color w:val="auto"/>
                <w:szCs w:val="21"/>
                <w:highlight w:val="none"/>
              </w:rPr>
            </w:pPr>
            <w:r>
              <w:rPr>
                <w:rFonts w:hint="eastAsia" w:hAnsi="宋体"/>
                <w:color w:val="auto"/>
                <w:szCs w:val="21"/>
                <w:highlight w:val="none"/>
              </w:rPr>
              <w:t>序号</w:t>
            </w:r>
          </w:p>
        </w:tc>
        <w:tc>
          <w:tcPr>
            <w:tcW w:w="2049" w:type="dxa"/>
            <w:vAlign w:val="center"/>
          </w:tcPr>
          <w:p>
            <w:pPr>
              <w:jc w:val="center"/>
              <w:rPr>
                <w:rFonts w:hAnsi="宋体"/>
                <w:color w:val="auto"/>
                <w:szCs w:val="21"/>
                <w:highlight w:val="none"/>
              </w:rPr>
            </w:pPr>
            <w:r>
              <w:rPr>
                <w:rFonts w:hint="eastAsia" w:hAnsi="宋体"/>
                <w:color w:val="auto"/>
                <w:szCs w:val="21"/>
                <w:highlight w:val="none"/>
              </w:rPr>
              <w:t>条款名称</w:t>
            </w:r>
          </w:p>
        </w:tc>
        <w:tc>
          <w:tcPr>
            <w:tcW w:w="6397" w:type="dxa"/>
            <w:vAlign w:val="center"/>
          </w:tcPr>
          <w:p>
            <w:pPr>
              <w:jc w:val="center"/>
              <w:rPr>
                <w:rFonts w:hAnsi="宋体"/>
                <w:color w:val="auto"/>
                <w:szCs w:val="21"/>
                <w:highlight w:val="none"/>
              </w:rPr>
            </w:pPr>
            <w:r>
              <w:rPr>
                <w:rFonts w:hint="eastAsia" w:hAnsi="宋体"/>
                <w:color w:val="auto"/>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Ansi="宋体"/>
                <w:color w:val="auto"/>
                <w:szCs w:val="21"/>
                <w:highlight w:val="none"/>
              </w:rPr>
            </w:pPr>
            <w:r>
              <w:rPr>
                <w:rFonts w:hint="eastAsia" w:hAnsi="宋体"/>
                <w:color w:val="auto"/>
                <w:szCs w:val="21"/>
                <w:highlight w:val="none"/>
              </w:rPr>
              <w:t>1</w:t>
            </w:r>
          </w:p>
        </w:tc>
        <w:tc>
          <w:tcPr>
            <w:tcW w:w="2049" w:type="dxa"/>
            <w:vAlign w:val="center"/>
          </w:tcPr>
          <w:p>
            <w:pPr>
              <w:jc w:val="center"/>
              <w:rPr>
                <w:rFonts w:hAnsi="宋体"/>
                <w:color w:val="auto"/>
                <w:szCs w:val="21"/>
                <w:highlight w:val="none"/>
              </w:rPr>
            </w:pPr>
            <w:r>
              <w:rPr>
                <w:rFonts w:hint="eastAsia" w:hAnsi="宋体"/>
                <w:color w:val="auto"/>
                <w:szCs w:val="21"/>
                <w:highlight w:val="none"/>
              </w:rPr>
              <w:t>服务期限</w:t>
            </w:r>
          </w:p>
        </w:tc>
        <w:tc>
          <w:tcPr>
            <w:tcW w:w="6397" w:type="dxa"/>
            <w:vAlign w:val="center"/>
          </w:tcPr>
          <w:p>
            <w:pPr>
              <w:pStyle w:val="41"/>
              <w:ind w:firstLine="0" w:firstLineChars="0"/>
              <w:rPr>
                <w:rFonts w:ascii="宋体" w:hAnsi="宋体"/>
                <w:color w:val="auto"/>
                <w:szCs w:val="21"/>
                <w:highlight w:val="none"/>
              </w:rPr>
            </w:pPr>
            <w:r>
              <w:rPr>
                <w:rFonts w:hint="eastAsia" w:ascii="宋体" w:hAnsi="宋体"/>
                <w:color w:val="auto"/>
                <w:szCs w:val="21"/>
                <w:highlight w:val="none"/>
              </w:rPr>
              <w:t>自合同签订之日起</w:t>
            </w:r>
            <w:r>
              <w:rPr>
                <w:rFonts w:ascii="宋体" w:hAnsi="宋体"/>
                <w:color w:val="auto"/>
                <w:szCs w:val="21"/>
                <w:highlight w:val="none"/>
              </w:rPr>
              <w:t>一年</w:t>
            </w:r>
            <w:r>
              <w:rPr>
                <w:rFonts w:hint="eastAsia" w:ascii="宋体" w:hAnsi="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jc w:val="center"/>
              <w:rPr>
                <w:rFonts w:hAnsi="宋体"/>
                <w:color w:val="auto"/>
                <w:szCs w:val="21"/>
                <w:highlight w:val="none"/>
              </w:rPr>
            </w:pPr>
            <w:r>
              <w:rPr>
                <w:rFonts w:hint="eastAsia" w:hAnsi="宋体"/>
                <w:color w:val="auto"/>
                <w:szCs w:val="21"/>
                <w:highlight w:val="none"/>
              </w:rPr>
              <w:t>2</w:t>
            </w:r>
          </w:p>
        </w:tc>
        <w:tc>
          <w:tcPr>
            <w:tcW w:w="2049" w:type="dxa"/>
            <w:vAlign w:val="center"/>
          </w:tcPr>
          <w:p>
            <w:pPr>
              <w:jc w:val="center"/>
              <w:rPr>
                <w:rFonts w:hAnsi="宋体"/>
                <w:color w:val="auto"/>
                <w:kern w:val="2"/>
                <w:szCs w:val="21"/>
                <w:highlight w:val="none"/>
              </w:rPr>
            </w:pPr>
            <w:r>
              <w:rPr>
                <w:rFonts w:hint="eastAsia" w:hAnsi="宋体"/>
                <w:color w:val="auto"/>
                <w:szCs w:val="21"/>
                <w:highlight w:val="none"/>
              </w:rPr>
              <w:t>报价要求</w:t>
            </w:r>
          </w:p>
        </w:tc>
        <w:tc>
          <w:tcPr>
            <w:tcW w:w="6397" w:type="dxa"/>
            <w:vAlign w:val="center"/>
          </w:tcPr>
          <w:p>
            <w:pPr>
              <w:pStyle w:val="41"/>
              <w:rPr>
                <w:rFonts w:ascii="宋体" w:hAnsi="宋体"/>
                <w:color w:val="auto"/>
                <w:szCs w:val="21"/>
                <w:highlight w:val="none"/>
              </w:rPr>
            </w:pPr>
            <w:r>
              <w:rPr>
                <w:rFonts w:hint="eastAsia" w:ascii="宋体" w:hAnsi="宋体"/>
                <w:color w:val="auto"/>
                <w:szCs w:val="21"/>
                <w:highlight w:val="none"/>
              </w:rPr>
              <w:t>1、本项目采用含税总价包干的形式进行报价，须包工、包料、包工具、包设备、包质量、包安全、包税费等，除采购文件或合同另有约定外，上述包干总价在结算时不作任何调整。各投标方报价时应将承包期间各种市场风险、员工各项保险和国家政策调整风险等因素考虑进去，中标后不予调整。</w:t>
            </w:r>
          </w:p>
          <w:p>
            <w:pPr>
              <w:pStyle w:val="41"/>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专项</w:t>
            </w:r>
            <w:r>
              <w:rPr>
                <w:rFonts w:hint="eastAsia" w:ascii="宋体" w:hAnsi="宋体"/>
                <w:color w:val="auto"/>
                <w:szCs w:val="21"/>
                <w:highlight w:val="none"/>
              </w:rPr>
              <w:t>服务</w:t>
            </w:r>
            <w:r>
              <w:rPr>
                <w:rFonts w:hint="eastAsia" w:ascii="宋体" w:hAnsi="宋体"/>
                <w:bCs/>
                <w:color w:val="auto"/>
                <w:szCs w:val="21"/>
                <w:highlight w:val="none"/>
              </w:rPr>
              <w:t>（</w:t>
            </w:r>
            <w:r>
              <w:rPr>
                <w:rFonts w:hint="eastAsia" w:ascii="宋体" w:hAnsi="宋体"/>
                <w:color w:val="auto"/>
                <w:szCs w:val="21"/>
                <w:highlight w:val="none"/>
              </w:rPr>
              <w:t>外墙清洗及公寓室内保洁）为暂列项，不包含在总价中，根据投标限价填报下浮率，下浮率≥0.00%（保留两位小数），</w:t>
            </w:r>
            <w:r>
              <w:rPr>
                <w:rFonts w:hint="eastAsia" w:ascii="宋体" w:hAnsi="宋体"/>
                <w:bCs/>
                <w:color w:val="auto"/>
                <w:szCs w:val="21"/>
                <w:highlight w:val="none"/>
              </w:rPr>
              <w:t>综合单价包干，按实结算</w:t>
            </w:r>
            <w:r>
              <w:rPr>
                <w:rFonts w:hint="eastAsia" w:ascii="宋体" w:hAnsi="宋体"/>
                <w:color w:val="auto"/>
                <w:szCs w:val="21"/>
                <w:highlight w:val="none"/>
              </w:rPr>
              <w:t>。</w:t>
            </w:r>
          </w:p>
          <w:p>
            <w:pPr>
              <w:pStyle w:val="41"/>
              <w:rPr>
                <w:rFonts w:ascii="宋体" w:hAnsi="宋体"/>
                <w:color w:val="auto"/>
                <w:szCs w:val="21"/>
                <w:highlight w:val="none"/>
              </w:rPr>
            </w:pPr>
            <w:r>
              <w:rPr>
                <w:rFonts w:hint="eastAsia" w:ascii="宋体" w:hAnsi="宋体"/>
                <w:color w:val="auto"/>
                <w:szCs w:val="21"/>
                <w:highlight w:val="none"/>
              </w:rPr>
              <w:t>3、投标报价包括但不限于下述费用：所有服务项目费用及服务项目所有所需器材、设备折旧、日常清洁管理物料、消耗物料、运输费、工资、加班工资/福利费用、监工费、保险费用、税金、高温补贴、差旅费及其他相关之费用等及合同实施过程中的不可预见费用等全部费用等，各项报价金额均应该涵盖成本、税收、利润、风险责任等全部影响价格的因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Ansi="宋体"/>
                <w:color w:val="auto"/>
                <w:szCs w:val="21"/>
                <w:highlight w:val="none"/>
              </w:rPr>
            </w:pPr>
            <w:r>
              <w:rPr>
                <w:rFonts w:hint="eastAsia" w:hAnsi="宋体"/>
                <w:color w:val="auto"/>
                <w:szCs w:val="21"/>
                <w:highlight w:val="none"/>
              </w:rPr>
              <w:t>3</w:t>
            </w:r>
          </w:p>
        </w:tc>
        <w:tc>
          <w:tcPr>
            <w:tcW w:w="2049" w:type="dxa"/>
            <w:vAlign w:val="center"/>
          </w:tcPr>
          <w:p>
            <w:pPr>
              <w:jc w:val="center"/>
              <w:rPr>
                <w:rFonts w:hAnsi="宋体"/>
                <w:color w:val="auto"/>
                <w:kern w:val="2"/>
                <w:szCs w:val="21"/>
                <w:highlight w:val="none"/>
              </w:rPr>
            </w:pPr>
            <w:r>
              <w:rPr>
                <w:rFonts w:hint="eastAsia" w:hAnsi="宋体"/>
                <w:color w:val="auto"/>
                <w:kern w:val="2"/>
                <w:szCs w:val="21"/>
                <w:highlight w:val="none"/>
              </w:rPr>
              <w:t>付款方式</w:t>
            </w:r>
          </w:p>
        </w:tc>
        <w:tc>
          <w:tcPr>
            <w:tcW w:w="6397" w:type="dxa"/>
            <w:vAlign w:val="center"/>
          </w:tcPr>
          <w:p>
            <w:pPr>
              <w:pStyle w:val="47"/>
              <w:rPr>
                <w:rFonts w:ascii="宋体" w:hAnsi="宋体" w:cs="宋体"/>
                <w:color w:val="auto"/>
                <w:szCs w:val="21"/>
                <w:highlight w:val="none"/>
              </w:rPr>
            </w:pPr>
            <w:r>
              <w:rPr>
                <w:rFonts w:hint="eastAsia" w:ascii="宋体" w:hAnsi="宋体" w:cs="宋体"/>
                <w:color w:val="auto"/>
                <w:szCs w:val="21"/>
                <w:highlight w:val="none"/>
              </w:rPr>
              <w:t>1、每月15号前，中标人向采购人提供上月的考核表、请款表及相关资料文件，采购人审核无误后将双方确认的费用支付中标人指定的银行，如遇节假日顺延，如有特殊情况，双方协商。</w:t>
            </w:r>
          </w:p>
          <w:p>
            <w:pPr>
              <w:pStyle w:val="47"/>
              <w:rPr>
                <w:rFonts w:ascii="宋体" w:hAnsi="宋体" w:cs="宋体"/>
                <w:color w:val="auto"/>
                <w:szCs w:val="21"/>
                <w:highlight w:val="none"/>
              </w:rPr>
            </w:pPr>
            <w:r>
              <w:rPr>
                <w:rFonts w:hint="eastAsia" w:ascii="宋体" w:hAnsi="宋体" w:cs="宋体"/>
                <w:color w:val="auto"/>
                <w:szCs w:val="21"/>
                <w:highlight w:val="none"/>
              </w:rPr>
              <w:t>2、每次付款前供应商须提供正规合法的税率为6%增值税专用发票。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Ansi="宋体"/>
                <w:color w:val="auto"/>
                <w:szCs w:val="21"/>
                <w:highlight w:val="none"/>
              </w:rPr>
            </w:pPr>
            <w:r>
              <w:rPr>
                <w:rFonts w:hint="eastAsia" w:hAnsi="宋体"/>
                <w:color w:val="auto"/>
                <w:szCs w:val="21"/>
                <w:highlight w:val="none"/>
              </w:rPr>
              <w:t>4</w:t>
            </w:r>
          </w:p>
        </w:tc>
        <w:tc>
          <w:tcPr>
            <w:tcW w:w="2049" w:type="dxa"/>
            <w:vAlign w:val="center"/>
          </w:tcPr>
          <w:p>
            <w:pPr>
              <w:jc w:val="center"/>
              <w:rPr>
                <w:rFonts w:hAnsi="宋体"/>
                <w:color w:val="auto"/>
                <w:kern w:val="2"/>
                <w:szCs w:val="21"/>
                <w:highlight w:val="none"/>
              </w:rPr>
            </w:pPr>
            <w:r>
              <w:rPr>
                <w:rFonts w:hint="eastAsia" w:hAnsi="宋体"/>
                <w:color w:val="auto"/>
                <w:kern w:val="2"/>
                <w:szCs w:val="21"/>
                <w:highlight w:val="none"/>
              </w:rPr>
              <w:t>服务地点</w:t>
            </w:r>
          </w:p>
        </w:tc>
        <w:tc>
          <w:tcPr>
            <w:tcW w:w="6397" w:type="dxa"/>
            <w:vAlign w:val="center"/>
          </w:tcPr>
          <w:p>
            <w:pPr>
              <w:pStyle w:val="47"/>
              <w:ind w:firstLine="0" w:firstLineChars="0"/>
              <w:rPr>
                <w:rFonts w:ascii="宋体" w:hAnsi="宋体" w:cs="宋体"/>
                <w:color w:val="auto"/>
                <w:szCs w:val="21"/>
                <w:highlight w:val="none"/>
              </w:rPr>
            </w:pPr>
            <w:r>
              <w:rPr>
                <w:rFonts w:hint="eastAsia" w:ascii="宋体" w:hAnsi="宋体" w:cs="宋体"/>
                <w:color w:val="auto"/>
                <w:szCs w:val="21"/>
                <w:highlight w:val="none"/>
              </w:rPr>
              <w:t>东莞市松山湖国际创新创业社区。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Ansi="宋体"/>
                <w:color w:val="auto"/>
                <w:szCs w:val="21"/>
                <w:highlight w:val="none"/>
              </w:rPr>
            </w:pPr>
            <w:r>
              <w:rPr>
                <w:rFonts w:hint="eastAsia" w:hAnsi="宋体"/>
                <w:color w:val="auto"/>
                <w:szCs w:val="21"/>
                <w:highlight w:val="none"/>
              </w:rPr>
              <w:t>5</w:t>
            </w:r>
          </w:p>
        </w:tc>
        <w:tc>
          <w:tcPr>
            <w:tcW w:w="2049" w:type="dxa"/>
            <w:vAlign w:val="center"/>
          </w:tcPr>
          <w:p>
            <w:pPr>
              <w:jc w:val="center"/>
              <w:rPr>
                <w:rFonts w:hAnsi="宋体"/>
                <w:color w:val="auto"/>
                <w:kern w:val="2"/>
                <w:szCs w:val="21"/>
                <w:highlight w:val="none"/>
              </w:rPr>
            </w:pPr>
            <w:r>
              <w:rPr>
                <w:rFonts w:hint="eastAsia" w:hAnsi="宋体"/>
                <w:color w:val="auto"/>
                <w:szCs w:val="21"/>
                <w:highlight w:val="none"/>
              </w:rPr>
              <w:t>合同条款</w:t>
            </w:r>
          </w:p>
        </w:tc>
        <w:tc>
          <w:tcPr>
            <w:tcW w:w="6397" w:type="dxa"/>
            <w:vAlign w:val="center"/>
          </w:tcPr>
          <w:p>
            <w:pPr>
              <w:pStyle w:val="47"/>
              <w:ind w:firstLine="0" w:firstLineChars="0"/>
              <w:rPr>
                <w:rFonts w:ascii="宋体" w:hAnsi="宋体" w:cs="宋体"/>
                <w:color w:val="auto"/>
                <w:szCs w:val="21"/>
                <w:highlight w:val="none"/>
              </w:rPr>
            </w:pPr>
            <w:r>
              <w:rPr>
                <w:rFonts w:hint="eastAsia" w:ascii="宋体" w:hAnsi="宋体" w:cs="宋体"/>
                <w:color w:val="auto"/>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jc w:val="center"/>
              <w:rPr>
                <w:rFonts w:hAnsi="宋体"/>
                <w:color w:val="auto"/>
                <w:szCs w:val="21"/>
                <w:highlight w:val="none"/>
              </w:rPr>
            </w:pPr>
            <w:r>
              <w:rPr>
                <w:rFonts w:hint="eastAsia" w:hAnsi="宋体"/>
                <w:color w:val="auto"/>
                <w:szCs w:val="21"/>
                <w:highlight w:val="none"/>
              </w:rPr>
              <w:t>6</w:t>
            </w:r>
          </w:p>
        </w:tc>
        <w:tc>
          <w:tcPr>
            <w:tcW w:w="2049" w:type="dxa"/>
            <w:vAlign w:val="center"/>
          </w:tcPr>
          <w:p>
            <w:pPr>
              <w:jc w:val="center"/>
              <w:rPr>
                <w:rFonts w:hAnsi="宋体"/>
                <w:bCs/>
                <w:color w:val="auto"/>
                <w:szCs w:val="21"/>
                <w:highlight w:val="none"/>
              </w:rPr>
            </w:pPr>
            <w:r>
              <w:rPr>
                <w:rFonts w:hint="eastAsia" w:hAnsi="宋体"/>
                <w:bCs/>
                <w:color w:val="auto"/>
                <w:szCs w:val="21"/>
                <w:highlight w:val="none"/>
              </w:rPr>
              <w:t>其他服务要求</w:t>
            </w:r>
          </w:p>
        </w:tc>
        <w:tc>
          <w:tcPr>
            <w:tcW w:w="6397" w:type="dxa"/>
            <w:vAlign w:val="center"/>
          </w:tcPr>
          <w:p>
            <w:pPr>
              <w:pStyle w:val="41"/>
              <w:ind w:firstLine="0" w:firstLineChars="0"/>
              <w:rPr>
                <w:rFonts w:ascii="宋体" w:hAnsi="宋体"/>
                <w:color w:val="auto"/>
                <w:szCs w:val="21"/>
                <w:highlight w:val="none"/>
              </w:rPr>
            </w:pPr>
            <w:r>
              <w:rPr>
                <w:rFonts w:hint="eastAsia" w:ascii="宋体" w:hAnsi="宋体"/>
                <w:color w:val="auto"/>
                <w:szCs w:val="21"/>
                <w:highlight w:val="none"/>
              </w:rPr>
              <w:t>详见技术需求书。</w:t>
            </w:r>
          </w:p>
        </w:tc>
      </w:tr>
    </w:tbl>
    <w:p>
      <w:pPr>
        <w:rPr>
          <w:color w:val="auto"/>
          <w:highlight w:val="none"/>
        </w:rPr>
      </w:pPr>
    </w:p>
    <w:p>
      <w:pPr>
        <w:pStyle w:val="2"/>
        <w:rPr>
          <w:color w:val="auto"/>
          <w:highlight w:val="none"/>
          <w:lang w:val="en-US"/>
        </w:rPr>
      </w:pPr>
    </w:p>
    <w:p>
      <w:pPr>
        <w:rPr>
          <w:rFonts w:ascii="宋体" w:hAnsi="宋体"/>
          <w:color w:val="auto"/>
          <w:highlight w:val="none"/>
        </w:rPr>
      </w:pPr>
      <w:bookmarkStart w:id="13" w:name="_Toc19316"/>
      <w:r>
        <w:rPr>
          <w:rFonts w:hint="eastAsia" w:ascii="宋体" w:hAnsi="宋体"/>
          <w:color w:val="auto"/>
          <w:highlight w:val="none"/>
        </w:rPr>
        <w:br w:type="page"/>
      </w:r>
    </w:p>
    <w:p>
      <w:pPr>
        <w:pStyle w:val="7"/>
        <w:spacing w:before="0" w:after="0" w:line="360" w:lineRule="auto"/>
        <w:jc w:val="center"/>
        <w:rPr>
          <w:color w:val="auto"/>
          <w:highlight w:val="none"/>
        </w:rPr>
      </w:pPr>
      <w:bookmarkStart w:id="14" w:name="_Toc30066"/>
      <w:r>
        <w:rPr>
          <w:rFonts w:hint="eastAsia" w:ascii="宋体" w:hAnsi="宋体"/>
          <w:color w:val="auto"/>
          <w:highlight w:val="none"/>
        </w:rPr>
        <w:t>第二章 技术需求书</w:t>
      </w:r>
      <w:bookmarkEnd w:id="13"/>
      <w:bookmarkEnd w:id="14"/>
    </w:p>
    <w:bookmarkEnd w:id="8"/>
    <w:p>
      <w:pPr>
        <w:pStyle w:val="87"/>
        <w:outlineLvl w:val="2"/>
        <w:rPr>
          <w:color w:val="auto"/>
          <w:sz w:val="21"/>
          <w:szCs w:val="21"/>
          <w:highlight w:val="none"/>
        </w:rPr>
      </w:pPr>
      <w:bookmarkStart w:id="15" w:name="_Toc70952562"/>
      <w:r>
        <w:rPr>
          <w:rFonts w:hint="eastAsia"/>
          <w:color w:val="auto"/>
          <w:sz w:val="21"/>
          <w:szCs w:val="21"/>
          <w:highlight w:val="none"/>
        </w:rPr>
        <w:t>一、项目概述</w:t>
      </w:r>
      <w:bookmarkEnd w:id="15"/>
    </w:p>
    <w:p>
      <w:pPr>
        <w:pStyle w:val="18"/>
        <w:ind w:left="0"/>
        <w:rPr>
          <w:color w:val="auto"/>
          <w:szCs w:val="21"/>
          <w:highlight w:val="none"/>
        </w:rPr>
      </w:pPr>
      <w:r>
        <w:rPr>
          <w:rFonts w:hint="eastAsia"/>
          <w:color w:val="auto"/>
          <w:szCs w:val="21"/>
          <w:highlight w:val="none"/>
        </w:rPr>
        <w:t xml:space="preserve">1.1 采购项目： </w:t>
      </w:r>
      <w:r>
        <w:rPr>
          <w:rFonts w:hint="eastAsia"/>
          <w:color w:val="auto"/>
          <w:szCs w:val="21"/>
          <w:highlight w:val="none"/>
          <w:u w:val="single"/>
        </w:rPr>
        <w:t xml:space="preserve">松山湖国际创新创业社区保洁服务 </w:t>
      </w:r>
      <w:r>
        <w:rPr>
          <w:rFonts w:hint="eastAsia"/>
          <w:color w:val="auto"/>
          <w:szCs w:val="21"/>
          <w:highlight w:val="none"/>
        </w:rPr>
        <w:t xml:space="preserve"> </w:t>
      </w:r>
    </w:p>
    <w:p>
      <w:pPr>
        <w:pStyle w:val="18"/>
        <w:ind w:left="0"/>
        <w:rPr>
          <w:rFonts w:ascii="宋体" w:hAnsi="宋体"/>
          <w:bCs/>
          <w:color w:val="auto"/>
          <w:szCs w:val="21"/>
          <w:highlight w:val="none"/>
        </w:rPr>
      </w:pPr>
      <w:r>
        <w:rPr>
          <w:rFonts w:hint="eastAsia" w:ascii="宋体" w:hAnsi="宋体"/>
          <w:bCs/>
          <w:color w:val="auto"/>
          <w:szCs w:val="21"/>
          <w:highlight w:val="none"/>
        </w:rPr>
        <w:t>1.2 项目概况：</w:t>
      </w:r>
      <w:r>
        <w:rPr>
          <w:rFonts w:hint="eastAsia" w:ascii="宋体" w:hAnsi="宋体"/>
          <w:bCs/>
          <w:color w:val="auto"/>
          <w:szCs w:val="21"/>
          <w:highlight w:val="none"/>
          <w:u w:val="single"/>
        </w:rPr>
        <w:t>松山湖国际创新创业社区位于松山湖，占地约397亩，总建筑面积约53万平方米，总建筑占地面积约为7万平方米，共有21个</w:t>
      </w:r>
      <w:r>
        <w:rPr>
          <w:rFonts w:hint="eastAsia" w:ascii="宋体" w:hAnsi="宋体"/>
          <w:bCs/>
          <w:color w:val="auto"/>
          <w:szCs w:val="21"/>
          <w:highlight w:val="none"/>
        </w:rPr>
        <w:t>单体。</w:t>
      </w:r>
      <w:r>
        <w:rPr>
          <w:rFonts w:hint="eastAsia" w:ascii="宋体" w:hAnsi="宋体"/>
          <w:bCs/>
          <w:color w:val="auto"/>
          <w:szCs w:val="21"/>
          <w:highlight w:val="none"/>
          <w:u w:val="single"/>
        </w:rPr>
        <w:t>项目划分为科技研发、产业孵化、商务配套及人才安居等四大功能分区。</w:t>
      </w:r>
    </w:p>
    <w:p>
      <w:pPr>
        <w:pStyle w:val="87"/>
        <w:outlineLvl w:val="2"/>
        <w:rPr>
          <w:rFonts w:cs="Times New Roman"/>
          <w:color w:val="auto"/>
          <w:sz w:val="21"/>
          <w:szCs w:val="21"/>
          <w:highlight w:val="none"/>
        </w:rPr>
      </w:pPr>
      <w:r>
        <w:rPr>
          <w:rFonts w:hint="eastAsia" w:cs="Times New Roman"/>
          <w:color w:val="auto"/>
          <w:sz w:val="21"/>
          <w:szCs w:val="21"/>
          <w:highlight w:val="none"/>
        </w:rPr>
        <w:t>二、服务范围及内容：</w:t>
      </w:r>
    </w:p>
    <w:p>
      <w:pPr>
        <w:pStyle w:val="18"/>
        <w:ind w:left="0" w:firstLine="420" w:firstLineChars="200"/>
        <w:rPr>
          <w:rFonts w:ascii="宋体" w:hAnsi="宋体"/>
          <w:bCs/>
          <w:color w:val="auto"/>
          <w:szCs w:val="21"/>
          <w:highlight w:val="none"/>
        </w:rPr>
      </w:pPr>
      <w:r>
        <w:rPr>
          <w:rFonts w:hint="eastAsia" w:ascii="宋体" w:hAnsi="宋体"/>
          <w:bCs/>
          <w:color w:val="auto"/>
          <w:szCs w:val="21"/>
          <w:highlight w:val="none"/>
        </w:rPr>
        <w:t>2.1 服务范围：</w:t>
      </w:r>
    </w:p>
    <w:p>
      <w:pPr>
        <w:pStyle w:val="18"/>
        <w:ind w:left="0"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服务范围：园区范围内所有的公共区域：包括室外广场、绿化、道路、阳台、露台、天台，地上及地下停车场，室内各楼层，大堂、公共走廊、过道；消防楼梯/消防通道、电梯厅（含电梯厅及其前室、通道）、电梯（含扶梯、客梯、货梯、转换梯、消防梯等）、前室、值班室、垃圾房、工具间、茶水间、洗手间、设备房等；消防门、公共设施设备、门窗、玻璃、标识牌、广告灯箱、灯具、屋面、雨棚、绿化带、管道、管井、地沟、空中花园等。</w:t>
      </w:r>
    </w:p>
    <w:p>
      <w:pPr>
        <w:pStyle w:val="18"/>
        <w:ind w:left="0" w:firstLine="420" w:firstLineChars="200"/>
        <w:rPr>
          <w:rFonts w:ascii="宋体" w:hAnsi="宋体"/>
          <w:bCs/>
          <w:color w:val="auto"/>
          <w:szCs w:val="21"/>
          <w:highlight w:val="none"/>
        </w:rPr>
      </w:pPr>
      <w:r>
        <w:rPr>
          <w:rFonts w:hint="eastAsia" w:ascii="宋体" w:hAnsi="宋体"/>
          <w:bCs/>
          <w:color w:val="auto"/>
          <w:szCs w:val="21"/>
          <w:highlight w:val="none"/>
        </w:rPr>
        <w:t>2.2 本项目最低人员配置及最低设备配置要求：</w:t>
      </w:r>
    </w:p>
    <w:p>
      <w:pPr>
        <w:pStyle w:val="18"/>
        <w:ind w:left="0" w:firstLine="420" w:firstLineChars="200"/>
        <w:rPr>
          <w:rFonts w:ascii="宋体" w:hAnsi="宋体"/>
          <w:bCs/>
          <w:color w:val="auto"/>
          <w:szCs w:val="21"/>
          <w:highlight w:val="none"/>
        </w:rPr>
      </w:pPr>
      <w:r>
        <w:rPr>
          <w:rFonts w:hint="eastAsia" w:ascii="宋体" w:hAnsi="宋体"/>
          <w:bCs/>
          <w:color w:val="auto"/>
          <w:szCs w:val="21"/>
          <w:highlight w:val="none"/>
        </w:rPr>
        <w:t>2.2.1最低人员配置：</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71"/>
        <w:gridCol w:w="1165"/>
        <w:gridCol w:w="17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bottom"/>
          </w:tcPr>
          <w:p>
            <w:pPr>
              <w:pStyle w:val="18"/>
              <w:ind w:left="0"/>
              <w:rPr>
                <w:rFonts w:ascii="宋体" w:hAnsi="宋体"/>
                <w:bCs/>
                <w:color w:val="auto"/>
                <w:szCs w:val="21"/>
                <w:highlight w:val="none"/>
              </w:rPr>
            </w:pPr>
            <w:r>
              <w:rPr>
                <w:rFonts w:hint="eastAsia" w:ascii="宋体" w:hAnsi="宋体"/>
                <w:bCs/>
                <w:color w:val="auto"/>
                <w:szCs w:val="21"/>
                <w:highlight w:val="none"/>
              </w:rPr>
              <w:t>序号</w:t>
            </w:r>
          </w:p>
        </w:tc>
        <w:tc>
          <w:tcPr>
            <w:tcW w:w="2171" w:type="dxa"/>
            <w:vAlign w:val="bottom"/>
          </w:tcPr>
          <w:p>
            <w:pPr>
              <w:pStyle w:val="18"/>
              <w:ind w:left="0"/>
              <w:rPr>
                <w:rFonts w:ascii="宋体" w:hAnsi="宋体"/>
                <w:bCs/>
                <w:color w:val="auto"/>
                <w:szCs w:val="21"/>
                <w:highlight w:val="none"/>
              </w:rPr>
            </w:pPr>
            <w:r>
              <w:rPr>
                <w:rFonts w:hint="eastAsia" w:ascii="宋体" w:hAnsi="宋体"/>
                <w:bCs/>
                <w:color w:val="auto"/>
                <w:szCs w:val="21"/>
                <w:highlight w:val="none"/>
              </w:rPr>
              <w:t>栋号</w:t>
            </w:r>
          </w:p>
        </w:tc>
        <w:tc>
          <w:tcPr>
            <w:tcW w:w="1165"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楼层数</w:t>
            </w:r>
          </w:p>
        </w:tc>
        <w:tc>
          <w:tcPr>
            <w:tcW w:w="173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地库层数</w:t>
            </w:r>
          </w:p>
        </w:tc>
        <w:tc>
          <w:tcPr>
            <w:tcW w:w="276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最低人员配置（6</w:t>
            </w:r>
            <w:r>
              <w:rPr>
                <w:rFonts w:hint="eastAsia" w:ascii="宋体" w:hAnsi="宋体"/>
                <w:bCs/>
                <w:color w:val="auto"/>
                <w:szCs w:val="21"/>
                <w:highlight w:val="none"/>
                <w:lang w:val="en-US" w:eastAsia="zh-CN"/>
              </w:rPr>
              <w:t>5</w:t>
            </w:r>
            <w:r>
              <w:rPr>
                <w:rFonts w:hint="eastAsia" w:ascii="宋体" w:hAnsi="宋体"/>
                <w:bCs/>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A1</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w:t>
            </w:r>
          </w:p>
        </w:tc>
        <w:tc>
          <w:tcPr>
            <w:tcW w:w="2767" w:type="dxa"/>
          </w:tcPr>
          <w:p>
            <w:pPr>
              <w:pStyle w:val="18"/>
              <w:ind w:left="0"/>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2</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A2</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3</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A3</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4</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A4</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A5</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20</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6</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B1</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7</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B2</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8</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C1A</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9</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9</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C1B</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6</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10</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D1</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9</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11</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D2</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7</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12</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D3</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13</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五期二A塔</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12</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14</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五期二B塔</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26</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15</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G1</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16</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G2</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17</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G3</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18</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G4</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20</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19</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H1</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11</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20</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H2</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24</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21</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H3</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29</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22</w:t>
            </w:r>
          </w:p>
        </w:tc>
        <w:tc>
          <w:tcPr>
            <w:tcW w:w="217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A区、G区、H区、BC区、商铺、外围地面清扫</w:t>
            </w:r>
          </w:p>
        </w:tc>
        <w:tc>
          <w:tcPr>
            <w:tcW w:w="1165"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w:t>
            </w:r>
          </w:p>
        </w:tc>
        <w:tc>
          <w:tcPr>
            <w:tcW w:w="173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w:t>
            </w:r>
          </w:p>
        </w:tc>
        <w:tc>
          <w:tcPr>
            <w:tcW w:w="276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23</w:t>
            </w:r>
          </w:p>
        </w:tc>
        <w:tc>
          <w:tcPr>
            <w:tcW w:w="217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领班兼机动</w:t>
            </w:r>
          </w:p>
        </w:tc>
        <w:tc>
          <w:tcPr>
            <w:tcW w:w="1165"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w:t>
            </w:r>
          </w:p>
        </w:tc>
        <w:tc>
          <w:tcPr>
            <w:tcW w:w="173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w:t>
            </w:r>
          </w:p>
        </w:tc>
        <w:tc>
          <w:tcPr>
            <w:tcW w:w="276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24</w:t>
            </w:r>
          </w:p>
        </w:tc>
        <w:tc>
          <w:tcPr>
            <w:tcW w:w="217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项目负责人</w:t>
            </w:r>
          </w:p>
        </w:tc>
        <w:tc>
          <w:tcPr>
            <w:tcW w:w="1165"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w:t>
            </w:r>
          </w:p>
        </w:tc>
        <w:tc>
          <w:tcPr>
            <w:tcW w:w="173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w:t>
            </w:r>
          </w:p>
        </w:tc>
        <w:tc>
          <w:tcPr>
            <w:tcW w:w="276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25</w:t>
            </w:r>
          </w:p>
        </w:tc>
        <w:tc>
          <w:tcPr>
            <w:tcW w:w="217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共计（其中，中午、夜间值班3人，12小时/人）</w:t>
            </w:r>
          </w:p>
        </w:tc>
        <w:tc>
          <w:tcPr>
            <w:tcW w:w="1165" w:type="dxa"/>
            <w:vAlign w:val="center"/>
          </w:tcPr>
          <w:p>
            <w:pPr>
              <w:pStyle w:val="18"/>
              <w:ind w:left="0"/>
              <w:rPr>
                <w:rFonts w:ascii="宋体" w:hAnsi="宋体"/>
                <w:bCs/>
                <w:color w:val="auto"/>
                <w:szCs w:val="21"/>
                <w:highlight w:val="none"/>
              </w:rPr>
            </w:pPr>
          </w:p>
        </w:tc>
        <w:tc>
          <w:tcPr>
            <w:tcW w:w="1736" w:type="dxa"/>
            <w:vAlign w:val="center"/>
          </w:tcPr>
          <w:p>
            <w:pPr>
              <w:pStyle w:val="18"/>
              <w:ind w:left="0"/>
              <w:jc w:val="center"/>
              <w:rPr>
                <w:rFonts w:ascii="宋体" w:hAnsi="宋体"/>
                <w:bCs/>
                <w:color w:val="auto"/>
                <w:szCs w:val="21"/>
                <w:highlight w:val="none"/>
              </w:rPr>
            </w:pPr>
          </w:p>
        </w:tc>
        <w:tc>
          <w:tcPr>
            <w:tcW w:w="2767" w:type="dxa"/>
            <w:vAlign w:val="center"/>
          </w:tcPr>
          <w:p>
            <w:pPr>
              <w:pStyle w:val="18"/>
              <w:ind w:left="0"/>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rPr>
              <w:t>6</w:t>
            </w:r>
            <w:r>
              <w:rPr>
                <w:rFonts w:hint="eastAsia" w:ascii="宋体" w:hAnsi="宋体"/>
                <w:bCs/>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9" w:type="dxa"/>
            <w:gridSpan w:val="5"/>
            <w:vAlign w:val="center"/>
          </w:tcPr>
          <w:p>
            <w:pPr>
              <w:pStyle w:val="18"/>
              <w:ind w:left="0"/>
              <w:jc w:val="center"/>
              <w:rPr>
                <w:rFonts w:ascii="宋体" w:hAnsi="宋体"/>
                <w:bCs/>
                <w:color w:val="auto"/>
                <w:szCs w:val="21"/>
                <w:highlight w:val="none"/>
              </w:rPr>
            </w:pPr>
          </w:p>
        </w:tc>
      </w:tr>
    </w:tbl>
    <w:p>
      <w:pPr>
        <w:pStyle w:val="18"/>
        <w:ind w:left="0" w:firstLine="420" w:firstLineChars="200"/>
        <w:rPr>
          <w:rFonts w:ascii="宋体" w:hAnsi="宋体"/>
          <w:bCs/>
          <w:color w:val="auto"/>
          <w:szCs w:val="21"/>
          <w:highlight w:val="none"/>
        </w:rPr>
      </w:pPr>
      <w:r>
        <w:rPr>
          <w:rFonts w:hint="eastAsia" w:ascii="宋体" w:hAnsi="宋体"/>
          <w:bCs/>
          <w:color w:val="auto"/>
          <w:szCs w:val="21"/>
          <w:highlight w:val="none"/>
        </w:rPr>
        <w:t>2.2.2最低设备配置要求（需</w:t>
      </w:r>
      <w:r>
        <w:rPr>
          <w:rFonts w:ascii="宋体" w:hAnsi="宋体"/>
          <w:bCs/>
          <w:color w:val="auto"/>
          <w:szCs w:val="21"/>
          <w:highlight w:val="none"/>
        </w:rPr>
        <w:t>9</w:t>
      </w:r>
      <w:r>
        <w:rPr>
          <w:rFonts w:hint="eastAsia" w:ascii="宋体" w:hAnsi="宋体"/>
          <w:bCs/>
          <w:color w:val="auto"/>
          <w:szCs w:val="21"/>
          <w:highlight w:val="none"/>
        </w:rPr>
        <w:t>成新以上）：</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315"/>
        <w:gridCol w:w="881"/>
        <w:gridCol w:w="1560"/>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序号</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设备名称</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单位</w:t>
            </w:r>
          </w:p>
        </w:tc>
        <w:tc>
          <w:tcPr>
            <w:tcW w:w="1560"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数量</w:t>
            </w:r>
          </w:p>
        </w:tc>
        <w:tc>
          <w:tcPr>
            <w:tcW w:w="264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电动三轮车</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辆</w:t>
            </w:r>
          </w:p>
        </w:tc>
        <w:tc>
          <w:tcPr>
            <w:tcW w:w="1560"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4</w:t>
            </w: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运送清洁工具及物资及清运垃圾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高压冲洗机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3</w:t>
            </w: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冲洗地面、地毯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3</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全自动洗地机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3</w:t>
            </w: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刷洗地库、道路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4</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手推式洗地机（电瓶式）</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3</w:t>
            </w: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刷洗地库、道路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5</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驾驶式扫地机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清扫地库、道路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6</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单擦机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清除地面顽固污渍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7</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晶面抛光机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大理石晶面养护、抛光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8</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鼓风机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5</w:t>
            </w: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清除洗手间异味、加快地面干燥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9</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吸尘/吸水机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3</w:t>
            </w: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其他区域吸尘作业。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10</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晶面手磨机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用于壁面大理石晶面养护</w:t>
            </w:r>
          </w:p>
        </w:tc>
      </w:tr>
    </w:tbl>
    <w:p>
      <w:pPr>
        <w:pStyle w:val="18"/>
        <w:ind w:left="0"/>
        <w:rPr>
          <w:rFonts w:ascii="宋体" w:hAnsi="宋体"/>
          <w:bCs/>
          <w:color w:val="auto"/>
          <w:szCs w:val="21"/>
          <w:highlight w:val="none"/>
        </w:rPr>
      </w:pPr>
      <w:r>
        <w:rPr>
          <w:rFonts w:hint="eastAsia" w:ascii="宋体" w:hAnsi="宋体"/>
          <w:bCs/>
          <w:color w:val="auto"/>
          <w:szCs w:val="21"/>
          <w:highlight w:val="none"/>
        </w:rPr>
        <w:t xml:space="preserve"> </w:t>
      </w:r>
    </w:p>
    <w:p>
      <w:pPr>
        <w:pStyle w:val="18"/>
        <w:ind w:left="0"/>
        <w:rPr>
          <w:rFonts w:ascii="宋体" w:hAnsi="宋体"/>
          <w:bCs/>
          <w:color w:val="auto"/>
          <w:szCs w:val="21"/>
          <w:highlight w:val="none"/>
        </w:rPr>
      </w:pPr>
    </w:p>
    <w:p>
      <w:pPr>
        <w:pStyle w:val="18"/>
        <w:ind w:left="0"/>
        <w:rPr>
          <w:rFonts w:ascii="宋体" w:hAnsi="宋体"/>
          <w:bCs/>
          <w:color w:val="auto"/>
          <w:szCs w:val="21"/>
          <w:highlight w:val="none"/>
        </w:rPr>
      </w:pPr>
      <w:r>
        <w:rPr>
          <w:rFonts w:hint="eastAsia" w:ascii="宋体" w:hAnsi="宋体"/>
          <w:bCs/>
          <w:color w:val="auto"/>
          <w:szCs w:val="21"/>
          <w:highlight w:val="none"/>
        </w:rPr>
        <w:t>2.3服务标准及服务要求：</w:t>
      </w:r>
    </w:p>
    <w:p>
      <w:pPr>
        <w:pStyle w:val="18"/>
        <w:ind w:left="0"/>
        <w:rPr>
          <w:rFonts w:ascii="宋体" w:hAnsi="宋体"/>
          <w:bCs/>
          <w:color w:val="auto"/>
          <w:szCs w:val="21"/>
          <w:highlight w:val="none"/>
        </w:rPr>
      </w:pPr>
      <w:r>
        <w:rPr>
          <w:rFonts w:hint="eastAsia" w:ascii="宋体" w:hAnsi="宋体"/>
          <w:bCs/>
          <w:color w:val="auto"/>
          <w:szCs w:val="21"/>
          <w:highlight w:val="none"/>
        </w:rPr>
        <w:t>2.3.1清洁人员要求：</w:t>
      </w:r>
    </w:p>
    <w:p>
      <w:pPr>
        <w:pStyle w:val="18"/>
        <w:ind w:left="0"/>
        <w:rPr>
          <w:rFonts w:ascii="宋体" w:hAnsi="宋体"/>
          <w:bCs/>
          <w:color w:val="auto"/>
          <w:szCs w:val="21"/>
          <w:highlight w:val="none"/>
        </w:rPr>
      </w:pPr>
      <w:r>
        <w:rPr>
          <w:rFonts w:hint="eastAsia" w:ascii="宋体" w:hAnsi="宋体"/>
          <w:bCs/>
          <w:color w:val="auto"/>
          <w:szCs w:val="21"/>
          <w:highlight w:val="none"/>
        </w:rPr>
        <w:t>（1）清洁人员需身体健康、无传染性疾病或其他重大疾病，男性不能超过  55周岁，女性不能超过50周岁。50岁以下员工的比例需达到60﹪以上，其中男性员工比例需达到35﹪以上。</w:t>
      </w:r>
    </w:p>
    <w:p>
      <w:pPr>
        <w:pStyle w:val="18"/>
        <w:ind w:left="0"/>
        <w:rPr>
          <w:rFonts w:ascii="宋体" w:hAnsi="宋体"/>
          <w:bCs/>
          <w:color w:val="auto"/>
          <w:szCs w:val="21"/>
          <w:highlight w:val="none"/>
        </w:rPr>
      </w:pPr>
      <w:r>
        <w:rPr>
          <w:rFonts w:hint="eastAsia" w:ascii="宋体" w:hAnsi="宋体"/>
          <w:bCs/>
          <w:color w:val="auto"/>
          <w:szCs w:val="21"/>
          <w:highlight w:val="none"/>
        </w:rPr>
        <w:t>（2）无犯罪或其他不良情况记录；</w:t>
      </w:r>
    </w:p>
    <w:p>
      <w:pPr>
        <w:pStyle w:val="18"/>
        <w:ind w:left="0"/>
        <w:rPr>
          <w:rFonts w:ascii="宋体" w:hAnsi="宋体"/>
          <w:bCs/>
          <w:color w:val="auto"/>
          <w:szCs w:val="21"/>
          <w:highlight w:val="none"/>
        </w:rPr>
      </w:pPr>
      <w:r>
        <w:rPr>
          <w:rFonts w:hint="eastAsia" w:ascii="宋体" w:hAnsi="宋体"/>
          <w:bCs/>
          <w:color w:val="auto"/>
          <w:szCs w:val="21"/>
          <w:highlight w:val="none"/>
        </w:rPr>
        <w:t>（3）清洁人员吃、住等问题由投标人自行负责；</w:t>
      </w:r>
    </w:p>
    <w:p>
      <w:pPr>
        <w:pStyle w:val="18"/>
        <w:ind w:left="0"/>
        <w:rPr>
          <w:rFonts w:ascii="宋体" w:hAnsi="宋体"/>
          <w:bCs/>
          <w:color w:val="auto"/>
          <w:szCs w:val="21"/>
          <w:highlight w:val="none"/>
        </w:rPr>
      </w:pPr>
      <w:r>
        <w:rPr>
          <w:rFonts w:hint="eastAsia" w:ascii="宋体" w:hAnsi="宋体"/>
          <w:bCs/>
          <w:color w:val="auto"/>
          <w:szCs w:val="21"/>
          <w:highlight w:val="none"/>
        </w:rPr>
        <w:t>（4）若有大型接待活动和突发事件时应免费增派人员协助现场管理；</w:t>
      </w:r>
    </w:p>
    <w:p>
      <w:pPr>
        <w:pStyle w:val="18"/>
        <w:ind w:left="0"/>
        <w:rPr>
          <w:rFonts w:ascii="宋体" w:hAnsi="宋体"/>
          <w:bCs/>
          <w:color w:val="auto"/>
          <w:szCs w:val="21"/>
          <w:highlight w:val="none"/>
        </w:rPr>
      </w:pPr>
      <w:r>
        <w:rPr>
          <w:rFonts w:hint="eastAsia" w:ascii="宋体" w:hAnsi="宋体"/>
          <w:bCs/>
          <w:color w:val="auto"/>
          <w:szCs w:val="21"/>
          <w:highlight w:val="none"/>
        </w:rPr>
        <w:t>（5）合同履行过程中，因投标人清洁人员变动或其它原因，需调换或新招员工的，在员工进场之前，需知会采购人，并由采购人面试合格方可进场；</w:t>
      </w:r>
    </w:p>
    <w:p>
      <w:pPr>
        <w:pStyle w:val="18"/>
        <w:ind w:left="0"/>
        <w:rPr>
          <w:rFonts w:ascii="宋体" w:hAnsi="宋体"/>
          <w:bCs/>
          <w:color w:val="auto"/>
          <w:szCs w:val="21"/>
          <w:highlight w:val="none"/>
        </w:rPr>
      </w:pPr>
      <w:r>
        <w:rPr>
          <w:rFonts w:hint="eastAsia" w:ascii="宋体" w:hAnsi="宋体"/>
          <w:bCs/>
          <w:color w:val="auto"/>
          <w:szCs w:val="21"/>
          <w:highlight w:val="none"/>
        </w:rPr>
        <w:t xml:space="preserve">（6）服务时间暂定07：30-17：30；部分岗位需中午、夜间值班，12小时/日（可根据现场适当调整）； </w:t>
      </w:r>
    </w:p>
    <w:p>
      <w:pPr>
        <w:pStyle w:val="18"/>
        <w:ind w:left="0"/>
        <w:rPr>
          <w:rFonts w:ascii="宋体" w:hAnsi="宋体"/>
          <w:bCs/>
          <w:color w:val="auto"/>
          <w:szCs w:val="21"/>
          <w:highlight w:val="none"/>
        </w:rPr>
      </w:pPr>
      <w:r>
        <w:rPr>
          <w:rFonts w:hint="eastAsia" w:ascii="宋体" w:hAnsi="宋体"/>
          <w:bCs/>
          <w:color w:val="auto"/>
          <w:szCs w:val="21"/>
          <w:highlight w:val="none"/>
        </w:rPr>
        <w:t>（7）应急需求：在甲方通知30分钟内，需至少能够组织不少于10人到场参与应急服务（不额外收费）；</w:t>
      </w:r>
    </w:p>
    <w:p>
      <w:pPr>
        <w:pStyle w:val="18"/>
        <w:ind w:left="0"/>
        <w:rPr>
          <w:rFonts w:ascii="宋体" w:hAnsi="宋体"/>
          <w:bCs/>
          <w:color w:val="auto"/>
          <w:szCs w:val="21"/>
          <w:highlight w:val="none"/>
        </w:rPr>
      </w:pPr>
      <w:r>
        <w:rPr>
          <w:rFonts w:hint="eastAsia" w:ascii="宋体" w:hAnsi="宋体"/>
          <w:bCs/>
          <w:color w:val="auto"/>
          <w:szCs w:val="21"/>
          <w:highlight w:val="none"/>
        </w:rPr>
        <w:t>（9）工作时间内必须统一身着统一制服、佩带工作证。</w:t>
      </w:r>
    </w:p>
    <w:p>
      <w:pPr>
        <w:pStyle w:val="18"/>
        <w:ind w:left="0"/>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11</w:t>
      </w:r>
      <w:r>
        <w:rPr>
          <w:rFonts w:hint="eastAsia" w:ascii="宋体" w:hAnsi="宋体"/>
          <w:bCs/>
          <w:color w:val="auto"/>
          <w:szCs w:val="21"/>
          <w:highlight w:val="none"/>
        </w:rPr>
        <w:t>）供应商派驻本项目现场的保洁人员在岗不低于</w:t>
      </w:r>
      <w:r>
        <w:rPr>
          <w:rFonts w:ascii="宋体" w:hAnsi="宋体"/>
          <w:bCs/>
          <w:color w:val="auto"/>
          <w:szCs w:val="21"/>
          <w:highlight w:val="none"/>
        </w:rPr>
        <w:t>6</w:t>
      </w:r>
      <w:r>
        <w:rPr>
          <w:rFonts w:hint="eastAsia" w:ascii="宋体" w:hAnsi="宋体"/>
          <w:bCs/>
          <w:color w:val="auto"/>
          <w:szCs w:val="21"/>
          <w:highlight w:val="none"/>
          <w:lang w:val="en-US" w:eastAsia="zh-CN"/>
        </w:rPr>
        <w:t>5</w:t>
      </w:r>
      <w:r>
        <w:rPr>
          <w:rFonts w:hint="eastAsia" w:ascii="宋体" w:hAnsi="宋体"/>
          <w:bCs/>
          <w:color w:val="auto"/>
          <w:szCs w:val="21"/>
          <w:highlight w:val="none"/>
        </w:rPr>
        <w:t>人（含主管）。每月均需提供到岗人员清单及工作打卡记录或签到表。采购方有权要求对人员进行更换或调整，供应商应给予积极配合。同时采购人有权根据现场实际情况要求增减工作人员，每增减一人则以最终签订合同总价/12/6</w:t>
      </w:r>
      <w:r>
        <w:rPr>
          <w:rFonts w:hint="eastAsia" w:ascii="宋体" w:hAnsi="宋体"/>
          <w:bCs/>
          <w:color w:val="auto"/>
          <w:szCs w:val="21"/>
          <w:highlight w:val="none"/>
          <w:lang w:val="en-US" w:eastAsia="zh-CN"/>
        </w:rPr>
        <w:t>5</w:t>
      </w:r>
      <w:r>
        <w:rPr>
          <w:rFonts w:hint="eastAsia" w:ascii="宋体" w:hAnsi="宋体"/>
          <w:bCs/>
          <w:color w:val="auto"/>
          <w:szCs w:val="21"/>
          <w:highlight w:val="none"/>
        </w:rPr>
        <w:t>（元/人/月）的标准计算。</w:t>
      </w:r>
    </w:p>
    <w:p>
      <w:pPr>
        <w:pStyle w:val="18"/>
        <w:ind w:left="0"/>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2</w:t>
      </w:r>
      <w:r>
        <w:rPr>
          <w:rFonts w:hint="eastAsia" w:ascii="宋体" w:hAnsi="宋体"/>
          <w:bCs/>
          <w:color w:val="auto"/>
          <w:szCs w:val="21"/>
          <w:highlight w:val="none"/>
        </w:rPr>
        <w:t>）若因供应商自身原因导致实际到岗人数低于承诺人数，则按实际出勤以4</w:t>
      </w:r>
      <w:r>
        <w:rPr>
          <w:rFonts w:ascii="宋体" w:hAnsi="宋体"/>
          <w:bCs/>
          <w:color w:val="auto"/>
          <w:szCs w:val="21"/>
          <w:highlight w:val="none"/>
        </w:rPr>
        <w:t>200</w:t>
      </w:r>
      <w:r>
        <w:rPr>
          <w:rFonts w:hint="eastAsia" w:ascii="宋体" w:hAnsi="宋体"/>
          <w:bCs/>
          <w:color w:val="auto"/>
          <w:szCs w:val="21"/>
          <w:highlight w:val="none"/>
        </w:rPr>
        <w:t>元/人/月的标准在当月服务费用中进行扣减。</w:t>
      </w:r>
    </w:p>
    <w:p>
      <w:pPr>
        <w:pStyle w:val="18"/>
        <w:ind w:left="0"/>
        <w:rPr>
          <w:rFonts w:ascii="宋体" w:hAnsi="宋体"/>
          <w:bCs/>
          <w:color w:val="auto"/>
          <w:szCs w:val="21"/>
          <w:highlight w:val="none"/>
        </w:rPr>
      </w:pPr>
      <w:r>
        <w:rPr>
          <w:rFonts w:hint="eastAsia" w:ascii="宋体" w:hAnsi="宋体"/>
          <w:bCs/>
          <w:color w:val="auto"/>
          <w:szCs w:val="21"/>
          <w:highlight w:val="none"/>
        </w:rPr>
        <w:t>2.3.</w:t>
      </w:r>
      <w:r>
        <w:rPr>
          <w:rFonts w:ascii="宋体" w:hAnsi="宋体"/>
          <w:bCs/>
          <w:color w:val="auto"/>
          <w:szCs w:val="21"/>
          <w:highlight w:val="none"/>
        </w:rPr>
        <w:t>2</w:t>
      </w:r>
      <w:r>
        <w:rPr>
          <w:rFonts w:hint="eastAsia" w:ascii="宋体" w:hAnsi="宋体"/>
          <w:bCs/>
          <w:color w:val="auto"/>
          <w:szCs w:val="21"/>
          <w:highlight w:val="none"/>
        </w:rPr>
        <w:t>清洁服务频率及服务标准</w:t>
      </w:r>
    </w:p>
    <w:p>
      <w:pPr>
        <w:pStyle w:val="18"/>
        <w:ind w:left="0"/>
        <w:rPr>
          <w:rFonts w:ascii="宋体" w:hAnsi="宋体"/>
          <w:bCs/>
          <w:color w:val="auto"/>
          <w:szCs w:val="21"/>
          <w:highlight w:val="none"/>
        </w:rPr>
      </w:pPr>
      <w:r>
        <w:rPr>
          <w:rFonts w:hint="eastAsia" w:ascii="宋体" w:hAnsi="宋体"/>
          <w:bCs/>
          <w:color w:val="auto"/>
          <w:szCs w:val="21"/>
          <w:highlight w:val="none"/>
        </w:rPr>
        <w:t>（1）外围部分日常清洁频率及标准</w:t>
      </w:r>
    </w:p>
    <w:tbl>
      <w:tblPr>
        <w:tblStyle w:val="29"/>
        <w:tblW w:w="0" w:type="auto"/>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963"/>
        <w:gridCol w:w="821"/>
        <w:gridCol w:w="1144"/>
        <w:gridCol w:w="983"/>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blHeader/>
        </w:trPr>
        <w:tc>
          <w:tcPr>
            <w:tcW w:w="1439"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项目</w:t>
            </w:r>
          </w:p>
        </w:tc>
        <w:tc>
          <w:tcPr>
            <w:tcW w:w="1963"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日常清洁</w:t>
            </w:r>
          </w:p>
        </w:tc>
        <w:tc>
          <w:tcPr>
            <w:tcW w:w="2948" w:type="dxa"/>
            <w:gridSpan w:val="3"/>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exact"/>
          <w:tblHeader/>
        </w:trPr>
        <w:tc>
          <w:tcPr>
            <w:tcW w:w="1439"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963"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每日</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每周</w:t>
            </w: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每年</w:t>
            </w:r>
          </w:p>
        </w:tc>
        <w:tc>
          <w:tcPr>
            <w:tcW w:w="2521"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地面（含路面）</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清扫</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清洗一次</w:t>
            </w: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无污渍、无垃圾，100平方米内烟头和纸屑不超过3处。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花坛/花圃</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清扫、拾捡</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无杂物，表面洁净。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空中花园</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清扫、拾捡</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绿化带</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巡回保洁</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无垃圾杂物，垃圾滞留时间不超过30分钟。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排水沟（明沟、阴沟）</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拾捡、冲洗</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无积水、淤泥，无烟头等垃圾。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把手</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擦拭</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清刮一次</w:t>
            </w: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风口百叶</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擦拭</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广告牌及门牌</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擦拭</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扶梯</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擦拭</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39"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垃圾箱</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清理</w:t>
            </w:r>
          </w:p>
        </w:tc>
        <w:tc>
          <w:tcPr>
            <w:tcW w:w="821"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至少两次</w:t>
            </w:r>
          </w:p>
        </w:tc>
        <w:tc>
          <w:tcPr>
            <w:tcW w:w="1144"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清洗一次</w:t>
            </w:r>
          </w:p>
        </w:tc>
        <w:tc>
          <w:tcPr>
            <w:tcW w:w="983"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垃圾不超过桶的2/3，无异味，桶面无污渍。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39"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表面清洁</w:t>
            </w:r>
          </w:p>
        </w:tc>
        <w:tc>
          <w:tcPr>
            <w:tcW w:w="821"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四次</w:t>
            </w:r>
          </w:p>
        </w:tc>
        <w:tc>
          <w:tcPr>
            <w:tcW w:w="1144"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3"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广场</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清扫、冲洗</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循环保洁</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p>
            <w:pPr>
              <w:pStyle w:val="18"/>
              <w:spacing w:line="240" w:lineRule="auto"/>
              <w:ind w:left="0"/>
              <w:rPr>
                <w:rFonts w:ascii="宋体" w:hAnsi="宋体"/>
                <w:bCs/>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无垃圾杂物，垃圾滞留时间不超过30分钟。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消防设施</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除尘、抹拭</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连廊（含地面、围栏）</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清扫、擦拭</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至少两次</w:t>
            </w: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清洗一次</w:t>
            </w: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143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天井、雨棚</w:t>
            </w:r>
          </w:p>
        </w:tc>
        <w:tc>
          <w:tcPr>
            <w:tcW w:w="196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清洗</w:t>
            </w:r>
          </w:p>
        </w:tc>
        <w:tc>
          <w:tcPr>
            <w:tcW w:w="8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kern w:val="0"/>
                <w:szCs w:val="21"/>
                <w:highlight w:val="none"/>
              </w:rPr>
            </w:pPr>
            <w:r>
              <w:rPr>
                <w:rFonts w:hint="eastAsia" w:ascii="宋体" w:hAnsi="宋体"/>
                <w:bCs/>
                <w:color w:val="auto"/>
                <w:szCs w:val="21"/>
                <w:highlight w:val="none"/>
              </w:rPr>
              <w:t>一次</w:t>
            </w:r>
          </w:p>
        </w:tc>
        <w:tc>
          <w:tcPr>
            <w:tcW w:w="9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kern w:val="0"/>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kern w:val="0"/>
                <w:szCs w:val="21"/>
                <w:highlight w:val="none"/>
              </w:rPr>
            </w:pPr>
            <w:r>
              <w:rPr>
                <w:rFonts w:hint="eastAsia" w:ascii="宋体" w:hAnsi="宋体"/>
                <w:bCs/>
                <w:color w:val="auto"/>
                <w:szCs w:val="21"/>
                <w:highlight w:val="none"/>
              </w:rPr>
              <w:t>无污渍、表面光亮。</w:t>
            </w:r>
          </w:p>
        </w:tc>
      </w:tr>
    </w:tbl>
    <w:p>
      <w:pPr>
        <w:pStyle w:val="18"/>
        <w:ind w:left="0"/>
        <w:rPr>
          <w:rFonts w:ascii="宋体" w:hAnsi="宋体"/>
          <w:bCs/>
          <w:color w:val="auto"/>
          <w:szCs w:val="21"/>
          <w:highlight w:val="none"/>
        </w:rPr>
      </w:pPr>
    </w:p>
    <w:p>
      <w:pPr>
        <w:pStyle w:val="18"/>
        <w:ind w:left="0"/>
        <w:rPr>
          <w:rFonts w:ascii="宋体" w:hAnsi="宋体"/>
          <w:bCs/>
          <w:color w:val="auto"/>
          <w:szCs w:val="21"/>
          <w:highlight w:val="none"/>
        </w:rPr>
      </w:pPr>
      <w:r>
        <w:rPr>
          <w:rFonts w:hint="eastAsia" w:ascii="宋体" w:hAnsi="宋体"/>
          <w:bCs/>
          <w:color w:val="auto"/>
          <w:szCs w:val="21"/>
          <w:highlight w:val="none"/>
        </w:rPr>
        <w:t>（2）大堂日常清洁频率及标准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961"/>
        <w:gridCol w:w="822"/>
        <w:gridCol w:w="1146"/>
        <w:gridCol w:w="981"/>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blHeader/>
        </w:trPr>
        <w:tc>
          <w:tcPr>
            <w:tcW w:w="1805"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项目</w:t>
            </w:r>
          </w:p>
        </w:tc>
        <w:tc>
          <w:tcPr>
            <w:tcW w:w="196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日常清洁</w:t>
            </w:r>
          </w:p>
        </w:tc>
        <w:tc>
          <w:tcPr>
            <w:tcW w:w="2949" w:type="dxa"/>
            <w:gridSpan w:val="3"/>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exact"/>
          <w:tblHeader/>
        </w:trPr>
        <w:tc>
          <w:tcPr>
            <w:tcW w:w="1805"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961"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每日</w:t>
            </w:r>
          </w:p>
        </w:tc>
        <w:tc>
          <w:tcPr>
            <w:tcW w:w="1146"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每年</w:t>
            </w:r>
          </w:p>
        </w:tc>
        <w:tc>
          <w:tcPr>
            <w:tcW w:w="2521"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地面</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推尘</w:t>
            </w:r>
          </w:p>
        </w:tc>
        <w:tc>
          <w:tcPr>
            <w:tcW w:w="822"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六次</w:t>
            </w:r>
          </w:p>
        </w:tc>
        <w:tc>
          <w:tcPr>
            <w:tcW w:w="1146"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无污渍、无灰尘、地面亮。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保洁</w:t>
            </w:r>
          </w:p>
        </w:tc>
        <w:tc>
          <w:tcPr>
            <w:tcW w:w="822"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146"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墙面</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3米以上玻璃（含首层大堂雨棚）</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清洗</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水牌</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大堂服务台及办公用具</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四次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玻璃门</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清刮</w:t>
            </w:r>
          </w:p>
        </w:tc>
        <w:tc>
          <w:tcPr>
            <w:tcW w:w="822"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保洁</w:t>
            </w:r>
          </w:p>
        </w:tc>
        <w:tc>
          <w:tcPr>
            <w:tcW w:w="822"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146"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3米以下幕墙玻璃</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刮洗一次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光亮，无手印、污迹。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消防箱及警铃</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抹拭（包括箱内）</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trPr>
        <w:tc>
          <w:tcPr>
            <w:tcW w:w="1805"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垃圾箱</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清理垃圾</w:t>
            </w:r>
          </w:p>
        </w:tc>
        <w:tc>
          <w:tcPr>
            <w:tcW w:w="822"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至少四次</w:t>
            </w:r>
          </w:p>
        </w:tc>
        <w:tc>
          <w:tcPr>
            <w:tcW w:w="1146"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垃圾不超过桶的2/3，无异味。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表面清洁</w:t>
            </w:r>
          </w:p>
        </w:tc>
        <w:tc>
          <w:tcPr>
            <w:tcW w:w="822"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四次</w:t>
            </w:r>
          </w:p>
        </w:tc>
        <w:tc>
          <w:tcPr>
            <w:tcW w:w="1146"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租摆植物、盆</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叶面光亮，花盆内无垃圾，表面无尘。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闸机</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纸巾擦拭30公分无污渍，表面光亮。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筒灯</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无灰尘，无蜘蛛网。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电力插头</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墙角线</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无蜘蛛网、污渍。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冷气出/入风口</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废纸筒</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清除废物</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指示器材/喇叭烟感</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墙壁灯饰</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装饰物及画</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0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家具</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抹拭/保养腊</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trPr>
        <w:tc>
          <w:tcPr>
            <w:tcW w:w="1805"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地毯</w:t>
            </w: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吸尘</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无污渍，遇特殊情况需立即清洗，不另行结算。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trPr>
        <w:tc>
          <w:tcPr>
            <w:tcW w:w="1805"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96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清洗</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6次</w:t>
            </w:r>
          </w:p>
        </w:tc>
        <w:tc>
          <w:tcPr>
            <w:tcW w:w="2521"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bl>
    <w:p>
      <w:pPr>
        <w:pStyle w:val="18"/>
        <w:ind w:left="0"/>
        <w:rPr>
          <w:rFonts w:ascii="宋体" w:hAnsi="宋体"/>
          <w:bCs/>
          <w:color w:val="auto"/>
          <w:szCs w:val="21"/>
          <w:highlight w:val="none"/>
        </w:rPr>
      </w:pPr>
      <w:r>
        <w:rPr>
          <w:rFonts w:hint="eastAsia" w:ascii="宋体" w:hAnsi="宋体"/>
          <w:bCs/>
          <w:color w:val="auto"/>
          <w:szCs w:val="21"/>
          <w:highlight w:val="none"/>
        </w:rPr>
        <w:t>（3）卫生间日常清洁频率及标准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1975"/>
        <w:gridCol w:w="1053"/>
        <w:gridCol w:w="1080"/>
        <w:gridCol w:w="990"/>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tblHeader/>
          <w:jc w:val="center"/>
        </w:trPr>
        <w:tc>
          <w:tcPr>
            <w:tcW w:w="1767"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w:t>
            </w:r>
          </w:p>
        </w:tc>
        <w:tc>
          <w:tcPr>
            <w:tcW w:w="1975"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日常清洁</w:t>
            </w:r>
          </w:p>
        </w:tc>
        <w:tc>
          <w:tcPr>
            <w:tcW w:w="3123" w:type="dxa"/>
            <w:gridSpan w:val="3"/>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371"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exact"/>
          <w:tblHeader/>
          <w:jc w:val="center"/>
        </w:trPr>
        <w:tc>
          <w:tcPr>
            <w:tcW w:w="1767"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75"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053"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w:t>
            </w:r>
          </w:p>
        </w:tc>
        <w:tc>
          <w:tcPr>
            <w:tcW w:w="1080"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每月</w:t>
            </w:r>
          </w:p>
        </w:tc>
        <w:tc>
          <w:tcPr>
            <w:tcW w:w="990"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每年</w:t>
            </w:r>
          </w:p>
        </w:tc>
        <w:tc>
          <w:tcPr>
            <w:tcW w:w="2371"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1767"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w:t>
            </w: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30分钟一次</w:t>
            </w: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无水迹，无脚印。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exact"/>
          <w:jc w:val="center"/>
        </w:trPr>
        <w:tc>
          <w:tcPr>
            <w:tcW w:w="1767"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用消毒清洁剂湿拖清洗</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无水迹，无脚印。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墙面</w:t>
            </w: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无乱涂乱画，无灰尘、蜘蛛网等污渍。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天花</w:t>
            </w: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坐厕间隔墙</w:t>
            </w: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抹拭、消毒</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便器</w:t>
            </w: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保洁、消毒（禁止用腐蚀性清洁剂）</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四次</w:t>
            </w: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更换香球一次/深度清洁一次</w:t>
            </w: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无污垢、洁净。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洗手盆及台面、玻璃镜面、水龙头</w:t>
            </w: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抹拭（禁止用腐蚀性清洁剂）</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30分钟一次</w:t>
            </w: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镜面用玻璃刮刀刮一次</w:t>
            </w: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台面无水珠，污迹，镜面光亮。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灯罩</w:t>
            </w: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出/入风口</w:t>
            </w: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垃圾桶</w:t>
            </w: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四次</w:t>
            </w: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垃圾不超过桶的2/3，无异味。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喷香机、洗手液箱</w:t>
            </w: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检查</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正常喷香。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纸巾</w:t>
            </w: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检查并更换</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w:t>
            </w: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正常时间无断纸现象。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67"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卫生纸架</w:t>
            </w:r>
          </w:p>
        </w:tc>
        <w:tc>
          <w:tcPr>
            <w:tcW w:w="197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1053"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w:t>
            </w:r>
          </w:p>
        </w:tc>
      </w:tr>
    </w:tbl>
    <w:p>
      <w:pPr>
        <w:pStyle w:val="18"/>
        <w:ind w:left="0"/>
        <w:rPr>
          <w:rFonts w:ascii="宋体" w:hAnsi="宋体"/>
          <w:bCs/>
          <w:color w:val="auto"/>
          <w:szCs w:val="21"/>
          <w:highlight w:val="none"/>
        </w:rPr>
      </w:pPr>
      <w:r>
        <w:rPr>
          <w:rFonts w:hint="eastAsia" w:ascii="宋体" w:hAnsi="宋体"/>
          <w:bCs/>
          <w:color w:val="auto"/>
          <w:szCs w:val="21"/>
          <w:highlight w:val="none"/>
        </w:rPr>
        <w:t>（4）电梯日常清洁频率及标准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blHeader/>
          <w:jc w:val="center"/>
        </w:trPr>
        <w:tc>
          <w:tcPr>
            <w:tcW w:w="1806"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tblHeader/>
          <w:jc w:val="center"/>
        </w:trPr>
        <w:tc>
          <w:tcPr>
            <w:tcW w:w="1806"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w:t>
            </w:r>
          </w:p>
        </w:tc>
        <w:tc>
          <w:tcPr>
            <w:tcW w:w="1145"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每年</w:t>
            </w:r>
          </w:p>
        </w:tc>
        <w:tc>
          <w:tcPr>
            <w:tcW w:w="2520"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按钮/楼层指示牌</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循环保洁</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门槽</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无垃圾，无灰土。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轿厢面板及门框</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循环保洁</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无污渍、无手印，无灰尘。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轿厢地面</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清拖</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无污渍、无灰尘，地面光亮，无破损。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vMerge w:val="continue"/>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exact"/>
          <w:jc w:val="center"/>
        </w:trPr>
        <w:tc>
          <w:tcPr>
            <w:tcW w:w="1806"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地毯清扫（如有）</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轿厢壁</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擦拭、上不锈钢油</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无手印、无污渍。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轿厢顶</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风口</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bl>
    <w:p>
      <w:pPr>
        <w:pStyle w:val="18"/>
        <w:ind w:left="0"/>
        <w:rPr>
          <w:rFonts w:ascii="宋体" w:hAnsi="宋体"/>
          <w:bCs/>
          <w:color w:val="auto"/>
          <w:szCs w:val="21"/>
          <w:highlight w:val="none"/>
        </w:rPr>
      </w:pPr>
      <w:r>
        <w:rPr>
          <w:rFonts w:hint="eastAsia" w:ascii="宋体" w:hAnsi="宋体"/>
          <w:bCs/>
          <w:color w:val="auto"/>
          <w:szCs w:val="21"/>
          <w:highlight w:val="none"/>
        </w:rPr>
        <w:t>（5）地下车库日常清洁频率及标准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868"/>
        <w:gridCol w:w="783"/>
        <w:gridCol w:w="1091"/>
        <w:gridCol w:w="934"/>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tblHeader/>
          <w:jc w:val="center"/>
        </w:trPr>
        <w:tc>
          <w:tcPr>
            <w:tcW w:w="2022"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项目</w:t>
            </w:r>
          </w:p>
        </w:tc>
        <w:tc>
          <w:tcPr>
            <w:tcW w:w="1868"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日常清洁</w:t>
            </w:r>
          </w:p>
        </w:tc>
        <w:tc>
          <w:tcPr>
            <w:tcW w:w="2808" w:type="dxa"/>
            <w:gridSpan w:val="3"/>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定期清洁</w:t>
            </w:r>
          </w:p>
        </w:tc>
        <w:tc>
          <w:tcPr>
            <w:tcW w:w="2495"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tblHeader/>
          <w:jc w:val="center"/>
        </w:trPr>
        <w:tc>
          <w:tcPr>
            <w:tcW w:w="2022"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68"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783"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每日</w:t>
            </w:r>
          </w:p>
        </w:tc>
        <w:tc>
          <w:tcPr>
            <w:tcW w:w="1091"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每月</w:t>
            </w:r>
          </w:p>
        </w:tc>
        <w:tc>
          <w:tcPr>
            <w:tcW w:w="934"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每年</w:t>
            </w:r>
          </w:p>
        </w:tc>
        <w:tc>
          <w:tcPr>
            <w:tcW w:w="2495"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防撞栏及扶梯</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2022"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金刚砂地面</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推尘</w:t>
            </w:r>
          </w:p>
        </w:tc>
        <w:tc>
          <w:tcPr>
            <w:tcW w:w="783"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9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停车场标线拖洗一次</w:t>
            </w:r>
          </w:p>
        </w:tc>
        <w:tc>
          <w:tcPr>
            <w:tcW w:w="934"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冲洗一次</w:t>
            </w:r>
          </w:p>
        </w:tc>
        <w:tc>
          <w:tcPr>
            <w:tcW w:w="2495"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干净，烟头纸屑不超过5处，垃圾滞留时间不超过60分钟，无污迹。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2022"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保洁</w:t>
            </w:r>
          </w:p>
        </w:tc>
        <w:tc>
          <w:tcPr>
            <w:tcW w:w="783"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091"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岗亭、道闸</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墙面</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涂料墙面（踢脚线）</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无蜘蛛网、污渍。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消防箱、防火门、灭火器、消防桩、警钟</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无灰尘、污渍。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消防、给排水管线</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除尘擦拭</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无明显污渍、积尘。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天花</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无蜘蛛网、污渍。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jc w:val="center"/>
        </w:trPr>
        <w:tc>
          <w:tcPr>
            <w:tcW w:w="2022"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上下车道</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地面清扫</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下车道冲洗二次</w:t>
            </w: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无砂土，地面干净。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天花、墙面除尘</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设施设备擦拭</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管道百叶风口</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地沟</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清理</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无积水、淤泥，无烟头等垃圾。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灯</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83"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34"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无灰尘，无蜘蛛网。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exact"/>
          <w:jc w:val="center"/>
        </w:trPr>
        <w:tc>
          <w:tcPr>
            <w:tcW w:w="2022"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灯箱/指示牌/信箱</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除尘、抹拭</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上不锈钢油（若为不锈钢材质）</w:t>
            </w:r>
          </w:p>
        </w:tc>
        <w:tc>
          <w:tcPr>
            <w:tcW w:w="783"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1"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bl>
    <w:p>
      <w:pPr>
        <w:pStyle w:val="18"/>
        <w:ind w:left="0"/>
        <w:rPr>
          <w:rFonts w:ascii="宋体" w:hAnsi="宋体"/>
          <w:bCs/>
          <w:color w:val="auto"/>
          <w:szCs w:val="21"/>
          <w:highlight w:val="none"/>
        </w:rPr>
      </w:pPr>
      <w:r>
        <w:rPr>
          <w:rFonts w:hint="eastAsia" w:ascii="宋体" w:hAnsi="宋体"/>
          <w:bCs/>
          <w:color w:val="auto"/>
          <w:szCs w:val="21"/>
          <w:highlight w:val="none"/>
        </w:rPr>
        <w:t>（6）走廊及电梯厅日常清洁频率及标准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950"/>
        <w:gridCol w:w="1017"/>
        <w:gridCol w:w="98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tblHeader/>
          <w:jc w:val="center"/>
        </w:trPr>
        <w:tc>
          <w:tcPr>
            <w:tcW w:w="1806"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exact"/>
          <w:tblHeader/>
          <w:jc w:val="center"/>
        </w:trPr>
        <w:tc>
          <w:tcPr>
            <w:tcW w:w="1806"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50"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每日</w:t>
            </w:r>
          </w:p>
        </w:tc>
        <w:tc>
          <w:tcPr>
            <w:tcW w:w="101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每年</w:t>
            </w:r>
          </w:p>
        </w:tc>
        <w:tc>
          <w:tcPr>
            <w:tcW w:w="2520"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地面</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拖地</w:t>
            </w:r>
          </w:p>
        </w:tc>
        <w:tc>
          <w:tcPr>
            <w:tcW w:w="950"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1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无污渍，地面光亮。100平方米内烟头纸屑不超过3处，垃圾滞留时间不超过10分钟。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exact"/>
          <w:jc w:val="center"/>
        </w:trPr>
        <w:tc>
          <w:tcPr>
            <w:tcW w:w="1806"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保洁</w:t>
            </w:r>
          </w:p>
        </w:tc>
        <w:tc>
          <w:tcPr>
            <w:tcW w:w="950"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30分钟一次</w:t>
            </w:r>
          </w:p>
        </w:tc>
        <w:tc>
          <w:tcPr>
            <w:tcW w:w="1017"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墙面</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门及门框</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踢脚线</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排风口、手动报警器、指示牌等</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指示器材/喇叭烟感</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无灰尘，无蜘蛛网。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防火门</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消防栓箱</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外玻璃抹拭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内部每月抹拭一次</w:t>
            </w: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消防箱/警钟</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擦拭（消防箱包括内部）</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天花、灯饰</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无积尘、无蛛蜘网。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管道</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筒灯</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冷气出/入风口</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清洁一次</w:t>
            </w: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植物套盆</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玻璃门（窗）</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玻璃刮刀刮、抹拭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湿/干布抹拭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垃圾桶</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清理垃圾</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四次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垃圾不超过桶的2/3，无异味。</w:t>
            </w:r>
          </w:p>
        </w:tc>
      </w:tr>
    </w:tbl>
    <w:p>
      <w:pPr>
        <w:pStyle w:val="18"/>
        <w:ind w:left="0"/>
        <w:rPr>
          <w:rFonts w:ascii="宋体" w:hAnsi="宋体"/>
          <w:bCs/>
          <w:color w:val="auto"/>
          <w:szCs w:val="21"/>
          <w:highlight w:val="none"/>
        </w:rPr>
      </w:pPr>
      <w:r>
        <w:rPr>
          <w:rFonts w:hint="eastAsia" w:ascii="宋体" w:hAnsi="宋体"/>
          <w:bCs/>
          <w:color w:val="auto"/>
          <w:szCs w:val="21"/>
          <w:highlight w:val="none"/>
        </w:rPr>
        <w:t>（7）消防通道/楼梯日常清洁频率及标准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962"/>
        <w:gridCol w:w="822"/>
        <w:gridCol w:w="1146"/>
        <w:gridCol w:w="98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tblHeader/>
          <w:jc w:val="center"/>
        </w:trPr>
        <w:tc>
          <w:tcPr>
            <w:tcW w:w="1805"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日常清洁</w:t>
            </w:r>
          </w:p>
        </w:tc>
        <w:tc>
          <w:tcPr>
            <w:tcW w:w="2949" w:type="dxa"/>
            <w:gridSpan w:val="3"/>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exact"/>
          <w:tblHeader/>
          <w:jc w:val="center"/>
        </w:trPr>
        <w:tc>
          <w:tcPr>
            <w:tcW w:w="1805"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w:t>
            </w:r>
          </w:p>
        </w:tc>
        <w:tc>
          <w:tcPr>
            <w:tcW w:w="1146"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每年</w:t>
            </w:r>
          </w:p>
        </w:tc>
        <w:tc>
          <w:tcPr>
            <w:tcW w:w="2520"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拖地</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无垃圾、污迹、干净。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墙面、天花及灯</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无积尘、蛛蜘网。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扶手</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纸巾擦拭50公分无污渍。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排风口</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纸巾擦拭50公分无污渍。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管道</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开关、显示牌</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消防门</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墙角线</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垃圾桶</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垃圾不超过桶的2/3，无异味。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消防设施箱及警铃</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bl>
    <w:p>
      <w:pPr>
        <w:pStyle w:val="18"/>
        <w:ind w:left="0"/>
        <w:rPr>
          <w:rFonts w:ascii="宋体" w:hAnsi="宋体"/>
          <w:bCs/>
          <w:color w:val="auto"/>
          <w:szCs w:val="21"/>
          <w:highlight w:val="none"/>
        </w:rPr>
      </w:pPr>
      <w:r>
        <w:rPr>
          <w:rFonts w:hint="eastAsia" w:ascii="宋体" w:hAnsi="宋体"/>
          <w:bCs/>
          <w:color w:val="auto"/>
          <w:szCs w:val="21"/>
          <w:highlight w:val="none"/>
        </w:rPr>
        <w:t>（8）天面、露台、阳台等日常清洁频率及标准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tblHeader/>
          <w:jc w:val="center"/>
        </w:trPr>
        <w:tc>
          <w:tcPr>
            <w:tcW w:w="1806"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blHeader/>
          <w:jc w:val="center"/>
        </w:trPr>
        <w:tc>
          <w:tcPr>
            <w:tcW w:w="1806"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w:t>
            </w:r>
          </w:p>
        </w:tc>
        <w:tc>
          <w:tcPr>
            <w:tcW w:w="1145"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每年</w:t>
            </w:r>
          </w:p>
        </w:tc>
        <w:tc>
          <w:tcPr>
            <w:tcW w:w="2520"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jc w:val="center"/>
        </w:trPr>
        <w:tc>
          <w:tcPr>
            <w:tcW w:w="1806"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清拖</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无污渍、垃圾，地面光亮。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墙面百叶</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水塔底座</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地面冲洗</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无污渍，无垃圾。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不锈钢扶栏</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上油保养两次</w:t>
            </w: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纸巾擦拭50公分无污渍、表面光亮。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排水沟</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清扫</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无积水、淤泥，无烟头等垃圾。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女儿墙</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擦拭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无污渍、无积灰。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门（内）外</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抹拭、保养蜡</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湿/干布抹拭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墙角线</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湿/干布抹拭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灯</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外壳—干布抹拭</w:t>
            </w:r>
          </w:p>
          <w:p>
            <w:pPr>
              <w:pStyle w:val="18"/>
              <w:ind w:left="0"/>
              <w:rPr>
                <w:rFonts w:ascii="宋体" w:hAnsi="宋体"/>
                <w:bCs/>
                <w:color w:val="auto"/>
                <w:szCs w:val="21"/>
                <w:highlight w:val="none"/>
              </w:rPr>
            </w:pPr>
            <w:r>
              <w:rPr>
                <w:rFonts w:hint="eastAsia" w:ascii="宋体" w:hAnsi="宋体"/>
                <w:bCs/>
                <w:color w:val="auto"/>
                <w:szCs w:val="21"/>
                <w:highlight w:val="none"/>
              </w:rPr>
              <w:t>楼管—干布抹拭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风口</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垃圾桶</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垃圾不超过桶的2/3，无异味。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管道</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消防设施箱及警钟</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w:t>
            </w:r>
          </w:p>
        </w:tc>
      </w:tr>
    </w:tbl>
    <w:p>
      <w:pPr>
        <w:pStyle w:val="18"/>
        <w:ind w:left="0"/>
        <w:rPr>
          <w:rFonts w:ascii="宋体" w:hAnsi="宋体"/>
          <w:bCs/>
          <w:color w:val="auto"/>
          <w:szCs w:val="21"/>
          <w:highlight w:val="none"/>
        </w:rPr>
      </w:pPr>
      <w:r>
        <w:rPr>
          <w:rFonts w:hint="eastAsia" w:ascii="宋体" w:hAnsi="宋体"/>
          <w:bCs/>
          <w:color w:val="auto"/>
          <w:szCs w:val="21"/>
          <w:highlight w:val="none"/>
        </w:rPr>
        <w:t>（9）空置单元日常清洁频率及标准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tblHeader/>
          <w:jc w:val="center"/>
        </w:trPr>
        <w:tc>
          <w:tcPr>
            <w:tcW w:w="1806"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blHeader/>
          <w:jc w:val="center"/>
        </w:trPr>
        <w:tc>
          <w:tcPr>
            <w:tcW w:w="1806"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w:t>
            </w:r>
          </w:p>
        </w:tc>
        <w:tc>
          <w:tcPr>
            <w:tcW w:w="1145"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每年</w:t>
            </w:r>
          </w:p>
        </w:tc>
        <w:tc>
          <w:tcPr>
            <w:tcW w:w="2520"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清扫</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墙面及天花</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单元门</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无灰尘、无污渍、无手印</w:t>
            </w:r>
          </w:p>
        </w:tc>
      </w:tr>
    </w:tbl>
    <w:p>
      <w:pPr>
        <w:pStyle w:val="18"/>
        <w:ind w:left="0"/>
        <w:rPr>
          <w:rFonts w:ascii="宋体" w:hAnsi="宋体"/>
          <w:bCs/>
          <w:color w:val="auto"/>
          <w:szCs w:val="21"/>
          <w:highlight w:val="none"/>
        </w:rPr>
      </w:pPr>
      <w:r>
        <w:rPr>
          <w:rFonts w:hint="eastAsia" w:ascii="宋体" w:hAnsi="宋体"/>
          <w:bCs/>
          <w:color w:val="auto"/>
          <w:szCs w:val="21"/>
          <w:highlight w:val="none"/>
        </w:rPr>
        <w:t>（10）生活垃圾房日常清洁及垃圾清运频率与标准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exact"/>
          <w:tblHeader/>
          <w:jc w:val="center"/>
        </w:trPr>
        <w:tc>
          <w:tcPr>
            <w:tcW w:w="1806"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tblHeader/>
          <w:jc w:val="center"/>
        </w:trPr>
        <w:tc>
          <w:tcPr>
            <w:tcW w:w="1806"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w:t>
            </w:r>
          </w:p>
        </w:tc>
        <w:tc>
          <w:tcPr>
            <w:tcW w:w="1145"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每年</w:t>
            </w:r>
          </w:p>
        </w:tc>
        <w:tc>
          <w:tcPr>
            <w:tcW w:w="2520"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生活垃圾清运</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一至两次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无过夜垃圾，地面无积水，干净无异味，目视不见蚊蝇。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地面清拖</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清拖</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无灰尘、无污渍、无垃圾、无异味。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地面清洗</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干净无异味。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门及门框的擦拭</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地沟的冲洗</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干净无异味。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垃圾筒清洗</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干净无异味。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灯</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灯箱/指示牌</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bl>
    <w:p>
      <w:pPr>
        <w:pStyle w:val="18"/>
        <w:ind w:left="0"/>
        <w:rPr>
          <w:rFonts w:ascii="宋体" w:hAnsi="宋体"/>
          <w:bCs/>
          <w:color w:val="auto"/>
          <w:szCs w:val="21"/>
          <w:highlight w:val="none"/>
        </w:rPr>
      </w:pPr>
      <w:r>
        <w:rPr>
          <w:rFonts w:hint="eastAsia" w:ascii="宋体" w:hAnsi="宋体"/>
          <w:bCs/>
          <w:color w:val="auto"/>
          <w:szCs w:val="21"/>
          <w:highlight w:val="none"/>
        </w:rPr>
        <w:t>（11）中控室，值班室及设备间、机房等</w:t>
      </w:r>
    </w:p>
    <w:tbl>
      <w:tblPr>
        <w:tblStyle w:val="29"/>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850"/>
        <w:gridCol w:w="109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734"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日常清扫</w:t>
            </w: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办公台面及文件柜等家具表面清抹</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1次/日</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continue"/>
            <w:vAlign w:val="center"/>
          </w:tcPr>
          <w:p>
            <w:pPr>
              <w:pStyle w:val="18"/>
              <w:ind w:left="0"/>
              <w:rPr>
                <w:rFonts w:ascii="宋体" w:hAnsi="宋体"/>
                <w:bCs/>
                <w:color w:val="auto"/>
                <w:szCs w:val="21"/>
                <w:highlight w:val="none"/>
              </w:rPr>
            </w:pP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清倒垃圾</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1次/日</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w:t>
            </w: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地面清洁</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1次/日</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无污迹、无垃圾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w:t>
            </w: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地面清洁</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1次/月</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无污迹、无垃圾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continue"/>
            <w:vAlign w:val="center"/>
          </w:tcPr>
          <w:p>
            <w:pPr>
              <w:pStyle w:val="18"/>
              <w:ind w:left="0"/>
              <w:rPr>
                <w:rFonts w:ascii="宋体" w:hAnsi="宋体"/>
                <w:bCs/>
                <w:color w:val="auto"/>
                <w:szCs w:val="21"/>
                <w:highlight w:val="none"/>
              </w:rPr>
            </w:pP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机房天花</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1次/月</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continue"/>
            <w:vAlign w:val="center"/>
          </w:tcPr>
          <w:p>
            <w:pPr>
              <w:pStyle w:val="18"/>
              <w:ind w:left="0"/>
              <w:rPr>
                <w:rFonts w:ascii="宋体" w:hAnsi="宋体"/>
                <w:bCs/>
                <w:color w:val="auto"/>
                <w:szCs w:val="21"/>
                <w:highlight w:val="none"/>
              </w:rPr>
            </w:pP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墙身清洁</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1次/月</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无污迹、保持整体清洁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73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日常清扫</w:t>
            </w: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车场地面</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巡视清洁</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无烟头、杂物、垃圾、油迹、积水等</w:t>
            </w:r>
          </w:p>
        </w:tc>
      </w:tr>
    </w:tbl>
    <w:p>
      <w:pPr>
        <w:pStyle w:val="18"/>
        <w:ind w:left="0"/>
        <w:rPr>
          <w:rFonts w:ascii="宋体" w:hAnsi="宋体"/>
          <w:bCs/>
          <w:color w:val="auto"/>
          <w:szCs w:val="21"/>
          <w:highlight w:val="none"/>
        </w:rPr>
      </w:pPr>
      <w:r>
        <w:rPr>
          <w:rFonts w:hint="eastAsia" w:ascii="宋体" w:hAnsi="宋体"/>
          <w:bCs/>
          <w:color w:val="auto"/>
          <w:szCs w:val="21"/>
          <w:highlight w:val="none"/>
        </w:rPr>
        <w:t>（12）石材护理服务频率及标准</w:t>
      </w:r>
    </w:p>
    <w:tbl>
      <w:tblPr>
        <w:tblStyle w:val="29"/>
        <w:tblW w:w="4998" w:type="pct"/>
        <w:tblInd w:w="0" w:type="dxa"/>
        <w:tblLayout w:type="fixed"/>
        <w:tblCellMar>
          <w:top w:w="0" w:type="dxa"/>
          <w:left w:w="108" w:type="dxa"/>
          <w:bottom w:w="0" w:type="dxa"/>
          <w:right w:w="108" w:type="dxa"/>
        </w:tblCellMar>
      </w:tblPr>
      <w:tblGrid>
        <w:gridCol w:w="1650"/>
        <w:gridCol w:w="1820"/>
        <w:gridCol w:w="2695"/>
        <w:gridCol w:w="2354"/>
      </w:tblGrid>
      <w:tr>
        <w:tblPrEx>
          <w:tblCellMar>
            <w:top w:w="0" w:type="dxa"/>
            <w:left w:w="108" w:type="dxa"/>
            <w:bottom w:w="0" w:type="dxa"/>
            <w:right w:w="108" w:type="dxa"/>
          </w:tblCellMar>
        </w:tblPrEx>
        <w:trPr>
          <w:trHeight w:val="315"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区域</w:t>
            </w:r>
          </w:p>
        </w:tc>
        <w:tc>
          <w:tcPr>
            <w:tcW w:w="1820"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频次</w:t>
            </w:r>
          </w:p>
        </w:tc>
        <w:tc>
          <w:tcPr>
            <w:tcW w:w="2695"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要求</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效果</w:t>
            </w:r>
          </w:p>
        </w:tc>
      </w:tr>
      <w:tr>
        <w:tblPrEx>
          <w:tblCellMar>
            <w:top w:w="0" w:type="dxa"/>
            <w:left w:w="108" w:type="dxa"/>
            <w:bottom w:w="0" w:type="dxa"/>
            <w:right w:w="108" w:type="dxa"/>
          </w:tblCellMar>
        </w:tblPrEx>
        <w:trPr>
          <w:trHeight w:val="2280"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园区各楼栋大堂、电梯厅、</w:t>
            </w:r>
            <w:r>
              <w:rPr>
                <w:rFonts w:hint="eastAsia" w:ascii="宋体" w:hAnsi="宋体"/>
                <w:bCs/>
                <w:color w:val="auto"/>
                <w:szCs w:val="21"/>
                <w:highlight w:val="none"/>
                <w:lang w:val="en-US" w:eastAsia="zh-CN"/>
              </w:rPr>
              <w:t>走道、</w:t>
            </w:r>
            <w:r>
              <w:rPr>
                <w:rFonts w:hint="eastAsia" w:ascii="宋体" w:hAnsi="宋体"/>
                <w:bCs/>
                <w:color w:val="auto"/>
                <w:szCs w:val="21"/>
                <w:highlight w:val="none"/>
              </w:rPr>
              <w:t>电梯轿厢</w:t>
            </w:r>
            <w:r>
              <w:rPr>
                <w:rFonts w:hint="eastAsia" w:ascii="宋体" w:hAnsi="宋体"/>
                <w:bCs/>
                <w:color w:val="auto"/>
                <w:szCs w:val="21"/>
                <w:highlight w:val="none"/>
                <w:lang w:val="en-US" w:eastAsia="zh-CN"/>
              </w:rPr>
              <w:t>等</w:t>
            </w:r>
          </w:p>
        </w:tc>
        <w:tc>
          <w:tcPr>
            <w:tcW w:w="1820"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每日作维护抛光；</w:t>
            </w:r>
            <w:r>
              <w:rPr>
                <w:rFonts w:hint="eastAsia" w:ascii="宋体" w:hAnsi="宋体"/>
                <w:bCs/>
                <w:color w:val="auto"/>
                <w:szCs w:val="21"/>
                <w:highlight w:val="none"/>
              </w:rPr>
              <w:br w:type="textWrapping"/>
            </w:r>
            <w:r>
              <w:rPr>
                <w:rFonts w:hint="eastAsia" w:ascii="宋体" w:hAnsi="宋体"/>
                <w:bCs/>
                <w:color w:val="auto"/>
                <w:szCs w:val="21"/>
                <w:highlight w:val="none"/>
              </w:rPr>
              <w:t>每月整体晶面处理一次。</w:t>
            </w:r>
          </w:p>
        </w:tc>
        <w:tc>
          <w:tcPr>
            <w:tcW w:w="2695"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1.对划痕、污染情况出现机率高的主出入口，通道、电梯口等局部区域，不定期进行有针对性的维护抛光；</w:t>
            </w:r>
            <w:r>
              <w:rPr>
                <w:rFonts w:hint="eastAsia" w:ascii="宋体" w:hAnsi="宋体"/>
                <w:bCs/>
                <w:color w:val="auto"/>
                <w:szCs w:val="21"/>
                <w:highlight w:val="none"/>
              </w:rPr>
              <w:br w:type="textWrapping"/>
            </w:r>
            <w:r>
              <w:rPr>
                <w:rFonts w:hint="eastAsia" w:ascii="宋体" w:hAnsi="宋体"/>
                <w:bCs/>
                <w:color w:val="auto"/>
                <w:szCs w:val="21"/>
                <w:highlight w:val="none"/>
              </w:rPr>
              <w:t>2.发现地面发黄或发黑，应及时处理。</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1.解决石材污染、返碱问题；</w:t>
            </w:r>
            <w:r>
              <w:rPr>
                <w:rFonts w:hint="eastAsia" w:ascii="宋体" w:hAnsi="宋体"/>
                <w:bCs/>
                <w:color w:val="auto"/>
                <w:szCs w:val="21"/>
                <w:highlight w:val="none"/>
              </w:rPr>
              <w:br w:type="textWrapping"/>
            </w:r>
            <w:r>
              <w:rPr>
                <w:rFonts w:hint="eastAsia" w:ascii="宋体" w:hAnsi="宋体"/>
                <w:bCs/>
                <w:color w:val="auto"/>
                <w:szCs w:val="21"/>
                <w:highlight w:val="none"/>
              </w:rPr>
              <w:t>2.去除石材的磨损和划痕；</w:t>
            </w:r>
            <w:r>
              <w:rPr>
                <w:rFonts w:hint="eastAsia" w:ascii="宋体" w:hAnsi="宋体"/>
                <w:bCs/>
                <w:color w:val="auto"/>
                <w:szCs w:val="21"/>
                <w:highlight w:val="none"/>
              </w:rPr>
              <w:br w:type="textWrapping"/>
            </w:r>
            <w:r>
              <w:rPr>
                <w:rFonts w:hint="eastAsia" w:ascii="宋体" w:hAnsi="宋体"/>
                <w:bCs/>
                <w:color w:val="auto"/>
                <w:szCs w:val="21"/>
                <w:highlight w:val="none"/>
              </w:rPr>
              <w:t>3.钙化石材、增加石材硬度及光亮度（石材表面亮度应达90度以上）。</w:t>
            </w:r>
          </w:p>
        </w:tc>
      </w:tr>
    </w:tbl>
    <w:p>
      <w:pPr>
        <w:pStyle w:val="18"/>
        <w:ind w:left="0"/>
        <w:rPr>
          <w:rFonts w:ascii="宋体" w:hAnsi="宋体"/>
          <w:bCs/>
          <w:color w:val="auto"/>
          <w:szCs w:val="21"/>
          <w:highlight w:val="none"/>
        </w:rPr>
      </w:pPr>
    </w:p>
    <w:p>
      <w:pPr>
        <w:pStyle w:val="18"/>
        <w:numPr>
          <w:ilvl w:val="0"/>
          <w:numId w:val="1"/>
        </w:numPr>
        <w:ind w:left="0"/>
        <w:rPr>
          <w:rFonts w:ascii="宋体" w:hAnsi="宋体"/>
          <w:bCs/>
          <w:color w:val="auto"/>
          <w:szCs w:val="21"/>
          <w:highlight w:val="none"/>
        </w:rPr>
      </w:pPr>
      <w:r>
        <w:rPr>
          <w:rFonts w:hint="eastAsia" w:ascii="宋体" w:hAnsi="宋体"/>
          <w:bCs/>
          <w:color w:val="auto"/>
          <w:szCs w:val="21"/>
          <w:highlight w:val="none"/>
        </w:rPr>
        <w:t>其他频率及标准</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315"/>
        <w:gridCol w:w="2442"/>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序号</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专项服务</w:t>
            </w:r>
          </w:p>
        </w:tc>
        <w:tc>
          <w:tcPr>
            <w:tcW w:w="2442"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频次</w:t>
            </w:r>
          </w:p>
        </w:tc>
        <w:tc>
          <w:tcPr>
            <w:tcW w:w="264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u w:val="single"/>
              </w:rPr>
              <w:t>化粪池/隔油池清掏</w:t>
            </w:r>
          </w:p>
        </w:tc>
        <w:tc>
          <w:tcPr>
            <w:tcW w:w="2442"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公寓每季/次，其他按需或每年/次</w:t>
            </w:r>
          </w:p>
        </w:tc>
        <w:tc>
          <w:tcPr>
            <w:tcW w:w="2646"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共</w:t>
            </w:r>
            <w:r>
              <w:rPr>
                <w:rFonts w:ascii="宋体" w:hAnsi="宋体"/>
                <w:bCs/>
                <w:color w:val="auto"/>
                <w:szCs w:val="21"/>
                <w:highlight w:val="none"/>
              </w:rPr>
              <w:t>20</w:t>
            </w:r>
            <w:r>
              <w:rPr>
                <w:rFonts w:hint="eastAsia" w:ascii="宋体" w:hAnsi="宋体"/>
                <w:bCs/>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315" w:type="dxa"/>
            <w:vAlign w:val="center"/>
          </w:tcPr>
          <w:p>
            <w:pPr>
              <w:pStyle w:val="18"/>
              <w:ind w:left="0"/>
              <w:jc w:val="center"/>
              <w:rPr>
                <w:rFonts w:ascii="宋体" w:hAnsi="宋体"/>
                <w:bCs/>
                <w:color w:val="auto"/>
                <w:szCs w:val="21"/>
                <w:highlight w:val="none"/>
                <w:u w:val="single"/>
              </w:rPr>
            </w:pPr>
            <w:r>
              <w:rPr>
                <w:rFonts w:hint="eastAsia" w:ascii="宋体" w:hAnsi="宋体"/>
                <w:bCs/>
                <w:color w:val="auto"/>
                <w:szCs w:val="21"/>
                <w:highlight w:val="none"/>
                <w:u w:val="single"/>
              </w:rPr>
              <w:t>生活水箱清洗</w:t>
            </w:r>
          </w:p>
        </w:tc>
        <w:tc>
          <w:tcPr>
            <w:tcW w:w="2442"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每</w:t>
            </w:r>
            <w:r>
              <w:rPr>
                <w:rFonts w:hint="eastAsia" w:ascii="宋体" w:hAnsi="宋体"/>
                <w:bCs/>
                <w:color w:val="auto"/>
                <w:szCs w:val="21"/>
                <w:highlight w:val="none"/>
                <w:lang w:val="en-US" w:eastAsia="zh-CN"/>
              </w:rPr>
              <w:t>半</w:t>
            </w:r>
            <w:r>
              <w:rPr>
                <w:rFonts w:hint="eastAsia" w:ascii="宋体" w:hAnsi="宋体"/>
                <w:bCs/>
                <w:color w:val="auto"/>
                <w:szCs w:val="21"/>
                <w:highlight w:val="none"/>
              </w:rPr>
              <w:t>年1次</w:t>
            </w:r>
          </w:p>
        </w:tc>
        <w:tc>
          <w:tcPr>
            <w:tcW w:w="2646"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共</w:t>
            </w:r>
            <w:r>
              <w:rPr>
                <w:rFonts w:ascii="宋体" w:hAnsi="宋体"/>
                <w:bCs/>
                <w:color w:val="auto"/>
                <w:szCs w:val="21"/>
                <w:highlight w:val="none"/>
              </w:rPr>
              <w:t>23</w:t>
            </w:r>
            <w:r>
              <w:rPr>
                <w:rFonts w:hint="eastAsia" w:ascii="宋体" w:hAnsi="宋体"/>
                <w:bCs/>
                <w:color w:val="auto"/>
                <w:szCs w:val="21"/>
                <w:highlight w:val="none"/>
              </w:rPr>
              <w:t>个水箱，含水质检测</w:t>
            </w:r>
          </w:p>
        </w:tc>
      </w:tr>
    </w:tbl>
    <w:p>
      <w:pPr>
        <w:pStyle w:val="18"/>
        <w:ind w:left="0" w:firstLine="420" w:firstLineChars="200"/>
        <w:rPr>
          <w:rFonts w:ascii="宋体" w:hAnsi="宋体"/>
          <w:bCs/>
          <w:color w:val="auto"/>
          <w:szCs w:val="21"/>
          <w:highlight w:val="none"/>
        </w:rPr>
      </w:pPr>
    </w:p>
    <w:p>
      <w:pPr>
        <w:pStyle w:val="18"/>
        <w:ind w:left="0" w:firstLine="420" w:firstLineChars="200"/>
        <w:rPr>
          <w:rFonts w:ascii="宋体" w:hAnsi="宋体"/>
          <w:bCs/>
          <w:color w:val="auto"/>
          <w:szCs w:val="21"/>
          <w:highlight w:val="none"/>
        </w:rPr>
      </w:pPr>
      <w:r>
        <w:rPr>
          <w:rFonts w:hint="eastAsia" w:ascii="宋体" w:hAnsi="宋体"/>
          <w:bCs/>
          <w:color w:val="auto"/>
          <w:szCs w:val="21"/>
          <w:highlight w:val="none"/>
        </w:rPr>
        <w:t>2.4专项服务内容，综合单价包干，按实结算：</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315"/>
        <w:gridCol w:w="2442"/>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序号</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专项服务</w:t>
            </w:r>
          </w:p>
        </w:tc>
        <w:tc>
          <w:tcPr>
            <w:tcW w:w="2442"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最高限价</w:t>
            </w:r>
          </w:p>
        </w:tc>
        <w:tc>
          <w:tcPr>
            <w:tcW w:w="264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1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u w:val="single"/>
              </w:rPr>
              <w:t>外墙清洗</w:t>
            </w:r>
          </w:p>
        </w:tc>
        <w:tc>
          <w:tcPr>
            <w:tcW w:w="2442"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2元/平米</w:t>
            </w:r>
          </w:p>
        </w:tc>
        <w:tc>
          <w:tcPr>
            <w:tcW w:w="2646"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1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315" w:type="dxa"/>
            <w:vAlign w:val="center"/>
          </w:tcPr>
          <w:p>
            <w:pPr>
              <w:pStyle w:val="18"/>
              <w:ind w:left="0"/>
              <w:jc w:val="center"/>
              <w:rPr>
                <w:rFonts w:ascii="宋体" w:hAnsi="宋体"/>
                <w:bCs/>
                <w:color w:val="auto"/>
                <w:szCs w:val="21"/>
                <w:highlight w:val="none"/>
                <w:u w:val="single"/>
              </w:rPr>
            </w:pPr>
            <w:r>
              <w:rPr>
                <w:rFonts w:hint="eastAsia" w:ascii="宋体" w:hAnsi="宋体"/>
                <w:bCs/>
                <w:color w:val="auto"/>
                <w:szCs w:val="21"/>
                <w:highlight w:val="none"/>
                <w:u w:val="single"/>
              </w:rPr>
              <w:t>公寓室内保洁</w:t>
            </w:r>
          </w:p>
        </w:tc>
        <w:tc>
          <w:tcPr>
            <w:tcW w:w="2442"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45元/套/次</w:t>
            </w:r>
          </w:p>
        </w:tc>
        <w:tc>
          <w:tcPr>
            <w:tcW w:w="2646" w:type="dxa"/>
            <w:vAlign w:val="center"/>
          </w:tcPr>
          <w:p>
            <w:pPr>
              <w:pStyle w:val="18"/>
              <w:spacing w:line="240" w:lineRule="auto"/>
              <w:ind w:left="0"/>
              <w:rPr>
                <w:rFonts w:ascii="宋体" w:hAnsi="宋体"/>
                <w:bCs/>
                <w:color w:val="auto"/>
                <w:szCs w:val="21"/>
                <w:highlight w:val="none"/>
              </w:rPr>
            </w:pPr>
            <w:r>
              <w:rPr>
                <w:rFonts w:ascii="宋体" w:hAnsi="宋体" w:cs="宋体"/>
                <w:color w:val="auto"/>
                <w:szCs w:val="21"/>
                <w:highlight w:val="none"/>
              </w:rPr>
              <w:t>更换床上用品，房间抹尘，卫生间清洁，物品消毒，布草清洗</w:t>
            </w:r>
            <w:r>
              <w:rPr>
                <w:rFonts w:hint="eastAsia" w:ascii="宋体" w:hAnsi="宋体" w:cs="宋体"/>
                <w:color w:val="auto"/>
                <w:szCs w:val="21"/>
                <w:highlight w:val="none"/>
              </w:rPr>
              <w:t>。清洁用品由采购方提供</w:t>
            </w:r>
          </w:p>
        </w:tc>
      </w:tr>
    </w:tbl>
    <w:p>
      <w:pPr>
        <w:pStyle w:val="18"/>
        <w:ind w:left="0"/>
        <w:rPr>
          <w:rFonts w:ascii="宋体" w:hAnsi="宋体"/>
          <w:bCs/>
          <w:color w:val="auto"/>
          <w:szCs w:val="21"/>
          <w:highlight w:val="none"/>
        </w:rPr>
      </w:pPr>
    </w:p>
    <w:p>
      <w:pPr>
        <w:pStyle w:val="18"/>
        <w:ind w:left="0"/>
        <w:outlineLvl w:val="2"/>
        <w:rPr>
          <w:rFonts w:ascii="宋体" w:hAnsi="宋体"/>
          <w:b/>
          <w:color w:val="auto"/>
          <w:szCs w:val="21"/>
          <w:highlight w:val="none"/>
        </w:rPr>
      </w:pPr>
      <w:r>
        <w:rPr>
          <w:rFonts w:hint="eastAsia" w:ascii="宋体" w:hAnsi="宋体"/>
          <w:b/>
          <w:color w:val="auto"/>
          <w:szCs w:val="21"/>
          <w:highlight w:val="none"/>
        </w:rPr>
        <w:t>三、考核及结果应用：</w:t>
      </w:r>
    </w:p>
    <w:p>
      <w:pPr>
        <w:pStyle w:val="18"/>
        <w:ind w:left="0"/>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考核应用</w:t>
      </w:r>
    </w:p>
    <w:p>
      <w:pPr>
        <w:pStyle w:val="18"/>
        <w:ind w:left="0"/>
        <w:rPr>
          <w:rFonts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.1.1</w:t>
      </w:r>
      <w:r>
        <w:rPr>
          <w:rFonts w:hint="eastAsia" w:ascii="宋体" w:hAnsi="宋体"/>
          <w:bCs/>
          <w:color w:val="auto"/>
          <w:szCs w:val="21"/>
          <w:highlight w:val="none"/>
        </w:rPr>
        <w:t>清洁月度检查标准</w:t>
      </w:r>
    </w:p>
    <w:tbl>
      <w:tblPr>
        <w:tblStyle w:val="29"/>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79"/>
        <w:gridCol w:w="459"/>
        <w:gridCol w:w="3117"/>
        <w:gridCol w:w="2117"/>
        <w:gridCol w:w="921"/>
        <w:gridCol w:w="921"/>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blHeader/>
        </w:trPr>
        <w:tc>
          <w:tcPr>
            <w:tcW w:w="67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检查项目</w:t>
            </w:r>
          </w:p>
        </w:tc>
        <w:tc>
          <w:tcPr>
            <w:tcW w:w="45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序号</w:t>
            </w:r>
          </w:p>
        </w:tc>
        <w:tc>
          <w:tcPr>
            <w:tcW w:w="3117"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达 到 标 准</w:t>
            </w:r>
          </w:p>
        </w:tc>
        <w:tc>
          <w:tcPr>
            <w:tcW w:w="2117"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注 解</w:t>
            </w:r>
          </w:p>
        </w:tc>
        <w:tc>
          <w:tcPr>
            <w:tcW w:w="921"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第一次</w:t>
            </w:r>
          </w:p>
        </w:tc>
        <w:tc>
          <w:tcPr>
            <w:tcW w:w="921"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第二次</w:t>
            </w:r>
          </w:p>
        </w:tc>
        <w:tc>
          <w:tcPr>
            <w:tcW w:w="88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blHeader/>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Merge w:val="continue"/>
            <w:vAlign w:val="center"/>
          </w:tcPr>
          <w:p>
            <w:pPr>
              <w:pStyle w:val="18"/>
              <w:spacing w:line="240" w:lineRule="auto"/>
              <w:ind w:left="0"/>
              <w:rPr>
                <w:rFonts w:ascii="宋体" w:hAnsi="宋体"/>
                <w:bCs/>
                <w:color w:val="auto"/>
                <w:szCs w:val="21"/>
                <w:highlight w:val="none"/>
              </w:rPr>
            </w:pPr>
          </w:p>
        </w:tc>
        <w:tc>
          <w:tcPr>
            <w:tcW w:w="3117" w:type="dxa"/>
            <w:vMerge w:val="continue"/>
          </w:tcPr>
          <w:p>
            <w:pPr>
              <w:pStyle w:val="18"/>
              <w:spacing w:line="240" w:lineRule="auto"/>
              <w:ind w:left="0"/>
              <w:rPr>
                <w:rFonts w:ascii="宋体" w:hAnsi="宋体"/>
                <w:bCs/>
                <w:color w:val="auto"/>
                <w:szCs w:val="21"/>
                <w:highlight w:val="none"/>
              </w:rPr>
            </w:pPr>
          </w:p>
        </w:tc>
        <w:tc>
          <w:tcPr>
            <w:tcW w:w="2117" w:type="dxa"/>
            <w:vMerge w:val="continue"/>
          </w:tcPr>
          <w:p>
            <w:pPr>
              <w:pStyle w:val="18"/>
              <w:spacing w:line="240" w:lineRule="auto"/>
              <w:ind w:left="0"/>
              <w:rPr>
                <w:rFonts w:ascii="宋体" w:hAnsi="宋体"/>
                <w:bCs/>
                <w:color w:val="auto"/>
                <w:szCs w:val="21"/>
                <w:highlight w:val="none"/>
              </w:rPr>
            </w:pPr>
          </w:p>
        </w:tc>
        <w:tc>
          <w:tcPr>
            <w:tcW w:w="921"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操作责任</w:t>
            </w:r>
          </w:p>
        </w:tc>
        <w:tc>
          <w:tcPr>
            <w:tcW w:w="921"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操作+管理责任</w:t>
            </w:r>
          </w:p>
        </w:tc>
        <w:tc>
          <w:tcPr>
            <w:tcW w:w="88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操作+管理责任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一、管理</w:t>
            </w: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1</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保洁员的入职、辞职（含辞退、解雇、调离）、升职须得到甲方/采购人的书面许可。</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每周由中标人提前书面通知我方，经我方签署意见后实施。</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一处不符合要求，扣管理分1分</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2</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中标人应在每月28日前，向采购人递交下个月培训计划和当月培训总结。</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每周开展不少于3小时的培训（含礼仪培训、专业知识培训、操作流程培训、安全知识培训、设备使用培训等）。</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中标人应重视员工队伍的建设和培训工作。</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将根据计划进行实地抽查，未实施、未按规定时间培训、培训无记录、培训人员未参加培训等任一项不符合、培训效果达不到标准，均作为不合格。</w:t>
            </w: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每周五提交下周工作计划和本周工作小结。</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每月28日前上交本月度工作总结及下月工作计划。</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双方均应重视计划性工作，按计划有序向前推动工作，逐步提升现场管理效果和服务品质。</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将根据计划进行检查，缺其中一项，算不合格。</w:t>
            </w: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4</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中标人派驻在现场的管理人员和作业人员，均应服从采购人的工作调遣，按采购人要求参加有关的会议和培训工作。</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基于专业技能并根据要求提供妥善的保洁建议。</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未在规定时间参会，会议无记录，算为不合格。</w:t>
            </w: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1"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5</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按周计划、月计划进行清洁、保洁。</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经检查未达到清洁要求。</w:t>
            </w:r>
          </w:p>
        </w:tc>
        <w:tc>
          <w:tcPr>
            <w:tcW w:w="921"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未完成1项扣1分</w:t>
            </w:r>
          </w:p>
        </w:tc>
        <w:tc>
          <w:tcPr>
            <w:tcW w:w="921"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6</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保证人员到岗，到位人员流动率不得超过20%/月。</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交接班记录、检查记录、各类检查表、考勤表、打卡记录。</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不得发生缺员。</w:t>
            </w:r>
          </w:p>
        </w:tc>
        <w:tc>
          <w:tcPr>
            <w:tcW w:w="2731" w:type="dxa"/>
            <w:gridSpan w:val="3"/>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流动率每超过20%/月，扣10分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二、着装</w:t>
            </w: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7</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按规定穿着制服（含冬装、夏装），佩戴齐全、正确，装备佩戴正确。</w:t>
            </w:r>
          </w:p>
        </w:tc>
        <w:tc>
          <w:tcPr>
            <w:tcW w:w="2117"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违反任意一项为不合格。</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每人1处不符合要求扣1分</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8</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制服整洁无污物、干净无破损、不缺衣扣。</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统一制装，颜色差异较大的制装不得新旧混穿。</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三、服务态度</w:t>
            </w: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9</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工作期间不得伸懒腰、袖手、背手、叉腰或将手插入衣（裤）袋。</w:t>
            </w:r>
          </w:p>
        </w:tc>
        <w:tc>
          <w:tcPr>
            <w:tcW w:w="2117"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违反任意一项为不合格。</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每人1处不符合要求扣1分</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10</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态度和蔼、微笑服务。</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11</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服务意识强，周到热情。</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12</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对客户正当的要求帮助，能主动帮助、协助解决。</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四、工作纪律</w:t>
            </w: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13</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坚守岗位，执行岗位责任制，按时交接班，严禁脱岗，缺岗、误班。</w:t>
            </w:r>
          </w:p>
        </w:tc>
        <w:tc>
          <w:tcPr>
            <w:tcW w:w="2117"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违反任意一项为不合格。</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每人1处不符合要求扣1分</w:t>
            </w:r>
          </w:p>
        </w:tc>
        <w:tc>
          <w:tcPr>
            <w:tcW w:w="921" w:type="dxa"/>
            <w:vMerge w:val="restart"/>
            <w:vAlign w:val="center"/>
          </w:tcPr>
          <w:p>
            <w:pPr>
              <w:pStyle w:val="18"/>
              <w:spacing w:line="240" w:lineRule="auto"/>
              <w:ind w:left="0"/>
              <w:rPr>
                <w:rFonts w:ascii="宋体" w:hAnsi="宋体"/>
                <w:bCs/>
                <w:color w:val="auto"/>
                <w:szCs w:val="21"/>
                <w:highlight w:val="none"/>
              </w:rPr>
            </w:pPr>
          </w:p>
        </w:tc>
        <w:tc>
          <w:tcPr>
            <w:tcW w:w="889" w:type="dxa"/>
            <w:vMerge w:val="restart"/>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14</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不得迟到、早退。</w:t>
            </w:r>
          </w:p>
        </w:tc>
        <w:tc>
          <w:tcPr>
            <w:tcW w:w="2117"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15</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员工上下班必须由指定路线进出大厦，不得乘坐客梯（特许除外）。</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16</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当班时间不得窜岗、离岗（特许除外）闲聊、勾肩搭背、并大声喧哗。</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17</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男员工不得有：留长发、头发不干净，留胡须，剃光头；</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女员工不得有：佩带金银首饰、浓妆、涂指甲油、留长指甲、长发未戴发髻。</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18</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员工不得在公共区域内抽烟或随地吐痰，丢杂物。</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19</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当值期间不得打私人电话。</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20</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当班时不得睡觉、打牌、看书或办其他私事等。</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21</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保洁工具不得乱丢乱放。</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22</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不按规定时间就餐或在工作岗位上吃食。</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23</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在任何区域发现客户遗留物品应即时上交。</w:t>
            </w:r>
          </w:p>
        </w:tc>
        <w:tc>
          <w:tcPr>
            <w:tcW w:w="2117"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24</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当班时不准接待亲朋好友，如需必要，应先告知主管/领班，并请其安排事宜。</w:t>
            </w:r>
          </w:p>
        </w:tc>
        <w:tc>
          <w:tcPr>
            <w:tcW w:w="2117"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25</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上岗之前必须列队召开班前例会，下岗后必须列队召开班后会，由主管总结一天的工作，提出批评和表扬以及跟进事宜。</w:t>
            </w:r>
          </w:p>
        </w:tc>
        <w:tc>
          <w:tcPr>
            <w:tcW w:w="2117"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26</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不服从上级指令，不完成指派的工作。</w:t>
            </w:r>
          </w:p>
        </w:tc>
        <w:tc>
          <w:tcPr>
            <w:tcW w:w="2117"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如有租户或采购人员工投诉服务问题，不管大小一律视为不合格。</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每人1处不符合要求扣5分</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27</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不得在大厦内有偷窃、吵架、打架行为。</w:t>
            </w:r>
          </w:p>
        </w:tc>
        <w:tc>
          <w:tcPr>
            <w:tcW w:w="2117"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28</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不得在大厦内进行任何形式的赌博活动。</w:t>
            </w:r>
          </w:p>
        </w:tc>
        <w:tc>
          <w:tcPr>
            <w:tcW w:w="2117"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29</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不得在任何情况下和客户发生争执。</w:t>
            </w:r>
          </w:p>
        </w:tc>
        <w:tc>
          <w:tcPr>
            <w:tcW w:w="2117"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30</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客户投诉处理及时率</w:t>
            </w:r>
          </w:p>
        </w:tc>
        <w:tc>
          <w:tcPr>
            <w:tcW w:w="2117" w:type="dxa"/>
            <w:vMerge w:val="continue"/>
            <w:vAlign w:val="center"/>
          </w:tcPr>
          <w:p>
            <w:pPr>
              <w:pStyle w:val="18"/>
              <w:spacing w:line="240" w:lineRule="auto"/>
              <w:ind w:left="0"/>
              <w:rPr>
                <w:rFonts w:ascii="宋体" w:hAnsi="宋体"/>
                <w:bCs/>
                <w:color w:val="auto"/>
                <w:szCs w:val="21"/>
                <w:highlight w:val="none"/>
              </w:rPr>
            </w:pPr>
          </w:p>
        </w:tc>
        <w:tc>
          <w:tcPr>
            <w:tcW w:w="921" w:type="dxa"/>
            <w:vAlign w:val="center"/>
          </w:tcPr>
          <w:p>
            <w:pPr>
              <w:pStyle w:val="18"/>
              <w:spacing w:line="240" w:lineRule="auto"/>
              <w:ind w:left="0"/>
              <w:rPr>
                <w:rFonts w:ascii="宋体" w:hAnsi="宋体"/>
                <w:bCs/>
                <w:color w:val="auto"/>
                <w:szCs w:val="21"/>
                <w:highlight w:val="none"/>
              </w:rPr>
            </w:pPr>
          </w:p>
        </w:tc>
        <w:tc>
          <w:tcPr>
            <w:tcW w:w="921" w:type="dxa"/>
          </w:tcPr>
          <w:p>
            <w:pPr>
              <w:pStyle w:val="18"/>
              <w:spacing w:line="240" w:lineRule="auto"/>
              <w:ind w:left="0"/>
              <w:rPr>
                <w:rFonts w:ascii="宋体" w:hAnsi="宋体"/>
                <w:bCs/>
                <w:color w:val="auto"/>
                <w:szCs w:val="21"/>
                <w:highlight w:val="none"/>
              </w:rPr>
            </w:pPr>
          </w:p>
        </w:tc>
        <w:tc>
          <w:tcPr>
            <w:tcW w:w="889" w:type="dxa"/>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31</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突发事件响应机制</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遇突发事件是否在5分钟内响应，超时视为不合格</w:t>
            </w:r>
          </w:p>
        </w:tc>
        <w:tc>
          <w:tcPr>
            <w:tcW w:w="921" w:type="dxa"/>
            <w:vAlign w:val="center"/>
          </w:tcPr>
          <w:p>
            <w:pPr>
              <w:pStyle w:val="18"/>
              <w:spacing w:line="240" w:lineRule="auto"/>
              <w:ind w:left="0"/>
              <w:rPr>
                <w:rFonts w:ascii="宋体" w:hAnsi="宋体"/>
                <w:bCs/>
                <w:color w:val="auto"/>
                <w:szCs w:val="21"/>
                <w:highlight w:val="none"/>
              </w:rPr>
            </w:pPr>
          </w:p>
        </w:tc>
        <w:tc>
          <w:tcPr>
            <w:tcW w:w="921" w:type="dxa"/>
          </w:tcPr>
          <w:p>
            <w:pPr>
              <w:pStyle w:val="18"/>
              <w:spacing w:line="240" w:lineRule="auto"/>
              <w:ind w:left="0"/>
              <w:rPr>
                <w:rFonts w:ascii="宋体" w:hAnsi="宋体"/>
                <w:bCs/>
                <w:color w:val="auto"/>
                <w:szCs w:val="21"/>
                <w:highlight w:val="none"/>
              </w:rPr>
            </w:pPr>
          </w:p>
        </w:tc>
        <w:tc>
          <w:tcPr>
            <w:tcW w:w="889" w:type="dxa"/>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五、表格记录</w:t>
            </w: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32</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各种记录表格选用、使用符合现场要求，填写内容及时、正确、完整，字体工整，管理人员按规定巡查签名完整。</w:t>
            </w:r>
          </w:p>
        </w:tc>
        <w:tc>
          <w:tcPr>
            <w:tcW w:w="2117"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每周、月检查，各种记录表格等每月归档，档案未归类。归类不完整、不齐全为不合格。</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每1处不符合要求扣1分</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33</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各记录表格按规定的时间收集、分类、汇总、保存，做到检索方便、完整。</w:t>
            </w:r>
          </w:p>
        </w:tc>
        <w:tc>
          <w:tcPr>
            <w:tcW w:w="2117"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vAlign w:val="center"/>
          </w:tcPr>
          <w:p>
            <w:pPr>
              <w:pStyle w:val="18"/>
              <w:spacing w:line="240" w:lineRule="auto"/>
              <w:ind w:left="0"/>
              <w:rPr>
                <w:rFonts w:ascii="宋体" w:hAnsi="宋体"/>
                <w:bCs/>
                <w:color w:val="auto"/>
                <w:szCs w:val="21"/>
                <w:highlight w:val="none"/>
              </w:rPr>
            </w:pPr>
          </w:p>
        </w:tc>
        <w:tc>
          <w:tcPr>
            <w:tcW w:w="889" w:type="dxa"/>
            <w:vMerge w:val="continue"/>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34</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各种记录表格按规定时间提交。</w:t>
            </w:r>
          </w:p>
        </w:tc>
        <w:tc>
          <w:tcPr>
            <w:tcW w:w="2117"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vAlign w:val="center"/>
          </w:tcPr>
          <w:p>
            <w:pPr>
              <w:pStyle w:val="18"/>
              <w:spacing w:line="240" w:lineRule="auto"/>
              <w:ind w:left="0"/>
              <w:rPr>
                <w:rFonts w:ascii="宋体" w:hAnsi="宋体"/>
                <w:bCs/>
                <w:color w:val="auto"/>
                <w:szCs w:val="21"/>
                <w:highlight w:val="none"/>
              </w:rPr>
            </w:pPr>
          </w:p>
        </w:tc>
        <w:tc>
          <w:tcPr>
            <w:tcW w:w="889" w:type="dxa"/>
            <w:vMerge w:val="continue"/>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六、保洁质量</w:t>
            </w: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35</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日检：</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依据合同中《保洁服务频率及标准》和保洁频率、保洁巡回检查表内容。</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每1处不符合清洁要求扣1分</w:t>
            </w:r>
          </w:p>
        </w:tc>
        <w:tc>
          <w:tcPr>
            <w:tcW w:w="921" w:type="dxa"/>
            <w:vAlign w:val="center"/>
          </w:tcPr>
          <w:p>
            <w:pPr>
              <w:pStyle w:val="18"/>
              <w:spacing w:line="240" w:lineRule="auto"/>
              <w:ind w:left="0"/>
              <w:rPr>
                <w:rFonts w:ascii="宋体" w:hAnsi="宋体"/>
                <w:bCs/>
                <w:color w:val="auto"/>
                <w:szCs w:val="21"/>
                <w:highlight w:val="none"/>
              </w:rPr>
            </w:pPr>
          </w:p>
        </w:tc>
        <w:tc>
          <w:tcPr>
            <w:tcW w:w="889" w:type="dxa"/>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36</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周检：</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依据合同中《保洁服务频率及标准》和现场保洁频率。</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每1处不符合清洁要求扣2分</w:t>
            </w:r>
          </w:p>
        </w:tc>
        <w:tc>
          <w:tcPr>
            <w:tcW w:w="921" w:type="dxa"/>
            <w:vAlign w:val="center"/>
          </w:tcPr>
          <w:p>
            <w:pPr>
              <w:pStyle w:val="18"/>
              <w:spacing w:line="240" w:lineRule="auto"/>
              <w:ind w:left="0"/>
              <w:rPr>
                <w:rFonts w:ascii="宋体" w:hAnsi="宋体"/>
                <w:bCs/>
                <w:color w:val="auto"/>
                <w:szCs w:val="21"/>
                <w:highlight w:val="none"/>
              </w:rPr>
            </w:pPr>
          </w:p>
        </w:tc>
        <w:tc>
          <w:tcPr>
            <w:tcW w:w="889" w:type="dxa"/>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37</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月检：</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依据合同中《保洁服务频率及标准》和现场保洁频率。</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每1处不符合清洁要求扣4分</w:t>
            </w:r>
          </w:p>
        </w:tc>
        <w:tc>
          <w:tcPr>
            <w:tcW w:w="921" w:type="dxa"/>
            <w:vAlign w:val="center"/>
          </w:tcPr>
          <w:p>
            <w:pPr>
              <w:pStyle w:val="18"/>
              <w:spacing w:line="240" w:lineRule="auto"/>
              <w:ind w:left="0"/>
              <w:rPr>
                <w:rFonts w:ascii="宋体" w:hAnsi="宋体"/>
                <w:bCs/>
                <w:color w:val="auto"/>
                <w:szCs w:val="21"/>
                <w:highlight w:val="none"/>
              </w:rPr>
            </w:pPr>
          </w:p>
        </w:tc>
        <w:tc>
          <w:tcPr>
            <w:tcW w:w="889" w:type="dxa"/>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七、操作规程</w:t>
            </w: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38</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经培训后仍达不到标准操作规程。</w:t>
            </w:r>
          </w:p>
        </w:tc>
        <w:tc>
          <w:tcPr>
            <w:tcW w:w="2117"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每人1处不符合要求扣1分</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39</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不按工作计划进行保洁工作。</w:t>
            </w:r>
          </w:p>
        </w:tc>
        <w:tc>
          <w:tcPr>
            <w:tcW w:w="2117"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vAlign w:val="center"/>
          </w:tcPr>
          <w:p>
            <w:pPr>
              <w:pStyle w:val="18"/>
              <w:spacing w:line="240" w:lineRule="auto"/>
              <w:ind w:left="0"/>
              <w:rPr>
                <w:rFonts w:ascii="宋体" w:hAnsi="宋体"/>
                <w:bCs/>
                <w:color w:val="auto"/>
                <w:szCs w:val="21"/>
                <w:highlight w:val="none"/>
              </w:rPr>
            </w:pPr>
          </w:p>
        </w:tc>
        <w:tc>
          <w:tcPr>
            <w:tcW w:w="889" w:type="dxa"/>
            <w:vMerge w:val="continue"/>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40</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不按工作流程进行清洁工作。</w:t>
            </w:r>
          </w:p>
        </w:tc>
        <w:tc>
          <w:tcPr>
            <w:tcW w:w="2117" w:type="dxa"/>
            <w:vMerge w:val="continue"/>
            <w:vAlign w:val="center"/>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vAlign w:val="center"/>
          </w:tcPr>
          <w:p>
            <w:pPr>
              <w:pStyle w:val="18"/>
              <w:spacing w:line="240" w:lineRule="auto"/>
              <w:ind w:left="0"/>
              <w:rPr>
                <w:rFonts w:ascii="宋体" w:hAnsi="宋体"/>
                <w:bCs/>
                <w:color w:val="auto"/>
                <w:szCs w:val="21"/>
                <w:highlight w:val="none"/>
              </w:rPr>
            </w:pPr>
          </w:p>
        </w:tc>
        <w:tc>
          <w:tcPr>
            <w:tcW w:w="889" w:type="dxa"/>
            <w:vMerge w:val="continue"/>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八、消耗品</w:t>
            </w: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41</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卫生间消耗品（卷纸、擦手纸、洗手液、垃圾袋、香薰剂等）不得短缺。</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每检查10分钟后，经二次复查仍未进行补充的。</w:t>
            </w:r>
          </w:p>
        </w:tc>
        <w:tc>
          <w:tcPr>
            <w:tcW w:w="921" w:type="dxa"/>
            <w:vAlign w:val="center"/>
          </w:tcPr>
          <w:p>
            <w:pPr>
              <w:pStyle w:val="18"/>
              <w:spacing w:line="240" w:lineRule="auto"/>
              <w:ind w:left="0"/>
              <w:rPr>
                <w:rFonts w:ascii="宋体" w:hAnsi="宋体"/>
                <w:bCs/>
                <w:color w:val="auto"/>
                <w:szCs w:val="21"/>
                <w:highlight w:val="none"/>
              </w:rPr>
            </w:pPr>
          </w:p>
        </w:tc>
        <w:tc>
          <w:tcPr>
            <w:tcW w:w="921"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每缺1处扣1分</w:t>
            </w:r>
          </w:p>
        </w:tc>
        <w:tc>
          <w:tcPr>
            <w:tcW w:w="889" w:type="dxa"/>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九、外墙清洁</w:t>
            </w: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42</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幕墙、顶棚、雨棚、玻璃，无污渍、无灰尘、无水迹、无划伤。</w:t>
            </w:r>
          </w:p>
        </w:tc>
        <w:tc>
          <w:tcPr>
            <w:tcW w:w="2117"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每人1处不符合要求扣5分</w:t>
            </w:r>
          </w:p>
        </w:tc>
        <w:tc>
          <w:tcPr>
            <w:tcW w:w="921" w:type="dxa"/>
            <w:vMerge w:val="restart"/>
            <w:vAlign w:val="center"/>
          </w:tcPr>
          <w:p>
            <w:pPr>
              <w:pStyle w:val="18"/>
              <w:spacing w:line="240" w:lineRule="auto"/>
              <w:ind w:left="0"/>
              <w:rPr>
                <w:rFonts w:ascii="宋体" w:hAnsi="宋体"/>
                <w:bCs/>
                <w:color w:val="auto"/>
                <w:szCs w:val="21"/>
                <w:highlight w:val="none"/>
              </w:rPr>
            </w:pPr>
          </w:p>
        </w:tc>
        <w:tc>
          <w:tcPr>
            <w:tcW w:w="889" w:type="dxa"/>
            <w:vMerge w:val="restart"/>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43</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石材墙面（严禁冲洗），无污渍、无灰尘。</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44</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擦净金属框架、墙面，无污渍、无灰尘、无水迹、无划伤。</w:t>
            </w:r>
          </w:p>
        </w:tc>
        <w:tc>
          <w:tcPr>
            <w:tcW w:w="2117"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921" w:type="dxa"/>
            <w:vMerge w:val="continue"/>
          </w:tcPr>
          <w:p>
            <w:pPr>
              <w:pStyle w:val="18"/>
              <w:spacing w:line="240" w:lineRule="auto"/>
              <w:ind w:left="0"/>
              <w:rPr>
                <w:rFonts w:ascii="宋体" w:hAnsi="宋体"/>
                <w:bCs/>
                <w:color w:val="auto"/>
                <w:szCs w:val="21"/>
                <w:highlight w:val="none"/>
              </w:rPr>
            </w:pPr>
          </w:p>
        </w:tc>
        <w:tc>
          <w:tcPr>
            <w:tcW w:w="889" w:type="dxa"/>
            <w:vMerge w:val="continue"/>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十、工作环境</w:t>
            </w:r>
          </w:p>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45</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办公室整洁卫生，桌面、抽屉物品摆放有序、无杂物。</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restart"/>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一处不合格扣1分</w:t>
            </w:r>
          </w:p>
        </w:tc>
        <w:tc>
          <w:tcPr>
            <w:tcW w:w="921" w:type="dxa"/>
          </w:tcPr>
          <w:p>
            <w:pPr>
              <w:pStyle w:val="18"/>
              <w:spacing w:line="240" w:lineRule="auto"/>
              <w:ind w:left="0"/>
              <w:rPr>
                <w:rFonts w:ascii="宋体" w:hAnsi="宋体"/>
                <w:bCs/>
                <w:color w:val="auto"/>
                <w:szCs w:val="21"/>
                <w:highlight w:val="none"/>
              </w:rPr>
            </w:pPr>
          </w:p>
        </w:tc>
        <w:tc>
          <w:tcPr>
            <w:tcW w:w="889" w:type="dxa"/>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46</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办公室内无乱拉电线、无放置有毒、有害、易燃、易爆物品。</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continue"/>
          </w:tcPr>
          <w:p>
            <w:pPr>
              <w:pStyle w:val="18"/>
              <w:spacing w:line="240" w:lineRule="auto"/>
              <w:ind w:left="0"/>
              <w:rPr>
                <w:rFonts w:ascii="宋体" w:hAnsi="宋体"/>
                <w:bCs/>
                <w:color w:val="auto"/>
                <w:szCs w:val="21"/>
                <w:highlight w:val="none"/>
              </w:rPr>
            </w:pPr>
          </w:p>
        </w:tc>
        <w:tc>
          <w:tcPr>
            <w:tcW w:w="921" w:type="dxa"/>
          </w:tcPr>
          <w:p>
            <w:pPr>
              <w:pStyle w:val="18"/>
              <w:spacing w:line="240" w:lineRule="auto"/>
              <w:ind w:left="0"/>
              <w:rPr>
                <w:rFonts w:ascii="宋体" w:hAnsi="宋体"/>
                <w:bCs/>
                <w:color w:val="auto"/>
                <w:szCs w:val="21"/>
                <w:highlight w:val="none"/>
              </w:rPr>
            </w:pPr>
          </w:p>
        </w:tc>
        <w:tc>
          <w:tcPr>
            <w:tcW w:w="889" w:type="dxa"/>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47</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工作现场物件、工具、清洁剂等按规定位置摆放，整齐有序。</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continue"/>
          </w:tcPr>
          <w:p>
            <w:pPr>
              <w:pStyle w:val="18"/>
              <w:spacing w:line="240" w:lineRule="auto"/>
              <w:ind w:left="0"/>
              <w:rPr>
                <w:rFonts w:ascii="宋体" w:hAnsi="宋体"/>
                <w:bCs/>
                <w:color w:val="auto"/>
                <w:szCs w:val="21"/>
                <w:highlight w:val="none"/>
              </w:rPr>
            </w:pPr>
          </w:p>
        </w:tc>
        <w:tc>
          <w:tcPr>
            <w:tcW w:w="921" w:type="dxa"/>
          </w:tcPr>
          <w:p>
            <w:pPr>
              <w:pStyle w:val="18"/>
              <w:spacing w:line="240" w:lineRule="auto"/>
              <w:ind w:left="0"/>
              <w:rPr>
                <w:rFonts w:ascii="宋体" w:hAnsi="宋体"/>
                <w:bCs/>
                <w:color w:val="auto"/>
                <w:szCs w:val="21"/>
                <w:highlight w:val="none"/>
              </w:rPr>
            </w:pPr>
          </w:p>
        </w:tc>
        <w:tc>
          <w:tcPr>
            <w:tcW w:w="889" w:type="dxa"/>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48</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办公室内不存放垃圾。</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continue"/>
          </w:tcPr>
          <w:p>
            <w:pPr>
              <w:pStyle w:val="18"/>
              <w:spacing w:line="240" w:lineRule="auto"/>
              <w:ind w:left="0"/>
              <w:rPr>
                <w:rFonts w:ascii="宋体" w:hAnsi="宋体"/>
                <w:bCs/>
                <w:color w:val="auto"/>
                <w:szCs w:val="21"/>
                <w:highlight w:val="none"/>
              </w:rPr>
            </w:pPr>
          </w:p>
        </w:tc>
        <w:tc>
          <w:tcPr>
            <w:tcW w:w="921" w:type="dxa"/>
          </w:tcPr>
          <w:p>
            <w:pPr>
              <w:pStyle w:val="18"/>
              <w:spacing w:line="240" w:lineRule="auto"/>
              <w:ind w:left="0"/>
              <w:rPr>
                <w:rFonts w:ascii="宋体" w:hAnsi="宋体"/>
                <w:bCs/>
                <w:color w:val="auto"/>
                <w:szCs w:val="21"/>
                <w:highlight w:val="none"/>
              </w:rPr>
            </w:pPr>
          </w:p>
        </w:tc>
        <w:tc>
          <w:tcPr>
            <w:tcW w:w="889" w:type="dxa"/>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spacing w:line="240" w:lineRule="auto"/>
              <w:ind w:left="0"/>
              <w:rPr>
                <w:rFonts w:ascii="宋体" w:hAnsi="宋体"/>
                <w:bCs/>
                <w:color w:val="auto"/>
                <w:szCs w:val="21"/>
                <w:highlight w:val="none"/>
              </w:rPr>
            </w:pPr>
          </w:p>
        </w:tc>
        <w:tc>
          <w:tcPr>
            <w:tcW w:w="459"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49</w:t>
            </w:r>
          </w:p>
        </w:tc>
        <w:tc>
          <w:tcPr>
            <w:tcW w:w="3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地面整洁、墙面洁净、公共设施设备无明显灰尘、污垢、节水节电工作落实到位。</w:t>
            </w:r>
          </w:p>
        </w:tc>
        <w:tc>
          <w:tcPr>
            <w:tcW w:w="2117" w:type="dxa"/>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continue"/>
          </w:tcPr>
          <w:p>
            <w:pPr>
              <w:pStyle w:val="18"/>
              <w:spacing w:line="240" w:lineRule="auto"/>
              <w:ind w:left="0"/>
              <w:rPr>
                <w:rFonts w:ascii="宋体" w:hAnsi="宋体"/>
                <w:bCs/>
                <w:color w:val="auto"/>
                <w:szCs w:val="21"/>
                <w:highlight w:val="none"/>
              </w:rPr>
            </w:pPr>
          </w:p>
        </w:tc>
        <w:tc>
          <w:tcPr>
            <w:tcW w:w="921" w:type="dxa"/>
          </w:tcPr>
          <w:p>
            <w:pPr>
              <w:pStyle w:val="18"/>
              <w:spacing w:line="240" w:lineRule="auto"/>
              <w:ind w:left="0"/>
              <w:rPr>
                <w:rFonts w:ascii="宋体" w:hAnsi="宋体"/>
                <w:bCs/>
                <w:color w:val="auto"/>
                <w:szCs w:val="21"/>
                <w:highlight w:val="none"/>
              </w:rPr>
            </w:pPr>
          </w:p>
        </w:tc>
        <w:tc>
          <w:tcPr>
            <w:tcW w:w="889" w:type="dxa"/>
          </w:tcPr>
          <w:p>
            <w:pPr>
              <w:pStyle w:val="18"/>
              <w:spacing w:line="240" w:lineRule="auto"/>
              <w:ind w:left="0"/>
              <w:rPr>
                <w:rFonts w:ascii="宋体" w:hAnsi="宋体"/>
                <w:bCs/>
                <w:color w:val="auto"/>
                <w:szCs w:val="21"/>
                <w:highlight w:val="none"/>
              </w:rPr>
            </w:pPr>
          </w:p>
          <w:p>
            <w:pPr>
              <w:pStyle w:val="18"/>
              <w:spacing w:line="240" w:lineRule="auto"/>
              <w:ind w:left="0"/>
              <w:rPr>
                <w:rFonts w:ascii="宋体" w:hAnsi="宋体"/>
                <w:bCs/>
                <w:color w:val="auto"/>
                <w:szCs w:val="21"/>
                <w:highlight w:val="none"/>
              </w:rPr>
            </w:pPr>
          </w:p>
          <w:p>
            <w:pPr>
              <w:pStyle w:val="18"/>
              <w:spacing w:line="240" w:lineRule="auto"/>
              <w:ind w:left="0"/>
              <w:rPr>
                <w:rFonts w:ascii="宋体" w:hAnsi="宋体"/>
                <w:bCs/>
                <w:color w:val="auto"/>
                <w:szCs w:val="21"/>
                <w:highlight w:val="none"/>
              </w:rPr>
            </w:pPr>
          </w:p>
          <w:p>
            <w:pPr>
              <w:pStyle w:val="18"/>
              <w:spacing w:line="240" w:lineRule="auto"/>
              <w:ind w:left="0"/>
              <w:rPr>
                <w:rFonts w:ascii="宋体" w:hAnsi="宋体"/>
                <w:bCs/>
                <w:color w:val="auto"/>
                <w:szCs w:val="21"/>
                <w:highlight w:val="none"/>
              </w:rPr>
            </w:pPr>
          </w:p>
          <w:p>
            <w:pPr>
              <w:pStyle w:val="18"/>
              <w:spacing w:line="240" w:lineRule="auto"/>
              <w:ind w:left="0"/>
              <w:rPr>
                <w:rFonts w:ascii="宋体" w:hAnsi="宋体"/>
                <w:bCs/>
                <w:color w:val="auto"/>
                <w:szCs w:val="21"/>
                <w:highlight w:val="none"/>
              </w:rPr>
            </w:pPr>
          </w:p>
          <w:p>
            <w:pPr>
              <w:pStyle w:val="18"/>
              <w:spacing w:line="240" w:lineRule="auto"/>
              <w:ind w:left="0"/>
              <w:rPr>
                <w:rFonts w:ascii="宋体" w:hAnsi="宋体"/>
                <w:bCs/>
                <w:color w:val="auto"/>
                <w:szCs w:val="21"/>
                <w:highlight w:val="none"/>
              </w:rPr>
            </w:pPr>
          </w:p>
          <w:p>
            <w:pPr>
              <w:pStyle w:val="18"/>
              <w:spacing w:line="240" w:lineRule="auto"/>
              <w:ind w:left="0"/>
              <w:rPr>
                <w:rFonts w:ascii="宋体" w:hAnsi="宋体"/>
                <w:bCs/>
                <w:color w:val="auto"/>
                <w:szCs w:val="21"/>
                <w:highlight w:val="none"/>
              </w:rPr>
            </w:pPr>
          </w:p>
          <w:p>
            <w:pPr>
              <w:pStyle w:val="18"/>
              <w:spacing w:line="240" w:lineRule="auto"/>
              <w:ind w:left="0"/>
              <w:rPr>
                <w:rFonts w:ascii="宋体" w:hAnsi="宋体"/>
                <w:bCs/>
                <w:color w:val="auto"/>
                <w:szCs w:val="21"/>
                <w:highlight w:val="none"/>
              </w:rPr>
            </w:pPr>
          </w:p>
          <w:p>
            <w:pPr>
              <w:pStyle w:val="18"/>
              <w:spacing w:line="240" w:lineRule="auto"/>
              <w:ind w:left="0"/>
              <w:rPr>
                <w:rFonts w:ascii="宋体" w:hAnsi="宋体"/>
                <w:bCs/>
                <w:color w:val="auto"/>
                <w:szCs w:val="21"/>
                <w:highlight w:val="none"/>
              </w:rPr>
            </w:pPr>
          </w:p>
        </w:tc>
      </w:tr>
    </w:tbl>
    <w:p>
      <w:pPr>
        <w:tabs>
          <w:tab w:val="left" w:pos="360"/>
          <w:tab w:val="left" w:pos="540"/>
          <w:tab w:val="left" w:pos="720"/>
          <w:tab w:val="left" w:pos="1080"/>
        </w:tabs>
        <w:spacing w:line="320" w:lineRule="exact"/>
        <w:rPr>
          <w:bCs/>
          <w:color w:val="auto"/>
          <w:szCs w:val="21"/>
          <w:highlight w:val="none"/>
        </w:rPr>
      </w:pPr>
      <w:r>
        <w:rPr>
          <w:rFonts w:hint="eastAsia"/>
          <w:bCs/>
          <w:color w:val="auto"/>
          <w:szCs w:val="21"/>
          <w:highlight w:val="none"/>
        </w:rPr>
        <w:t>由甲方管理人员采用抽查方式进行，抽查时发现问题即时通知乙方派驻现场主管或领班确认。</w:t>
      </w:r>
    </w:p>
    <w:p>
      <w:pPr>
        <w:spacing w:line="360" w:lineRule="exact"/>
        <w:ind w:left="735" w:hanging="735" w:hangingChars="350"/>
        <w:rPr>
          <w:color w:val="auto"/>
          <w:szCs w:val="21"/>
          <w:highlight w:val="none"/>
        </w:rPr>
      </w:pPr>
      <w:r>
        <w:rPr>
          <w:rFonts w:hint="eastAsia"/>
          <w:color w:val="auto"/>
          <w:szCs w:val="21"/>
          <w:highlight w:val="none"/>
        </w:rPr>
        <w:t>说明：1.仪容仪表考核标准以甲乙双方协定为准；</w:t>
      </w:r>
    </w:p>
    <w:p>
      <w:pPr>
        <w:spacing w:line="360" w:lineRule="exact"/>
        <w:ind w:firstLine="630" w:firstLineChars="300"/>
        <w:rPr>
          <w:color w:val="auto"/>
          <w:szCs w:val="21"/>
          <w:highlight w:val="none"/>
        </w:rPr>
      </w:pPr>
      <w:r>
        <w:rPr>
          <w:rFonts w:hint="eastAsia"/>
          <w:color w:val="auto"/>
          <w:szCs w:val="21"/>
          <w:highlight w:val="none"/>
        </w:rPr>
        <w:t>2.若同一项目内的扣罚分数累计高于考核比例内之分数，以考核比例最高分数计算。</w:t>
      </w:r>
    </w:p>
    <w:p>
      <w:pPr>
        <w:rPr>
          <w:color w:val="auto"/>
          <w:szCs w:val="21"/>
          <w:highlight w:val="none"/>
        </w:rPr>
      </w:pPr>
    </w:p>
    <w:p>
      <w:pPr>
        <w:rPr>
          <w:color w:val="auto"/>
          <w:szCs w:val="21"/>
          <w:highlight w:val="none"/>
        </w:rPr>
      </w:pPr>
      <w:r>
        <w:rPr>
          <w:rFonts w:hint="eastAsia"/>
          <w:color w:val="auto"/>
          <w:szCs w:val="21"/>
          <w:highlight w:val="none"/>
        </w:rPr>
        <w:t>扣罚细则：</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155"/>
        <w:gridCol w:w="2147"/>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1" w:type="dxa"/>
          </w:tcPr>
          <w:p>
            <w:pPr>
              <w:spacing w:line="400" w:lineRule="exact"/>
              <w:jc w:val="center"/>
              <w:rPr>
                <w:color w:val="auto"/>
                <w:szCs w:val="21"/>
                <w:highlight w:val="none"/>
              </w:rPr>
            </w:pPr>
            <w:r>
              <w:rPr>
                <w:rFonts w:hint="eastAsia"/>
                <w:color w:val="auto"/>
                <w:szCs w:val="21"/>
                <w:highlight w:val="none"/>
              </w:rPr>
              <w:t>剩余考核总分值</w:t>
            </w:r>
          </w:p>
        </w:tc>
        <w:tc>
          <w:tcPr>
            <w:tcW w:w="2155" w:type="dxa"/>
          </w:tcPr>
          <w:p>
            <w:pPr>
              <w:spacing w:line="400" w:lineRule="exact"/>
              <w:jc w:val="center"/>
              <w:rPr>
                <w:color w:val="auto"/>
                <w:szCs w:val="21"/>
                <w:highlight w:val="none"/>
              </w:rPr>
            </w:pPr>
            <w:r>
              <w:rPr>
                <w:rFonts w:hint="eastAsia"/>
                <w:color w:val="auto"/>
                <w:szCs w:val="21"/>
                <w:highlight w:val="none"/>
              </w:rPr>
              <w:t>扣款条款</w:t>
            </w:r>
          </w:p>
        </w:tc>
        <w:tc>
          <w:tcPr>
            <w:tcW w:w="2147" w:type="dxa"/>
          </w:tcPr>
          <w:p>
            <w:pPr>
              <w:spacing w:line="400" w:lineRule="exact"/>
              <w:jc w:val="center"/>
              <w:rPr>
                <w:color w:val="auto"/>
                <w:szCs w:val="21"/>
                <w:highlight w:val="none"/>
              </w:rPr>
            </w:pPr>
            <w:r>
              <w:rPr>
                <w:rFonts w:hint="eastAsia"/>
                <w:color w:val="auto"/>
                <w:szCs w:val="21"/>
                <w:highlight w:val="none"/>
              </w:rPr>
              <w:t>剩余考核总分值</w:t>
            </w:r>
          </w:p>
        </w:tc>
        <w:tc>
          <w:tcPr>
            <w:tcW w:w="2147" w:type="dxa"/>
          </w:tcPr>
          <w:p>
            <w:pPr>
              <w:spacing w:line="400" w:lineRule="exact"/>
              <w:jc w:val="center"/>
              <w:rPr>
                <w:color w:val="auto"/>
                <w:szCs w:val="21"/>
                <w:highlight w:val="none"/>
              </w:rPr>
            </w:pPr>
            <w:r>
              <w:rPr>
                <w:rFonts w:hint="eastAsia"/>
                <w:color w:val="auto"/>
                <w:szCs w:val="21"/>
                <w:highlight w:val="none"/>
              </w:rPr>
              <w:t>扣款条款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1" w:type="dxa"/>
          </w:tcPr>
          <w:p>
            <w:pPr>
              <w:spacing w:line="400" w:lineRule="exact"/>
              <w:jc w:val="center"/>
              <w:rPr>
                <w:color w:val="auto"/>
                <w:szCs w:val="21"/>
                <w:highlight w:val="none"/>
              </w:rPr>
            </w:pPr>
            <w:r>
              <w:rPr>
                <w:rFonts w:hint="eastAsia"/>
                <w:color w:val="auto"/>
                <w:szCs w:val="21"/>
                <w:highlight w:val="none"/>
              </w:rPr>
              <w:t>91-95</w:t>
            </w:r>
          </w:p>
        </w:tc>
        <w:tc>
          <w:tcPr>
            <w:tcW w:w="2155" w:type="dxa"/>
          </w:tcPr>
          <w:p>
            <w:pPr>
              <w:spacing w:line="400" w:lineRule="exact"/>
              <w:jc w:val="center"/>
              <w:rPr>
                <w:color w:val="auto"/>
                <w:szCs w:val="21"/>
                <w:highlight w:val="none"/>
              </w:rPr>
            </w:pPr>
            <w:r>
              <w:rPr>
                <w:rFonts w:hint="eastAsia"/>
                <w:color w:val="auto"/>
                <w:szCs w:val="21"/>
                <w:highlight w:val="none"/>
              </w:rPr>
              <w:t>每分1</w:t>
            </w:r>
            <w:r>
              <w:rPr>
                <w:color w:val="auto"/>
                <w:szCs w:val="21"/>
                <w:highlight w:val="none"/>
              </w:rPr>
              <w:t>000</w:t>
            </w:r>
            <w:r>
              <w:rPr>
                <w:rFonts w:hint="eastAsia"/>
                <w:color w:val="auto"/>
                <w:szCs w:val="21"/>
                <w:highlight w:val="none"/>
              </w:rPr>
              <w:t>元</w:t>
            </w:r>
          </w:p>
        </w:tc>
        <w:tc>
          <w:tcPr>
            <w:tcW w:w="2147" w:type="dxa"/>
          </w:tcPr>
          <w:p>
            <w:pPr>
              <w:spacing w:line="400" w:lineRule="exact"/>
              <w:jc w:val="center"/>
              <w:rPr>
                <w:color w:val="auto"/>
                <w:szCs w:val="21"/>
                <w:highlight w:val="none"/>
              </w:rPr>
            </w:pPr>
            <w:r>
              <w:rPr>
                <w:rFonts w:hint="eastAsia"/>
                <w:color w:val="auto"/>
                <w:szCs w:val="21"/>
                <w:highlight w:val="none"/>
              </w:rPr>
              <w:t>86-90</w:t>
            </w:r>
          </w:p>
        </w:tc>
        <w:tc>
          <w:tcPr>
            <w:tcW w:w="2147" w:type="dxa"/>
          </w:tcPr>
          <w:p>
            <w:pPr>
              <w:spacing w:line="400" w:lineRule="exact"/>
              <w:jc w:val="center"/>
              <w:rPr>
                <w:color w:val="auto"/>
                <w:szCs w:val="21"/>
                <w:highlight w:val="none"/>
              </w:rPr>
            </w:pPr>
            <w:r>
              <w:rPr>
                <w:rFonts w:hint="eastAsia"/>
                <w:color w:val="auto"/>
                <w:szCs w:val="21"/>
                <w:highlight w:val="none"/>
              </w:rPr>
              <w:t>每分2</w:t>
            </w:r>
            <w:r>
              <w:rPr>
                <w:color w:val="auto"/>
                <w:szCs w:val="21"/>
                <w:highlight w:val="none"/>
              </w:rPr>
              <w:t>000</w:t>
            </w:r>
            <w:r>
              <w:rPr>
                <w:rFonts w:hint="eastAsia"/>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1" w:type="dxa"/>
          </w:tcPr>
          <w:p>
            <w:pPr>
              <w:spacing w:line="400" w:lineRule="exact"/>
              <w:jc w:val="center"/>
              <w:rPr>
                <w:color w:val="auto"/>
                <w:szCs w:val="21"/>
                <w:highlight w:val="none"/>
              </w:rPr>
            </w:pPr>
            <w:r>
              <w:rPr>
                <w:rFonts w:hint="eastAsia"/>
                <w:color w:val="auto"/>
                <w:szCs w:val="21"/>
                <w:highlight w:val="none"/>
              </w:rPr>
              <w:t>81-85</w:t>
            </w:r>
          </w:p>
        </w:tc>
        <w:tc>
          <w:tcPr>
            <w:tcW w:w="2155" w:type="dxa"/>
          </w:tcPr>
          <w:p>
            <w:pPr>
              <w:spacing w:line="400" w:lineRule="exact"/>
              <w:jc w:val="center"/>
              <w:rPr>
                <w:color w:val="auto"/>
                <w:szCs w:val="21"/>
                <w:highlight w:val="none"/>
              </w:rPr>
            </w:pPr>
            <w:r>
              <w:rPr>
                <w:color w:val="auto"/>
                <w:szCs w:val="21"/>
                <w:highlight w:val="none"/>
              </w:rPr>
              <w:t>10</w:t>
            </w:r>
            <w:r>
              <w:rPr>
                <w:rFonts w:hint="eastAsia"/>
                <w:color w:val="auto"/>
                <w:szCs w:val="21"/>
                <w:highlight w:val="none"/>
              </w:rPr>
              <w:t>%</w:t>
            </w:r>
          </w:p>
        </w:tc>
        <w:tc>
          <w:tcPr>
            <w:tcW w:w="2147" w:type="dxa"/>
          </w:tcPr>
          <w:p>
            <w:pPr>
              <w:spacing w:line="400" w:lineRule="exact"/>
              <w:jc w:val="center"/>
              <w:rPr>
                <w:color w:val="auto"/>
                <w:szCs w:val="21"/>
                <w:highlight w:val="none"/>
              </w:rPr>
            </w:pPr>
            <w:r>
              <w:rPr>
                <w:rFonts w:hint="eastAsia"/>
                <w:color w:val="auto"/>
                <w:szCs w:val="21"/>
                <w:highlight w:val="none"/>
              </w:rPr>
              <w:t>80分或以下</w:t>
            </w:r>
          </w:p>
        </w:tc>
        <w:tc>
          <w:tcPr>
            <w:tcW w:w="2147" w:type="dxa"/>
          </w:tcPr>
          <w:p>
            <w:pPr>
              <w:spacing w:line="400" w:lineRule="exact"/>
              <w:jc w:val="center"/>
              <w:rPr>
                <w:color w:val="auto"/>
                <w:szCs w:val="21"/>
                <w:highlight w:val="none"/>
              </w:rPr>
            </w:pPr>
            <w:r>
              <w:rPr>
                <w:rFonts w:hint="eastAsia"/>
                <w:color w:val="auto"/>
                <w:szCs w:val="21"/>
                <w:highlight w:val="none"/>
              </w:rPr>
              <w:t>30%及接警告函</w:t>
            </w:r>
          </w:p>
        </w:tc>
      </w:tr>
    </w:tbl>
    <w:p>
      <w:pPr>
        <w:pStyle w:val="18"/>
        <w:ind w:left="0" w:firstLine="420" w:firstLineChars="200"/>
        <w:rPr>
          <w:rFonts w:ascii="宋体" w:hAnsi="宋体"/>
          <w:bCs/>
          <w:color w:val="auto"/>
          <w:szCs w:val="21"/>
          <w:highlight w:val="none"/>
        </w:rPr>
      </w:pPr>
      <w:r>
        <w:rPr>
          <w:rFonts w:hint="eastAsia" w:ascii="宋体" w:hAnsi="宋体"/>
          <w:bCs/>
          <w:color w:val="auto"/>
          <w:szCs w:val="21"/>
          <w:highlight w:val="none"/>
        </w:rPr>
        <w:t>合同期的前三个月为成交人服务试用期，在此期间内，如成交人考核总分低于80分，视为服务质量不合格，采购人可随时解除本合同，且不承担任何违约责任，试用期内按考评结果支付实际费用。试用期过后，成交人不得无故单方面解除合同，否则成交人应向采购人支付一个月服务费的违约金。</w:t>
      </w:r>
    </w:p>
    <w:p>
      <w:pPr>
        <w:pStyle w:val="18"/>
        <w:ind w:left="0" w:firstLine="420" w:firstLineChars="200"/>
        <w:rPr>
          <w:rFonts w:ascii="宋体" w:hAnsi="宋体"/>
          <w:bCs/>
          <w:color w:val="auto"/>
          <w:szCs w:val="21"/>
          <w:highlight w:val="none"/>
        </w:rPr>
      </w:pPr>
      <w:r>
        <w:rPr>
          <w:rFonts w:hint="eastAsia" w:ascii="宋体" w:hAnsi="宋体"/>
          <w:bCs/>
          <w:color w:val="auto"/>
          <w:szCs w:val="21"/>
          <w:highlight w:val="none"/>
        </w:rPr>
        <w:t>合同期内，成交人在连续两个月评分在8</w:t>
      </w:r>
      <w:r>
        <w:rPr>
          <w:rFonts w:ascii="宋体" w:hAnsi="宋体"/>
          <w:bCs/>
          <w:color w:val="auto"/>
          <w:szCs w:val="21"/>
          <w:highlight w:val="none"/>
        </w:rPr>
        <w:t>0</w:t>
      </w:r>
      <w:r>
        <w:rPr>
          <w:rFonts w:hint="eastAsia" w:ascii="宋体" w:hAnsi="宋体"/>
          <w:bCs/>
          <w:color w:val="auto"/>
          <w:szCs w:val="21"/>
          <w:highlight w:val="none"/>
        </w:rPr>
        <w:t>分以下，采购人有权单方面解除合同。</w:t>
      </w:r>
    </w:p>
    <w:p>
      <w:pPr>
        <w:pStyle w:val="18"/>
        <w:ind w:left="0"/>
        <w:outlineLvl w:val="2"/>
        <w:rPr>
          <w:rFonts w:ascii="宋体" w:hAnsi="宋体"/>
          <w:b/>
          <w:color w:val="auto"/>
          <w:szCs w:val="21"/>
          <w:highlight w:val="none"/>
        </w:rPr>
      </w:pPr>
      <w:r>
        <w:rPr>
          <w:rFonts w:hint="eastAsia" w:ascii="宋体" w:hAnsi="宋体"/>
          <w:b/>
          <w:color w:val="auto"/>
          <w:szCs w:val="21"/>
          <w:highlight w:val="none"/>
        </w:rPr>
        <w:t>四、其它要求：</w:t>
      </w:r>
    </w:p>
    <w:p>
      <w:pPr>
        <w:ind w:firstLine="420" w:firstLineChars="200"/>
        <w:rPr>
          <w:rFonts w:hAnsi="宋体"/>
          <w:color w:val="auto"/>
          <w:szCs w:val="21"/>
          <w:highlight w:val="none"/>
        </w:rPr>
      </w:pPr>
      <w:r>
        <w:rPr>
          <w:rFonts w:hint="eastAsia" w:hAnsi="宋体"/>
          <w:color w:val="auto"/>
          <w:szCs w:val="21"/>
          <w:highlight w:val="none"/>
        </w:rPr>
        <w:t>1、遇特殊工作需求时（如外来参观、创优检查、台风、火灾等情况），需要临时加派人员时，在提前通知成交人后，成交人应及时增加人员开展工作。</w:t>
      </w:r>
    </w:p>
    <w:p>
      <w:pPr>
        <w:ind w:firstLine="420" w:firstLineChars="200"/>
        <w:rPr>
          <w:rFonts w:hAnsi="宋体"/>
          <w:color w:val="auto"/>
          <w:szCs w:val="21"/>
          <w:highlight w:val="none"/>
        </w:rPr>
      </w:pPr>
      <w:r>
        <w:rPr>
          <w:rFonts w:hint="eastAsia" w:hAnsi="宋体"/>
          <w:color w:val="auto"/>
          <w:szCs w:val="21"/>
          <w:highlight w:val="none"/>
        </w:rPr>
        <w:t>2、供应商投标前需自行勘察现场，对现场清洁面积、数量、质量进行全方位勘察，存在质疑及时向采购方提出，中标后出现的任何争议问题，均由供应商承担。</w:t>
      </w:r>
    </w:p>
    <w:p>
      <w:pPr>
        <w:ind w:firstLine="420" w:firstLineChars="200"/>
        <w:rPr>
          <w:rFonts w:hAnsi="宋体"/>
          <w:color w:val="auto"/>
          <w:szCs w:val="21"/>
          <w:highlight w:val="none"/>
        </w:rPr>
      </w:pPr>
      <w:r>
        <w:rPr>
          <w:rFonts w:hint="eastAsia" w:hAnsi="宋体"/>
          <w:color w:val="auto"/>
          <w:szCs w:val="21"/>
          <w:highlight w:val="none"/>
        </w:rPr>
        <w:t>3、原则上成交人应按现状接收。成交人在合同履约期的第一个月内，须完成本项目的检查，建立本项目管理制度、人员台账、设备台帐，并提交到采购人（纸质版和电子版）审核。</w:t>
      </w:r>
    </w:p>
    <w:p>
      <w:pPr>
        <w:ind w:firstLine="420" w:firstLineChars="200"/>
        <w:rPr>
          <w:rFonts w:hAnsi="宋体"/>
          <w:color w:val="auto"/>
          <w:szCs w:val="21"/>
          <w:highlight w:val="none"/>
        </w:rPr>
      </w:pPr>
      <w:r>
        <w:rPr>
          <w:rFonts w:hAnsi="宋体"/>
          <w:color w:val="auto"/>
          <w:szCs w:val="21"/>
          <w:highlight w:val="none"/>
        </w:rPr>
        <w:t>4</w:t>
      </w:r>
      <w:r>
        <w:rPr>
          <w:rFonts w:hint="eastAsia" w:hAnsi="宋体"/>
          <w:color w:val="auto"/>
          <w:szCs w:val="21"/>
          <w:highlight w:val="none"/>
        </w:rPr>
        <w:t>、成交人应科学、合理安排进驻采购人工作现场员工的工作时间和计划，负责承担派驻工作现场之员工的工资、住宿、福利及其他一切费用。因成交人员工发生劳动争议而影响或有可能影响到本合同的履行，应及时做出相应调整。</w:t>
      </w:r>
    </w:p>
    <w:p>
      <w:pPr>
        <w:ind w:firstLine="420" w:firstLineChars="200"/>
        <w:rPr>
          <w:rFonts w:hAnsi="宋体"/>
          <w:color w:val="auto"/>
          <w:szCs w:val="21"/>
          <w:highlight w:val="none"/>
        </w:rPr>
      </w:pPr>
      <w:r>
        <w:rPr>
          <w:rFonts w:hAnsi="宋体"/>
          <w:color w:val="auto"/>
          <w:szCs w:val="21"/>
          <w:highlight w:val="none"/>
        </w:rPr>
        <w:t>5</w:t>
      </w:r>
      <w:r>
        <w:rPr>
          <w:rFonts w:hint="eastAsia" w:hAnsi="宋体"/>
          <w:color w:val="auto"/>
          <w:szCs w:val="21"/>
          <w:highlight w:val="none"/>
        </w:rPr>
        <w:t>、成交人需制定安全生产相关管理制度并严格落实，配置安全生产必需的工具和劳保物品，购买相应保险，工作人员从事本合同服务期间发生人身伤害，由成交人自行承担由此产生的一切责任。成交人员工在采购人管理区域内发生工伤事故等一切意外，由成交人自行负责。</w:t>
      </w:r>
    </w:p>
    <w:p>
      <w:pPr>
        <w:ind w:firstLine="420" w:firstLineChars="200"/>
        <w:rPr>
          <w:rFonts w:hAnsi="宋体"/>
          <w:color w:val="auto"/>
          <w:szCs w:val="21"/>
          <w:highlight w:val="none"/>
        </w:rPr>
      </w:pPr>
      <w:r>
        <w:rPr>
          <w:rFonts w:hAnsi="宋体"/>
          <w:color w:val="auto"/>
          <w:szCs w:val="21"/>
          <w:highlight w:val="none"/>
        </w:rPr>
        <w:t>6</w:t>
      </w:r>
      <w:r>
        <w:rPr>
          <w:rFonts w:hint="eastAsia" w:hAnsi="宋体"/>
          <w:color w:val="auto"/>
          <w:szCs w:val="21"/>
          <w:highlight w:val="none"/>
        </w:rPr>
        <w:t>、成交人确保现场使用的设备、工具、材料及等符合国家及行业的相关规定，采购人有权对成交人使用的的设备、工具、材料适合性提出意见，成交人应配合整改。</w:t>
      </w:r>
    </w:p>
    <w:p>
      <w:pPr>
        <w:ind w:firstLine="420" w:firstLineChars="200"/>
        <w:rPr>
          <w:rFonts w:hAnsi="宋体"/>
          <w:color w:val="auto"/>
          <w:szCs w:val="21"/>
          <w:highlight w:val="none"/>
        </w:rPr>
      </w:pPr>
      <w:r>
        <w:rPr>
          <w:rFonts w:hAnsi="宋体"/>
          <w:color w:val="auto"/>
          <w:szCs w:val="21"/>
          <w:highlight w:val="none"/>
        </w:rPr>
        <w:t>7</w:t>
      </w:r>
      <w:r>
        <w:rPr>
          <w:rFonts w:hint="eastAsia" w:hAnsi="宋体"/>
          <w:color w:val="auto"/>
          <w:szCs w:val="21"/>
          <w:highlight w:val="none"/>
        </w:rPr>
        <w:t>、如成交人服务质量下降，采购人以书面形式通知后十五日仍未改善，采购人有权雇佣任何专业人员进行上述改善，而所需一切费用则从成交人当期的费用中扣除。如遇紧急突发事件等，而成交人未能及时妥善处理，采购人有权雇佣专业人员进行有关工作，一切费用从成交人当期的费用中扣除（不可抗力原因除外）。</w:t>
      </w:r>
    </w:p>
    <w:p>
      <w:pPr>
        <w:ind w:firstLine="420" w:firstLineChars="200"/>
        <w:rPr>
          <w:rFonts w:hAnsi="宋体"/>
          <w:color w:val="auto"/>
          <w:szCs w:val="21"/>
          <w:highlight w:val="none"/>
        </w:rPr>
      </w:pPr>
      <w:r>
        <w:rPr>
          <w:rFonts w:hAnsi="宋体"/>
          <w:color w:val="auto"/>
          <w:szCs w:val="21"/>
          <w:highlight w:val="none"/>
        </w:rPr>
        <w:t>8</w:t>
      </w:r>
      <w:r>
        <w:rPr>
          <w:rFonts w:hint="eastAsia" w:hAnsi="宋体"/>
          <w:color w:val="auto"/>
          <w:szCs w:val="21"/>
          <w:highlight w:val="none"/>
        </w:rPr>
        <w:t>、成交人不得将本合同转包或分包，否则采购人有权单方面解除本合同，并由成交人向采购人支付三个月服务费的违约金。</w:t>
      </w:r>
    </w:p>
    <w:p>
      <w:pPr>
        <w:ind w:firstLine="420" w:firstLineChars="200"/>
        <w:rPr>
          <w:rFonts w:hAnsi="宋体"/>
          <w:color w:val="auto"/>
          <w:szCs w:val="21"/>
          <w:highlight w:val="none"/>
        </w:rPr>
      </w:pPr>
      <w:r>
        <w:rPr>
          <w:rFonts w:hAnsi="宋体"/>
          <w:color w:val="auto"/>
          <w:szCs w:val="21"/>
          <w:highlight w:val="none"/>
        </w:rPr>
        <w:t>9</w:t>
      </w:r>
      <w:r>
        <w:rPr>
          <w:rFonts w:hint="eastAsia" w:hAnsi="宋体"/>
          <w:color w:val="auto"/>
          <w:szCs w:val="21"/>
          <w:highlight w:val="none"/>
        </w:rPr>
        <w:t>、成交人不得对本服务内容进行转包。</w:t>
      </w:r>
    </w:p>
    <w:p>
      <w:pPr>
        <w:ind w:firstLine="420" w:firstLineChars="200"/>
        <w:rPr>
          <w:rFonts w:hAnsi="宋体"/>
          <w:color w:val="auto"/>
          <w:szCs w:val="21"/>
          <w:highlight w:val="none"/>
        </w:rPr>
      </w:pPr>
      <w:r>
        <w:rPr>
          <w:rFonts w:hint="eastAsia" w:hAnsi="宋体"/>
          <w:color w:val="auto"/>
          <w:szCs w:val="21"/>
          <w:highlight w:val="none"/>
        </w:rPr>
        <w:t>1</w:t>
      </w:r>
      <w:r>
        <w:rPr>
          <w:rFonts w:hAnsi="宋体"/>
          <w:color w:val="auto"/>
          <w:szCs w:val="21"/>
          <w:highlight w:val="none"/>
        </w:rPr>
        <w:t>0</w:t>
      </w:r>
      <w:r>
        <w:rPr>
          <w:rFonts w:hint="eastAsia" w:hAnsi="宋体"/>
          <w:color w:val="auto"/>
          <w:szCs w:val="21"/>
          <w:highlight w:val="none"/>
        </w:rPr>
        <w:t>、采购人若在合同有效期内新增服务范围，双方另行签订补充协议。</w:t>
      </w:r>
    </w:p>
    <w:p>
      <w:pPr>
        <w:ind w:firstLine="420" w:firstLineChars="200"/>
        <w:rPr>
          <w:rFonts w:hAnsi="宋体"/>
          <w:color w:val="auto"/>
          <w:szCs w:val="21"/>
          <w:highlight w:val="none"/>
        </w:rPr>
      </w:pPr>
      <w:r>
        <w:rPr>
          <w:rFonts w:hAnsi="宋体"/>
          <w:color w:val="auto"/>
          <w:szCs w:val="21"/>
          <w:highlight w:val="none"/>
        </w:rPr>
        <w:t>11</w:t>
      </w:r>
      <w:r>
        <w:rPr>
          <w:rFonts w:hint="eastAsia" w:hAnsi="宋体"/>
          <w:color w:val="auto"/>
          <w:szCs w:val="21"/>
          <w:highlight w:val="none"/>
        </w:rPr>
        <w:t>、成交人在合同期间须配合、接受采购人及相关职能部门的质量评检和监督，承担治安、交通、防火、安全作业、计划生育和一切经济、民事纠纷劳动纠纷和法律诉讼等相应责任。</w:t>
      </w:r>
    </w:p>
    <w:p>
      <w:pPr>
        <w:ind w:firstLine="420" w:firstLineChars="200"/>
        <w:rPr>
          <w:rFonts w:hAnsi="宋体"/>
          <w:color w:val="auto"/>
          <w:szCs w:val="21"/>
          <w:highlight w:val="none"/>
        </w:rPr>
      </w:pPr>
      <w:r>
        <w:rPr>
          <w:rFonts w:hAnsi="宋体"/>
          <w:color w:val="auto"/>
          <w:szCs w:val="21"/>
          <w:highlight w:val="none"/>
        </w:rPr>
        <w:t>12</w:t>
      </w:r>
      <w:r>
        <w:rPr>
          <w:rFonts w:hint="eastAsia" w:hAnsi="宋体"/>
          <w:color w:val="auto"/>
          <w:szCs w:val="21"/>
          <w:highlight w:val="none"/>
        </w:rPr>
        <w:t>、成交人服务团队由成交人自行管理，不与采购人构成任何劳动关系或劳务派遣关系。成交人服务团队人员(成交人员工)与成交人发生任何劳动或劳务纠纷的，由成交人负责解决，概与采购人无关。保证员工不因劳资纠纷等内部矛盾出现怠工、罢工、聚众闹事、越级上访等损害采购人利益的行为，保证员工在采购人工作期间无违法犯罪行为。</w:t>
      </w:r>
    </w:p>
    <w:p>
      <w:pPr>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3、成交人应为派驻项目的服务人员购买相关保险，要求服务人员遵守安全操作规章制度，若发生人身伤害等工伤事故，由成交人负责，与采购人无关。</w:t>
      </w:r>
    </w:p>
    <w:p>
      <w:pPr>
        <w:ind w:firstLine="420" w:firstLineChars="200"/>
        <w:rPr>
          <w:rFonts w:hAnsi="宋体"/>
          <w:color w:val="auto"/>
          <w:szCs w:val="21"/>
          <w:highlight w:val="none"/>
        </w:rPr>
      </w:pPr>
      <w:r>
        <w:rPr>
          <w:rFonts w:hAnsi="宋体"/>
          <w:color w:val="auto"/>
          <w:szCs w:val="21"/>
          <w:highlight w:val="none"/>
        </w:rPr>
        <w:t>14</w:t>
      </w:r>
      <w:r>
        <w:rPr>
          <w:rFonts w:hint="eastAsia" w:hAnsi="宋体"/>
          <w:color w:val="auto"/>
          <w:szCs w:val="21"/>
          <w:highlight w:val="none"/>
        </w:rPr>
        <w:t>、项目负责人要求持有政府部门颁发的清洁类专业技术职称证书，具有较高的清洁管理水平，电话应 24 小时开通，项目负责人未经采购人同意不得随意自行更换，项目负责人更换需提前一个月书面向采购人报备，并须征得采购人同意。</w:t>
      </w:r>
    </w:p>
    <w:p>
      <w:pPr>
        <w:ind w:firstLine="420" w:firstLineChars="200"/>
        <w:rPr>
          <w:rFonts w:hAnsi="宋体"/>
          <w:color w:val="auto"/>
          <w:szCs w:val="21"/>
          <w:highlight w:val="none"/>
        </w:rPr>
      </w:pPr>
      <w:r>
        <w:rPr>
          <w:rFonts w:hAnsi="宋体"/>
          <w:color w:val="auto"/>
          <w:szCs w:val="21"/>
          <w:highlight w:val="none"/>
        </w:rPr>
        <w:t>15</w:t>
      </w:r>
      <w:r>
        <w:rPr>
          <w:rFonts w:hint="eastAsia" w:hAnsi="宋体"/>
          <w:color w:val="auto"/>
          <w:szCs w:val="21"/>
          <w:highlight w:val="none"/>
        </w:rPr>
        <w:t>、现场员工要求统一穿着工作服进行作业.</w:t>
      </w:r>
    </w:p>
    <w:p>
      <w:pPr>
        <w:ind w:firstLine="420" w:firstLineChars="200"/>
        <w:rPr>
          <w:rFonts w:hAnsi="宋体"/>
          <w:color w:val="auto"/>
          <w:szCs w:val="21"/>
          <w:highlight w:val="none"/>
        </w:rPr>
      </w:pPr>
      <w:r>
        <w:rPr>
          <w:rFonts w:hAnsi="宋体"/>
          <w:color w:val="auto"/>
          <w:szCs w:val="21"/>
          <w:highlight w:val="none"/>
        </w:rPr>
        <w:t>16</w:t>
      </w:r>
      <w:r>
        <w:rPr>
          <w:rFonts w:hint="eastAsia" w:hAnsi="宋体"/>
          <w:color w:val="auto"/>
          <w:szCs w:val="21"/>
          <w:highlight w:val="none"/>
        </w:rPr>
        <w:t>、项目负责人必须每天工作时间内在岗，安排清洁工作，发现问题及时处理，离岗1天以上需提前三个工作日书面请假，不能擅自离岗，成交人需派人员顶替现场主管离岗期间的工作；在日常工作中，如有临时性、突击性任务等养护工作，成交人必须听从安排，配合做好工作。</w:t>
      </w:r>
    </w:p>
    <w:p>
      <w:pPr>
        <w:ind w:firstLine="420" w:firstLineChars="200"/>
        <w:rPr>
          <w:rFonts w:hAnsi="宋体"/>
          <w:color w:val="auto"/>
          <w:szCs w:val="21"/>
          <w:highlight w:val="none"/>
        </w:rPr>
      </w:pPr>
      <w:r>
        <w:rPr>
          <w:rFonts w:hAnsi="宋体"/>
          <w:color w:val="auto"/>
          <w:szCs w:val="21"/>
          <w:highlight w:val="none"/>
        </w:rPr>
        <w:t>17</w:t>
      </w:r>
      <w:r>
        <w:rPr>
          <w:rFonts w:hint="eastAsia" w:hAnsi="宋体"/>
          <w:color w:val="auto"/>
          <w:szCs w:val="21"/>
          <w:highlight w:val="none"/>
        </w:rPr>
        <w:t>、对人员(含项目负责人) 不符合项目管理要求的，包括违反劳动纪律或工作责任心不强、工作效率低等情形，三次警告后可退员换人，成交人需在一周内作出换人处理，否则按缺员处理，并根据情节轻重扣罚服务费。对违反法律、法规和项目管理规定者，采购人有权追究成交人法律或经济责任。</w:t>
      </w:r>
    </w:p>
    <w:p>
      <w:pPr>
        <w:pStyle w:val="2"/>
        <w:rPr>
          <w:color w:val="auto"/>
          <w:sz w:val="21"/>
          <w:highlight w:val="none"/>
          <w:lang w:val="en-US" w:bidi="ar-SA"/>
        </w:rPr>
      </w:pPr>
    </w:p>
    <w:p>
      <w:pPr>
        <w:pStyle w:val="2"/>
        <w:ind w:left="0"/>
        <w:rPr>
          <w:color w:val="auto"/>
          <w:highlight w:val="none"/>
          <w:lang w:val="en-US"/>
        </w:rPr>
      </w:pPr>
    </w:p>
    <w:bookmarkEnd w:id="9"/>
    <w:bookmarkEnd w:id="10"/>
    <w:bookmarkEnd w:id="11"/>
    <w:bookmarkEnd w:id="12"/>
    <w:p>
      <w:pPr>
        <w:rPr>
          <w:rFonts w:hint="eastAsia"/>
          <w:color w:val="auto"/>
          <w:sz w:val="28"/>
          <w:szCs w:val="28"/>
          <w:highlight w:val="none"/>
        </w:rPr>
      </w:pPr>
      <w:bookmarkStart w:id="16" w:name="_Toc31595"/>
      <w:r>
        <w:rPr>
          <w:rFonts w:hint="eastAsia"/>
          <w:color w:val="auto"/>
          <w:sz w:val="28"/>
          <w:szCs w:val="28"/>
          <w:highlight w:val="none"/>
        </w:rPr>
        <w:br w:type="page"/>
      </w:r>
    </w:p>
    <w:p>
      <w:pPr>
        <w:pStyle w:val="6"/>
        <w:spacing w:before="0" w:after="0" w:line="240" w:lineRule="auto"/>
        <w:rPr>
          <w:color w:val="auto"/>
          <w:sz w:val="24"/>
          <w:szCs w:val="24"/>
          <w:highlight w:val="none"/>
        </w:rPr>
      </w:pPr>
      <w:r>
        <w:rPr>
          <w:rFonts w:hint="eastAsia"/>
          <w:color w:val="auto"/>
          <w:sz w:val="28"/>
          <w:szCs w:val="28"/>
          <w:highlight w:val="none"/>
        </w:rPr>
        <w:t>第四部分投标人须知</w:t>
      </w:r>
      <w:bookmarkEnd w:id="16"/>
    </w:p>
    <w:p>
      <w:pPr>
        <w:pStyle w:val="7"/>
        <w:numPr>
          <w:ilvl w:val="0"/>
          <w:numId w:val="2"/>
        </w:numPr>
        <w:spacing w:before="0" w:after="0" w:line="480" w:lineRule="auto"/>
        <w:jc w:val="center"/>
        <w:rPr>
          <w:rFonts w:ascii="宋体" w:hAnsi="宋体"/>
          <w:color w:val="auto"/>
          <w:highlight w:val="none"/>
        </w:rPr>
      </w:pPr>
      <w:bookmarkStart w:id="17" w:name="_Toc25201"/>
      <w:r>
        <w:rPr>
          <w:rFonts w:hint="eastAsia" w:ascii="宋体" w:hAnsi="宋体"/>
          <w:color w:val="auto"/>
          <w:highlight w:val="none"/>
        </w:rPr>
        <w:t>说明</w:t>
      </w:r>
      <w:bookmarkEnd w:id="17"/>
    </w:p>
    <w:p>
      <w:pPr>
        <w:pStyle w:val="8"/>
        <w:widowControl w:val="0"/>
        <w:numPr>
          <w:ilvl w:val="0"/>
          <w:numId w:val="3"/>
        </w:numPr>
        <w:overflowPunct w:val="0"/>
        <w:rPr>
          <w:rFonts w:ascii="宋体" w:hAnsi="宋体" w:cs="宋体"/>
          <w:color w:val="auto"/>
          <w:sz w:val="21"/>
          <w:szCs w:val="21"/>
          <w:highlight w:val="none"/>
        </w:rPr>
      </w:pPr>
      <w:bookmarkStart w:id="18" w:name="_Toc18690"/>
      <w:bookmarkStart w:id="19" w:name="_Toc3534"/>
      <w:r>
        <w:rPr>
          <w:rFonts w:hint="eastAsia" w:ascii="宋体" w:hAnsi="宋体" w:cs="宋体"/>
          <w:color w:val="auto"/>
          <w:sz w:val="21"/>
          <w:szCs w:val="21"/>
          <w:highlight w:val="none"/>
        </w:rPr>
        <w:t>适用范围</w:t>
      </w:r>
      <w:bookmarkEnd w:id="18"/>
      <w:bookmarkEnd w:id="19"/>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20" w:name="_Toc28435"/>
      <w:bookmarkStart w:id="21" w:name="_Toc382049092"/>
      <w:bookmarkStart w:id="22" w:name="_Toc1530"/>
      <w:bookmarkStart w:id="23" w:name="_Toc20286"/>
      <w:bookmarkStart w:id="24" w:name="_Toc303084246"/>
      <w:bookmarkStart w:id="25" w:name="_Toc298847174"/>
      <w:r>
        <w:rPr>
          <w:rFonts w:hint="eastAsia" w:ascii="宋体" w:hAnsi="宋体" w:cs="宋体"/>
          <w:color w:val="auto"/>
          <w:sz w:val="21"/>
          <w:szCs w:val="21"/>
          <w:highlight w:val="none"/>
        </w:rPr>
        <w:t>定义</w:t>
      </w:r>
      <w:bookmarkEnd w:id="20"/>
      <w:bookmarkEnd w:id="21"/>
      <w:bookmarkEnd w:id="22"/>
      <w:bookmarkEnd w:id="23"/>
      <w:bookmarkEnd w:id="24"/>
      <w:bookmarkEnd w:id="25"/>
    </w:p>
    <w:p>
      <w:pPr>
        <w:pStyle w:val="41"/>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采购人：见投标邀请书。</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26" w:name="_Toc10625"/>
      <w:bookmarkStart w:id="27" w:name="_Toc11624"/>
      <w:r>
        <w:rPr>
          <w:rFonts w:hint="eastAsia" w:ascii="宋体" w:hAnsi="宋体" w:cs="宋体"/>
          <w:color w:val="auto"/>
          <w:sz w:val="21"/>
          <w:szCs w:val="21"/>
          <w:highlight w:val="none"/>
        </w:rPr>
        <w:t>货物和服务</w:t>
      </w:r>
      <w:bookmarkEnd w:id="26"/>
      <w:bookmarkEnd w:id="27"/>
    </w:p>
    <w:p>
      <w:pPr>
        <w:pStyle w:val="41"/>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28" w:name="_Toc1673"/>
      <w:bookmarkStart w:id="29" w:name="_Toc15719"/>
      <w:r>
        <w:rPr>
          <w:rFonts w:hint="eastAsia" w:ascii="宋体" w:hAnsi="宋体" w:cs="宋体"/>
          <w:color w:val="auto"/>
          <w:sz w:val="21"/>
          <w:szCs w:val="21"/>
          <w:highlight w:val="none"/>
        </w:rPr>
        <w:t>投标费用</w:t>
      </w:r>
      <w:bookmarkEnd w:id="28"/>
      <w:bookmarkEnd w:id="29"/>
    </w:p>
    <w:p>
      <w:pPr>
        <w:pStyle w:val="41"/>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pPr>
        <w:widowControl w:val="0"/>
        <w:adjustRightInd/>
        <w:snapToGrid/>
        <w:jc w:val="both"/>
        <w:rPr>
          <w:rFonts w:ascii="宋体" w:hAnsi="宋体" w:cs="宋体"/>
          <w:color w:val="auto"/>
          <w:szCs w:val="21"/>
          <w:highlight w:val="none"/>
        </w:rPr>
      </w:pPr>
    </w:p>
    <w:p>
      <w:pPr>
        <w:pStyle w:val="8"/>
        <w:widowControl w:val="0"/>
        <w:numPr>
          <w:ilvl w:val="0"/>
          <w:numId w:val="3"/>
        </w:numPr>
        <w:overflowPunct w:val="0"/>
        <w:rPr>
          <w:rFonts w:ascii="宋体" w:hAnsi="宋体" w:cs="宋体"/>
          <w:color w:val="auto"/>
          <w:sz w:val="21"/>
          <w:szCs w:val="21"/>
          <w:highlight w:val="none"/>
        </w:rPr>
      </w:pPr>
      <w:bookmarkStart w:id="30" w:name="_Toc6180"/>
      <w:bookmarkStart w:id="31" w:name="_Toc21477"/>
      <w:r>
        <w:rPr>
          <w:rFonts w:hint="eastAsia" w:ascii="宋体" w:hAnsi="宋体" w:cs="宋体"/>
          <w:color w:val="auto"/>
          <w:sz w:val="21"/>
          <w:szCs w:val="21"/>
          <w:highlight w:val="none"/>
        </w:rPr>
        <w:t>知识产权</w:t>
      </w:r>
      <w:bookmarkEnd w:id="30"/>
      <w:bookmarkEnd w:id="31"/>
    </w:p>
    <w:p>
      <w:pPr>
        <w:pStyle w:val="41"/>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pPr>
        <w:widowControl w:val="0"/>
        <w:adjustRightInd/>
        <w:snapToGrid/>
        <w:ind w:left="567"/>
        <w:jc w:val="both"/>
        <w:rPr>
          <w:rFonts w:ascii="宋体" w:hAnsi="宋体" w:cs="宋体"/>
          <w:color w:val="auto"/>
          <w:szCs w:val="21"/>
          <w:highlight w:val="none"/>
        </w:rPr>
      </w:pPr>
    </w:p>
    <w:p>
      <w:pPr>
        <w:pStyle w:val="8"/>
        <w:widowControl w:val="0"/>
        <w:numPr>
          <w:ilvl w:val="0"/>
          <w:numId w:val="3"/>
        </w:numPr>
        <w:overflowPunct w:val="0"/>
        <w:rPr>
          <w:rFonts w:ascii="宋体" w:hAnsi="宋体" w:cs="宋体"/>
          <w:color w:val="auto"/>
          <w:sz w:val="21"/>
          <w:szCs w:val="21"/>
          <w:highlight w:val="none"/>
        </w:rPr>
      </w:pPr>
      <w:bookmarkStart w:id="32" w:name="_Toc25122"/>
      <w:bookmarkStart w:id="33" w:name="_Toc2352"/>
      <w:r>
        <w:rPr>
          <w:rFonts w:hint="eastAsia" w:ascii="宋体" w:hAnsi="宋体" w:cs="宋体"/>
          <w:color w:val="auto"/>
          <w:sz w:val="21"/>
          <w:szCs w:val="21"/>
          <w:highlight w:val="none"/>
        </w:rPr>
        <w:t>关于联合体投标</w:t>
      </w:r>
      <w:bookmarkEnd w:id="32"/>
      <w:bookmarkEnd w:id="33"/>
    </w:p>
    <w:p>
      <w:pPr>
        <w:pStyle w:val="41"/>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对接受联合体投标的项目：两个以上的自然人、法人或者其他组织可以组成一个联合体，以一个投标人的身份共同参加采购活动。</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以联合体形式参与项目的供应商在领购采购文件时，应提供所有联合体组成成员的营业执照复印件，并加盖各联合体组成成员的公章。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ind w:left="567"/>
        <w:jc w:val="both"/>
        <w:rPr>
          <w:rFonts w:ascii="宋体" w:hAnsi="宋体" w:cs="宋体"/>
          <w:color w:val="auto"/>
          <w:szCs w:val="21"/>
          <w:highlight w:val="none"/>
        </w:rPr>
      </w:pPr>
    </w:p>
    <w:p>
      <w:pPr>
        <w:pStyle w:val="8"/>
        <w:widowControl w:val="0"/>
        <w:numPr>
          <w:ilvl w:val="0"/>
          <w:numId w:val="3"/>
        </w:numPr>
        <w:overflowPunct w:val="0"/>
        <w:rPr>
          <w:rFonts w:ascii="宋体" w:hAnsi="宋体" w:cs="宋体"/>
          <w:color w:val="auto"/>
          <w:sz w:val="21"/>
          <w:szCs w:val="21"/>
          <w:highlight w:val="none"/>
        </w:rPr>
      </w:pPr>
      <w:bookmarkStart w:id="34" w:name="_Toc3572"/>
      <w:bookmarkStart w:id="35" w:name="_Toc10603"/>
      <w:r>
        <w:rPr>
          <w:rFonts w:hint="eastAsia" w:ascii="宋体" w:hAnsi="宋体" w:cs="宋体"/>
          <w:color w:val="auto"/>
          <w:sz w:val="21"/>
          <w:szCs w:val="21"/>
          <w:highlight w:val="none"/>
        </w:rPr>
        <w:t>关于分支机构投标</w:t>
      </w:r>
      <w:bookmarkEnd w:id="34"/>
      <w:bookmarkEnd w:id="35"/>
    </w:p>
    <w:p>
      <w:pPr>
        <w:pStyle w:val="41"/>
        <w:widowControl w:val="0"/>
        <w:adjustRightInd/>
        <w:snapToGrid/>
        <w:ind w:left="425" w:hanging="425" w:firstLineChars="0"/>
        <w:jc w:val="both"/>
        <w:rPr>
          <w:rFonts w:ascii="宋体" w:hAnsi="宋体" w:cs="宋体"/>
          <w:vanish/>
          <w:color w:val="auto"/>
          <w:szCs w:val="21"/>
          <w:highlight w:val="none"/>
        </w:rPr>
      </w:pPr>
      <w:bookmarkStart w:id="36" w:name="EB389f116341dd4693875bc7987e7327f3"/>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6"/>
    </w:p>
    <w:p>
      <w:pPr>
        <w:widowControl w:val="0"/>
        <w:adjustRightInd/>
        <w:snapToGrid/>
        <w:ind w:left="567"/>
        <w:jc w:val="both"/>
        <w:rPr>
          <w:rFonts w:ascii="宋体" w:hAnsi="宋体" w:cs="宋体"/>
          <w:color w:val="auto"/>
          <w:szCs w:val="21"/>
          <w:highlight w:val="none"/>
        </w:rPr>
      </w:pPr>
    </w:p>
    <w:p>
      <w:pPr>
        <w:pStyle w:val="8"/>
        <w:widowControl w:val="0"/>
        <w:numPr>
          <w:ilvl w:val="0"/>
          <w:numId w:val="3"/>
        </w:numPr>
        <w:overflowPunct w:val="0"/>
        <w:rPr>
          <w:rFonts w:ascii="宋体" w:hAnsi="宋体" w:cs="宋体"/>
          <w:color w:val="auto"/>
          <w:sz w:val="21"/>
          <w:szCs w:val="21"/>
          <w:highlight w:val="none"/>
        </w:rPr>
      </w:pPr>
      <w:bookmarkStart w:id="37" w:name="_Toc16068"/>
      <w:r>
        <w:rPr>
          <w:rFonts w:hint="eastAsia" w:ascii="宋体" w:hAnsi="宋体" w:cs="宋体"/>
          <w:color w:val="auto"/>
          <w:sz w:val="21"/>
          <w:szCs w:val="21"/>
          <w:highlight w:val="none"/>
        </w:rPr>
        <w:t>踏勘现场</w:t>
      </w:r>
      <w:bookmarkEnd w:id="37"/>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pPr>
        <w:rPr>
          <w:rFonts w:ascii="宋体" w:hAnsi="宋体" w:cs="宋体"/>
          <w:color w:val="auto"/>
          <w:highlight w:val="none"/>
        </w:rPr>
      </w:pPr>
    </w:p>
    <w:p>
      <w:pPr>
        <w:pStyle w:val="7"/>
        <w:numPr>
          <w:ilvl w:val="0"/>
          <w:numId w:val="2"/>
        </w:numPr>
        <w:spacing w:before="0" w:after="0" w:line="360" w:lineRule="auto"/>
        <w:jc w:val="center"/>
        <w:rPr>
          <w:rFonts w:ascii="宋体" w:hAnsi="宋体" w:cs="宋体"/>
          <w:color w:val="auto"/>
          <w:highlight w:val="none"/>
        </w:rPr>
      </w:pPr>
      <w:bookmarkStart w:id="38" w:name="_Toc14732"/>
      <w:bookmarkStart w:id="39" w:name="_Toc9444"/>
      <w:r>
        <w:rPr>
          <w:rFonts w:hint="eastAsia" w:ascii="宋体" w:hAnsi="宋体" w:cs="宋体"/>
          <w:color w:val="auto"/>
          <w:highlight w:val="none"/>
        </w:rPr>
        <w:t>采购文件</w:t>
      </w:r>
      <w:bookmarkEnd w:id="38"/>
      <w:bookmarkEnd w:id="39"/>
    </w:p>
    <w:p>
      <w:pPr>
        <w:pStyle w:val="8"/>
        <w:widowControl w:val="0"/>
        <w:numPr>
          <w:ilvl w:val="0"/>
          <w:numId w:val="3"/>
        </w:numPr>
        <w:overflowPunct w:val="0"/>
        <w:rPr>
          <w:rFonts w:ascii="宋体" w:hAnsi="宋体" w:cs="宋体"/>
          <w:color w:val="auto"/>
          <w:sz w:val="21"/>
          <w:szCs w:val="21"/>
          <w:highlight w:val="none"/>
        </w:rPr>
      </w:pPr>
      <w:bookmarkStart w:id="40" w:name="_Toc10638"/>
      <w:bookmarkStart w:id="41" w:name="_Toc25451"/>
      <w:r>
        <w:rPr>
          <w:rFonts w:hint="eastAsia" w:ascii="宋体" w:hAnsi="宋体" w:cs="宋体"/>
          <w:color w:val="auto"/>
          <w:sz w:val="21"/>
          <w:szCs w:val="21"/>
          <w:highlight w:val="none"/>
        </w:rPr>
        <w:t>采购文件的组成</w:t>
      </w:r>
      <w:bookmarkEnd w:id="40"/>
      <w:bookmarkEnd w:id="41"/>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采购文件包括：</w:t>
      </w:r>
    </w:p>
    <w:p>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（1）投标邀请书；</w:t>
      </w:r>
    </w:p>
    <w:p>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（2）投标资料表；</w:t>
      </w:r>
    </w:p>
    <w:p>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（3）用户需求书；</w:t>
      </w:r>
    </w:p>
    <w:p>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（4）投标人须知；</w:t>
      </w:r>
    </w:p>
    <w:p>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（5）拟签订的合同文本；</w:t>
      </w:r>
    </w:p>
    <w:p>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（6）投标文件格式；</w:t>
      </w:r>
    </w:p>
    <w:p>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42" w:name="_Toc21392"/>
      <w:bookmarkStart w:id="43" w:name="_Toc30490"/>
      <w:r>
        <w:rPr>
          <w:rFonts w:hint="eastAsia" w:ascii="宋体" w:hAnsi="宋体" w:cs="宋体"/>
          <w:color w:val="auto"/>
          <w:sz w:val="21"/>
          <w:szCs w:val="21"/>
          <w:highlight w:val="none"/>
        </w:rPr>
        <w:t>采购文件的澄清或修改</w:t>
      </w:r>
      <w:bookmarkEnd w:id="42"/>
      <w:bookmarkEnd w:id="43"/>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pPr>
        <w:widowControl w:val="0"/>
        <w:adjustRightInd/>
        <w:snapToGrid/>
        <w:ind w:left="567"/>
        <w:jc w:val="both"/>
        <w:rPr>
          <w:rFonts w:ascii="宋体" w:hAnsi="宋体" w:cs="宋体"/>
          <w:color w:val="auto"/>
          <w:szCs w:val="21"/>
          <w:highlight w:val="none"/>
        </w:rPr>
      </w:pPr>
    </w:p>
    <w:p>
      <w:pPr>
        <w:pStyle w:val="7"/>
        <w:numPr>
          <w:ilvl w:val="0"/>
          <w:numId w:val="2"/>
        </w:numPr>
        <w:spacing w:before="0" w:after="0" w:line="360" w:lineRule="auto"/>
        <w:jc w:val="center"/>
        <w:rPr>
          <w:rFonts w:ascii="宋体" w:hAnsi="宋体" w:cs="宋体"/>
          <w:color w:val="auto"/>
          <w:highlight w:val="none"/>
        </w:rPr>
      </w:pPr>
      <w:bookmarkStart w:id="44" w:name="_Toc12343"/>
      <w:bookmarkStart w:id="45" w:name="_Toc10333"/>
      <w:r>
        <w:rPr>
          <w:rFonts w:hint="eastAsia" w:ascii="宋体" w:hAnsi="宋体" w:cs="宋体"/>
          <w:color w:val="auto"/>
          <w:highlight w:val="none"/>
        </w:rPr>
        <w:t>投标文件的编制</w:t>
      </w:r>
      <w:bookmarkEnd w:id="44"/>
      <w:bookmarkEnd w:id="45"/>
    </w:p>
    <w:p>
      <w:pPr>
        <w:pStyle w:val="8"/>
        <w:widowControl w:val="0"/>
        <w:numPr>
          <w:ilvl w:val="0"/>
          <w:numId w:val="3"/>
        </w:numPr>
        <w:overflowPunct w:val="0"/>
        <w:rPr>
          <w:rFonts w:ascii="宋体" w:hAnsi="宋体" w:cs="宋体"/>
          <w:color w:val="auto"/>
          <w:sz w:val="21"/>
          <w:szCs w:val="21"/>
          <w:highlight w:val="none"/>
        </w:rPr>
      </w:pPr>
      <w:bookmarkStart w:id="46" w:name="_Toc12048"/>
      <w:bookmarkStart w:id="47" w:name="_Toc16938"/>
      <w:r>
        <w:rPr>
          <w:rFonts w:hint="eastAsia" w:ascii="宋体" w:hAnsi="宋体" w:cs="宋体"/>
          <w:color w:val="auto"/>
          <w:sz w:val="21"/>
          <w:szCs w:val="21"/>
          <w:highlight w:val="none"/>
        </w:rPr>
        <w:t>投标文件的语言及度量衡单位</w:t>
      </w:r>
      <w:bookmarkEnd w:id="46"/>
      <w:bookmarkEnd w:id="47"/>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pPr>
        <w:widowControl w:val="0"/>
        <w:adjustRightInd/>
        <w:snapToGrid/>
        <w:ind w:left="567"/>
        <w:jc w:val="both"/>
        <w:rPr>
          <w:rFonts w:ascii="宋体" w:hAnsi="宋体" w:cs="宋体"/>
          <w:color w:val="auto"/>
          <w:szCs w:val="21"/>
          <w:highlight w:val="none"/>
        </w:rPr>
      </w:pPr>
    </w:p>
    <w:p>
      <w:pPr>
        <w:pStyle w:val="8"/>
        <w:widowControl w:val="0"/>
        <w:numPr>
          <w:ilvl w:val="0"/>
          <w:numId w:val="3"/>
        </w:numPr>
        <w:overflowPunct w:val="0"/>
        <w:rPr>
          <w:rFonts w:ascii="宋体" w:hAnsi="宋体" w:cs="宋体"/>
          <w:color w:val="auto"/>
          <w:sz w:val="21"/>
          <w:szCs w:val="21"/>
          <w:highlight w:val="none"/>
        </w:rPr>
      </w:pPr>
      <w:bookmarkStart w:id="48" w:name="_Toc303084256"/>
      <w:bookmarkStart w:id="49" w:name="_Toc11466"/>
      <w:bookmarkStart w:id="50" w:name="_Toc382049103"/>
      <w:bookmarkStart w:id="51" w:name="_Toc307934854"/>
      <w:bookmarkStart w:id="52" w:name="_Toc27953"/>
      <w:bookmarkStart w:id="53" w:name="_Toc28866"/>
      <w:r>
        <w:rPr>
          <w:rFonts w:hint="eastAsia" w:ascii="宋体" w:hAnsi="宋体" w:cs="宋体"/>
          <w:color w:val="auto"/>
          <w:sz w:val="21"/>
          <w:szCs w:val="21"/>
          <w:highlight w:val="none"/>
        </w:rPr>
        <w:t>投标文件的组成</w:t>
      </w:r>
      <w:bookmarkEnd w:id="48"/>
      <w:bookmarkEnd w:id="49"/>
      <w:bookmarkEnd w:id="50"/>
      <w:bookmarkEnd w:id="51"/>
      <w:bookmarkEnd w:id="52"/>
      <w:bookmarkEnd w:id="53"/>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54" w:name="_Toc5904"/>
      <w:bookmarkStart w:id="55" w:name="_Toc755"/>
      <w:r>
        <w:rPr>
          <w:rFonts w:hint="eastAsia" w:ascii="宋体" w:hAnsi="宋体" w:cs="宋体"/>
          <w:color w:val="auto"/>
          <w:sz w:val="21"/>
          <w:szCs w:val="21"/>
          <w:highlight w:val="none"/>
        </w:rPr>
        <w:t>投标文件编制</w:t>
      </w:r>
      <w:bookmarkEnd w:id="54"/>
      <w:bookmarkEnd w:id="55"/>
    </w:p>
    <w:p>
      <w:pPr>
        <w:pStyle w:val="41"/>
        <w:widowControl w:val="0"/>
        <w:numPr>
          <w:ilvl w:val="0"/>
          <w:numId w:val="4"/>
        </w:numPr>
        <w:adjustRightInd/>
        <w:snapToGrid/>
        <w:ind w:firstLineChars="0"/>
        <w:jc w:val="both"/>
        <w:rPr>
          <w:rFonts w:ascii="宋体" w:hAnsi="宋体" w:cs="宋体"/>
          <w:vanish/>
          <w:color w:val="auto"/>
          <w:szCs w:val="21"/>
          <w:highlight w:val="none"/>
        </w:rPr>
      </w:pPr>
      <w:bookmarkStart w:id="56" w:name="_Toc303084258"/>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pPr>
        <w:pStyle w:val="41"/>
        <w:widowControl w:val="0"/>
        <w:numPr>
          <w:ilvl w:val="0"/>
          <w:numId w:val="5"/>
        </w:numPr>
        <w:adjustRightInd/>
        <w:snapToGrid/>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投标文件内出现无官方证明文件的行业地域排名或使用“国家级”、“最高级”、“最佳”等用语字眼的。</w:t>
      </w:r>
    </w:p>
    <w:p>
      <w:pPr>
        <w:pStyle w:val="41"/>
        <w:widowControl w:val="0"/>
        <w:numPr>
          <w:ilvl w:val="0"/>
          <w:numId w:val="5"/>
        </w:numPr>
        <w:adjustRightInd/>
        <w:snapToGrid/>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投标文件内出现恶意诋毁、贬低其他生产经营者的商品或者服务的内容。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56"/>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57" w:name="_Toc7134"/>
      <w:bookmarkStart w:id="58" w:name="_Toc6154"/>
      <w:r>
        <w:rPr>
          <w:rFonts w:hint="eastAsia" w:ascii="宋体" w:hAnsi="宋体" w:cs="宋体"/>
          <w:color w:val="auto"/>
          <w:sz w:val="21"/>
          <w:szCs w:val="21"/>
          <w:highlight w:val="none"/>
        </w:rPr>
        <w:t>投标报价说明</w:t>
      </w:r>
      <w:bookmarkEnd w:id="57"/>
      <w:bookmarkEnd w:id="58"/>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59" w:name="_Toc17669"/>
      <w:bookmarkStart w:id="60" w:name="_Toc14501"/>
      <w:r>
        <w:rPr>
          <w:rFonts w:hint="eastAsia" w:ascii="宋体" w:hAnsi="宋体" w:cs="宋体"/>
          <w:color w:val="auto"/>
          <w:sz w:val="21"/>
          <w:szCs w:val="21"/>
          <w:highlight w:val="none"/>
        </w:rPr>
        <w:t>投标人所提供的服务或货物的证明文件</w:t>
      </w:r>
      <w:bookmarkEnd w:id="59"/>
      <w:bookmarkEnd w:id="60"/>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bookmarkStart w:id="61" w:name="_Hlt107925638"/>
      <w:bookmarkEnd w:id="61"/>
      <w:bookmarkStart w:id="62" w:name="_Hlt107925668"/>
      <w:bookmarkEnd w:id="62"/>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（1）使用伪造、变造的许可证件；</w:t>
      </w:r>
    </w:p>
    <w:p>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（2）提供虚假的财务状况或者业绩；</w:t>
      </w:r>
    </w:p>
    <w:p>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（4）提供虚假的信用状况；</w:t>
      </w:r>
    </w:p>
    <w:p>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（5）其他弄虚作假的行为。</w:t>
      </w:r>
    </w:p>
    <w:p>
      <w:pPr>
        <w:pStyle w:val="8"/>
        <w:widowControl w:val="0"/>
        <w:numPr>
          <w:ilvl w:val="0"/>
          <w:numId w:val="3"/>
        </w:numPr>
        <w:overflowPunct w:val="0"/>
        <w:rPr>
          <w:rFonts w:ascii="宋体" w:hAnsi="宋体" w:cs="宋体"/>
          <w:color w:val="auto"/>
          <w:sz w:val="21"/>
          <w:szCs w:val="21"/>
          <w:highlight w:val="none"/>
        </w:rPr>
      </w:pPr>
      <w:bookmarkStart w:id="63" w:name="_Toc2409"/>
      <w:bookmarkStart w:id="64" w:name="_Toc8324"/>
      <w:r>
        <w:rPr>
          <w:rFonts w:hint="eastAsia" w:ascii="宋体" w:hAnsi="宋体" w:cs="宋体"/>
          <w:color w:val="auto"/>
          <w:sz w:val="21"/>
          <w:szCs w:val="21"/>
          <w:highlight w:val="none"/>
        </w:rPr>
        <w:t>投标有效期</w:t>
      </w:r>
      <w:bookmarkEnd w:id="63"/>
      <w:bookmarkEnd w:id="64"/>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pPr>
        <w:widowControl w:val="0"/>
        <w:adjustRightInd/>
        <w:snapToGrid/>
        <w:ind w:left="567"/>
        <w:jc w:val="both"/>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65" w:name="_Toc12582"/>
      <w:bookmarkStart w:id="66" w:name="_Toc26564"/>
      <w:r>
        <w:rPr>
          <w:rFonts w:hint="eastAsia" w:ascii="宋体" w:hAnsi="宋体" w:cs="宋体"/>
          <w:color w:val="auto"/>
          <w:sz w:val="21"/>
          <w:szCs w:val="21"/>
          <w:highlight w:val="none"/>
        </w:rPr>
        <w:t>投标保证金</w:t>
      </w:r>
      <w:bookmarkEnd w:id="65"/>
      <w:bookmarkEnd w:id="66"/>
    </w:p>
    <w:p>
      <w:pPr>
        <w:pStyle w:val="41"/>
        <w:widowControl w:val="0"/>
        <w:numPr>
          <w:ilvl w:val="0"/>
          <w:numId w:val="4"/>
        </w:numPr>
        <w:adjustRightInd/>
        <w:snapToGrid/>
        <w:ind w:firstLineChars="0"/>
        <w:jc w:val="both"/>
        <w:rPr>
          <w:rFonts w:ascii="宋体" w:hAnsi="宋体" w:cs="宋体"/>
          <w:vanish/>
          <w:color w:val="auto"/>
          <w:szCs w:val="21"/>
          <w:highlight w:val="none"/>
        </w:rPr>
      </w:pPr>
      <w:bookmarkStart w:id="67" w:name="_Ref179619405"/>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67"/>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pPr>
        <w:widowControl w:val="0"/>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pPr>
        <w:widowControl w:val="0"/>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pPr>
        <w:widowControl w:val="0"/>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pPr>
        <w:widowControl w:val="0"/>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pPr>
        <w:rPr>
          <w:rFonts w:ascii="宋体" w:hAnsi="宋体" w:cs="宋体"/>
          <w:color w:val="auto"/>
          <w:highlight w:val="none"/>
        </w:rPr>
      </w:pPr>
    </w:p>
    <w:p>
      <w:pPr>
        <w:pStyle w:val="7"/>
        <w:numPr>
          <w:ilvl w:val="0"/>
          <w:numId w:val="2"/>
        </w:numPr>
        <w:spacing w:before="0" w:after="0" w:line="360" w:lineRule="auto"/>
        <w:jc w:val="center"/>
        <w:rPr>
          <w:rFonts w:ascii="宋体" w:hAnsi="宋体" w:cs="宋体"/>
          <w:color w:val="auto"/>
          <w:highlight w:val="none"/>
        </w:rPr>
      </w:pPr>
      <w:bookmarkStart w:id="68" w:name="_Toc18672"/>
      <w:bookmarkStart w:id="69" w:name="_Toc30352"/>
      <w:r>
        <w:rPr>
          <w:rFonts w:hint="eastAsia" w:ascii="宋体" w:hAnsi="宋体" w:cs="宋体"/>
          <w:color w:val="auto"/>
          <w:highlight w:val="none"/>
        </w:rPr>
        <w:t>投标文件的递交</w:t>
      </w:r>
      <w:bookmarkEnd w:id="68"/>
      <w:bookmarkEnd w:id="69"/>
    </w:p>
    <w:p>
      <w:pPr>
        <w:pStyle w:val="8"/>
        <w:widowControl w:val="0"/>
        <w:numPr>
          <w:ilvl w:val="0"/>
          <w:numId w:val="3"/>
        </w:numPr>
        <w:overflowPunct w:val="0"/>
        <w:rPr>
          <w:rFonts w:ascii="宋体" w:hAnsi="宋体" w:cs="宋体"/>
          <w:color w:val="auto"/>
          <w:sz w:val="21"/>
          <w:szCs w:val="21"/>
          <w:highlight w:val="none"/>
        </w:rPr>
      </w:pPr>
      <w:bookmarkStart w:id="70" w:name="_Toc382049111"/>
      <w:bookmarkStart w:id="71" w:name="_Toc303084264"/>
      <w:bookmarkStart w:id="72" w:name="_Toc24150"/>
      <w:bookmarkStart w:id="73" w:name="_Toc9759"/>
      <w:bookmarkStart w:id="74" w:name="_Toc24997"/>
      <w:r>
        <w:rPr>
          <w:rFonts w:hint="eastAsia" w:ascii="宋体" w:hAnsi="宋体" w:cs="宋体"/>
          <w:color w:val="auto"/>
          <w:sz w:val="21"/>
          <w:szCs w:val="21"/>
          <w:highlight w:val="none"/>
        </w:rPr>
        <w:t>投标文件的装订，签署，密封和标记</w:t>
      </w:r>
      <w:bookmarkEnd w:id="70"/>
      <w:bookmarkEnd w:id="71"/>
      <w:bookmarkEnd w:id="72"/>
      <w:bookmarkEnd w:id="73"/>
      <w:bookmarkEnd w:id="74"/>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pPr>
        <w:widowControl w:val="0"/>
        <w:numPr>
          <w:ilvl w:val="0"/>
          <w:numId w:val="6"/>
        </w:numP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 xml:space="preserve">收件人： </w:t>
      </w:r>
    </w:p>
    <w:p>
      <w:pPr>
        <w:widowControl w:val="0"/>
        <w:numPr>
          <w:ilvl w:val="0"/>
          <w:numId w:val="6"/>
        </w:numP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pPr>
        <w:widowControl w:val="0"/>
        <w:numPr>
          <w:ilvl w:val="0"/>
          <w:numId w:val="6"/>
        </w:numP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pPr>
        <w:widowControl w:val="0"/>
        <w:numPr>
          <w:ilvl w:val="0"/>
          <w:numId w:val="6"/>
        </w:numP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项目采购项目编号：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75" w:name="_Toc25895"/>
      <w:bookmarkStart w:id="76" w:name="_Toc27686"/>
      <w:r>
        <w:rPr>
          <w:rFonts w:hint="eastAsia" w:ascii="宋体" w:hAnsi="宋体" w:cs="宋体"/>
          <w:color w:val="auto"/>
          <w:sz w:val="21"/>
          <w:szCs w:val="21"/>
          <w:highlight w:val="none"/>
        </w:rPr>
        <w:t>迟交的投标文件</w:t>
      </w:r>
      <w:bookmarkEnd w:id="75"/>
      <w:bookmarkEnd w:id="76"/>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77" w:name="_Toc8776"/>
      <w:bookmarkStart w:id="78" w:name="_Toc9143"/>
      <w:r>
        <w:rPr>
          <w:rFonts w:hint="eastAsia" w:ascii="宋体" w:hAnsi="宋体" w:cs="宋体"/>
          <w:color w:val="auto"/>
          <w:sz w:val="21"/>
          <w:szCs w:val="21"/>
          <w:highlight w:val="none"/>
        </w:rPr>
        <w:t>投标样品（如需提交）</w:t>
      </w:r>
      <w:bookmarkEnd w:id="77"/>
      <w:bookmarkEnd w:id="78"/>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79" w:name="_Toc17522"/>
      <w:bookmarkStart w:id="80" w:name="_Toc9777"/>
      <w:bookmarkStart w:id="81" w:name="_Toc1712"/>
      <w:bookmarkStart w:id="82" w:name="_Toc303084265"/>
      <w:bookmarkStart w:id="83" w:name="_Toc382049112"/>
      <w:r>
        <w:rPr>
          <w:rFonts w:hint="eastAsia" w:ascii="宋体" w:hAnsi="宋体" w:cs="宋体"/>
          <w:color w:val="auto"/>
          <w:sz w:val="21"/>
          <w:szCs w:val="21"/>
          <w:highlight w:val="none"/>
        </w:rPr>
        <w:t>投标截止期</w:t>
      </w:r>
      <w:bookmarkEnd w:id="79"/>
      <w:bookmarkEnd w:id="80"/>
      <w:bookmarkEnd w:id="81"/>
      <w:bookmarkEnd w:id="82"/>
      <w:bookmarkEnd w:id="83"/>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84" w:name="_Toc31417"/>
      <w:bookmarkStart w:id="85" w:name="_Toc14518"/>
      <w:r>
        <w:rPr>
          <w:rFonts w:hint="eastAsia" w:ascii="宋体" w:hAnsi="宋体" w:cs="宋体"/>
          <w:color w:val="auto"/>
          <w:sz w:val="21"/>
          <w:szCs w:val="21"/>
          <w:highlight w:val="none"/>
        </w:rPr>
        <w:t>投标文件的补充、修改与撤回</w:t>
      </w:r>
      <w:bookmarkEnd w:id="84"/>
      <w:bookmarkEnd w:id="85"/>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pPr>
        <w:pStyle w:val="2"/>
        <w:rPr>
          <w:color w:val="auto"/>
          <w:highlight w:val="none"/>
        </w:rPr>
      </w:pPr>
    </w:p>
    <w:p>
      <w:pPr>
        <w:pStyle w:val="7"/>
        <w:numPr>
          <w:ilvl w:val="0"/>
          <w:numId w:val="2"/>
        </w:numPr>
        <w:spacing w:before="0" w:after="0" w:line="360" w:lineRule="auto"/>
        <w:jc w:val="center"/>
        <w:rPr>
          <w:rFonts w:ascii="宋体" w:hAnsi="宋体" w:cs="宋体"/>
          <w:color w:val="auto"/>
          <w:highlight w:val="none"/>
        </w:rPr>
      </w:pPr>
      <w:bookmarkStart w:id="86" w:name="_Toc4693"/>
      <w:bookmarkStart w:id="87" w:name="_Toc7410"/>
      <w:r>
        <w:rPr>
          <w:rFonts w:hint="eastAsia" w:ascii="宋体" w:hAnsi="宋体" w:cs="宋体"/>
          <w:color w:val="auto"/>
          <w:highlight w:val="none"/>
        </w:rPr>
        <w:t>开标与评标</w:t>
      </w:r>
      <w:bookmarkEnd w:id="86"/>
      <w:bookmarkEnd w:id="87"/>
    </w:p>
    <w:p>
      <w:pPr>
        <w:pStyle w:val="8"/>
        <w:widowControl w:val="0"/>
        <w:numPr>
          <w:ilvl w:val="0"/>
          <w:numId w:val="3"/>
        </w:numPr>
        <w:overflowPunct w:val="0"/>
        <w:rPr>
          <w:rFonts w:ascii="宋体" w:hAnsi="宋体" w:cs="宋体"/>
          <w:color w:val="auto"/>
          <w:sz w:val="21"/>
          <w:szCs w:val="21"/>
          <w:highlight w:val="none"/>
        </w:rPr>
      </w:pPr>
      <w:bookmarkStart w:id="88" w:name="_Toc31671"/>
      <w:bookmarkStart w:id="89" w:name="_Toc20009"/>
      <w:r>
        <w:rPr>
          <w:rFonts w:hint="eastAsia" w:ascii="宋体" w:hAnsi="宋体" w:cs="宋体"/>
          <w:color w:val="auto"/>
          <w:sz w:val="21"/>
          <w:szCs w:val="21"/>
          <w:highlight w:val="none"/>
        </w:rPr>
        <w:t>开标</w:t>
      </w:r>
      <w:bookmarkEnd w:id="88"/>
      <w:bookmarkEnd w:id="89"/>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开标程序：</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pPr>
        <w:widowControl w:val="0"/>
        <w:adjustRightInd/>
        <w:snapToGrid/>
        <w:ind w:left="567"/>
        <w:jc w:val="both"/>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90" w:name="_Toc3528"/>
      <w:bookmarkStart w:id="91" w:name="_Toc15560"/>
      <w:r>
        <w:rPr>
          <w:rFonts w:hint="eastAsia" w:ascii="宋体" w:hAnsi="宋体" w:cs="宋体"/>
          <w:color w:val="auto"/>
          <w:sz w:val="21"/>
          <w:szCs w:val="21"/>
          <w:highlight w:val="none"/>
        </w:rPr>
        <w:t>评标委员会及评标方法</w:t>
      </w:r>
      <w:bookmarkEnd w:id="90"/>
      <w:bookmarkEnd w:id="91"/>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92" w:name="_Toc22022"/>
      <w:bookmarkStart w:id="93" w:name="_Toc4198"/>
      <w:r>
        <w:rPr>
          <w:rFonts w:hint="eastAsia" w:ascii="宋体" w:hAnsi="宋体" w:cs="宋体"/>
          <w:color w:val="auto"/>
          <w:sz w:val="21"/>
          <w:szCs w:val="21"/>
          <w:highlight w:val="none"/>
        </w:rPr>
        <w:t>评审原则及评标过程的保密</w:t>
      </w:r>
      <w:bookmarkEnd w:id="92"/>
      <w:bookmarkEnd w:id="93"/>
    </w:p>
    <w:p>
      <w:pPr>
        <w:pStyle w:val="41"/>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94" w:name="_Toc14506"/>
      <w:r>
        <w:rPr>
          <w:rFonts w:hint="eastAsia" w:ascii="宋体" w:hAnsi="宋体" w:cs="宋体"/>
          <w:color w:val="auto"/>
          <w:sz w:val="21"/>
          <w:szCs w:val="21"/>
          <w:highlight w:val="none"/>
        </w:rPr>
        <w:t>评标程序</w:t>
      </w:r>
      <w:bookmarkEnd w:id="94"/>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pPr>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vAlign w:val="center"/>
          </w:tcPr>
          <w:p>
            <w:pPr>
              <w:numPr>
                <w:ilvl w:val="0"/>
                <w:numId w:val="7"/>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ascii="宋体" w:hAnsi="宋体" w:cs="宋体"/>
                <w:color w:val="auto"/>
                <w:szCs w:val="21"/>
                <w:highlight w:val="none"/>
              </w:rPr>
            </w:pPr>
            <w:r>
              <w:rPr>
                <w:rFonts w:hint="eastAsia" w:ascii="宋体" w:hAnsi="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ascii="宋体" w:hAnsi="宋体" w:cs="宋体"/>
                <w:color w:val="auto"/>
                <w:szCs w:val="21"/>
                <w:highlight w:val="none"/>
              </w:rPr>
            </w:pPr>
            <w:r>
              <w:rPr>
                <w:rFonts w:hint="eastAsia" w:ascii="宋体" w:hAnsi="宋体" w:cs="宋体"/>
                <w:color w:val="auto"/>
                <w:szCs w:val="21"/>
                <w:highlight w:val="none"/>
              </w:rPr>
              <w:t>（3）投标人的单位负责人为同一人或者存在直接控股、管理关系的不同投标人，不得参加同一合同项下的采购活动；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szCs w:val="21"/>
                <w:highlight w:val="none"/>
                <w:lang w:val="zh-CN"/>
              </w:rPr>
              <w:t>东莞实业投资控股集团有限公司</w:t>
            </w:r>
            <w:r>
              <w:rPr>
                <w:rFonts w:hint="eastAsia" w:ascii="宋体" w:hAnsi="宋体" w:cs="宋体"/>
                <w:color w:val="auto"/>
                <w:szCs w:val="21"/>
                <w:highlight w:val="none"/>
              </w:rPr>
              <w:t>发文（东实通〔2021〕44号）、（东实通〔2021〕98号）</w:t>
            </w:r>
            <w:r>
              <w:rPr>
                <w:rFonts w:hint="eastAsia" w:ascii="宋体" w:hAnsi="宋体"/>
                <w:color w:val="auto"/>
                <w:szCs w:val="21"/>
                <w:highlight w:val="none"/>
              </w:rPr>
              <w:t>、</w:t>
            </w:r>
            <w:r>
              <w:rPr>
                <w:rFonts w:ascii="宋体" w:hAnsi="宋体"/>
                <w:color w:val="auto"/>
                <w:szCs w:val="21"/>
                <w:highlight w:val="none"/>
              </w:rPr>
              <w:t>（东实通〔2022〕75号）</w:t>
            </w:r>
            <w:r>
              <w:rPr>
                <w:rFonts w:hint="eastAsia" w:ascii="宋体" w:hAnsi="宋体"/>
                <w:color w:val="auto"/>
                <w:szCs w:val="21"/>
                <w:highlight w:val="none"/>
              </w:rPr>
              <w:t>、（东实通〔2023〕37号）</w:t>
            </w:r>
            <w:r>
              <w:rPr>
                <w:rFonts w:hint="eastAsia" w:ascii="宋体" w:hAnsi="宋体" w:cs="宋体"/>
                <w:color w:val="auto"/>
                <w:szCs w:val="21"/>
                <w:highlight w:val="none"/>
              </w:rPr>
              <w:t>为准，如有最新发文通知，按最新文件执行。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ascii="宋体" w:hAnsi="宋体" w:cs="宋体"/>
                <w:color w:val="auto"/>
                <w:szCs w:val="21"/>
                <w:highlight w:val="none"/>
              </w:rPr>
            </w:pPr>
            <w:r>
              <w:rPr>
                <w:rFonts w:hint="eastAsia" w:ascii="宋体" w:hAnsi="宋体" w:cs="宋体"/>
                <w:color w:val="auto"/>
                <w:szCs w:val="21"/>
                <w:highlight w:val="none"/>
              </w:rPr>
              <w:t>（6）符合投标人资格要求中其他要求（如有）。（提供《附件9.相关资质证明文件》中对应证明文件。）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7"/>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7"/>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7"/>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法律、法规和采购文件规定的其他无效情形。</w:t>
            </w:r>
          </w:p>
        </w:tc>
      </w:tr>
    </w:tbl>
    <w:p>
      <w:pPr>
        <w:widowControl w:val="0"/>
        <w:overflowPunct w:val="0"/>
        <w:ind w:firstLine="420" w:firstLineChars="200"/>
        <w:rPr>
          <w:rFonts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pPr>
        <w:widowControl w:val="0"/>
        <w:numPr>
          <w:ilvl w:val="0"/>
          <w:numId w:val="8"/>
        </w:numPr>
        <w:overflowPunct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pPr>
        <w:widowControl w:val="0"/>
        <w:numPr>
          <w:ilvl w:val="0"/>
          <w:numId w:val="8"/>
        </w:numPr>
        <w:overflowPunct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pPr>
        <w:widowControl w:val="0"/>
        <w:numPr>
          <w:ilvl w:val="0"/>
          <w:numId w:val="8"/>
        </w:numPr>
        <w:overflowPunct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pPr>
        <w:widowControl w:val="0"/>
        <w:numPr>
          <w:ilvl w:val="0"/>
          <w:numId w:val="8"/>
        </w:numPr>
        <w:overflowPunct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pPr>
        <w:widowControl w:val="0"/>
        <w:numPr>
          <w:ilvl w:val="0"/>
          <w:numId w:val="8"/>
        </w:numPr>
        <w:overflowPunct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pStyle w:val="2"/>
        <w:rPr>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95" w:name="_Toc11415"/>
      <w:bookmarkStart w:id="96" w:name="_Toc4799"/>
      <w:r>
        <w:rPr>
          <w:rFonts w:hint="eastAsia" w:ascii="宋体" w:hAnsi="宋体" w:cs="宋体"/>
          <w:color w:val="auto"/>
          <w:sz w:val="21"/>
          <w:szCs w:val="21"/>
          <w:highlight w:val="none"/>
        </w:rPr>
        <w:t>商务、技术、价格评审（具体评审项目详见投标资料表）</w:t>
      </w:r>
      <w:bookmarkEnd w:id="95"/>
      <w:bookmarkEnd w:id="96"/>
    </w:p>
    <w:p>
      <w:pPr>
        <w:pStyle w:val="41"/>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pPr>
        <w:widowControl w:val="0"/>
        <w:tabs>
          <w:tab w:val="left" w:pos="907"/>
        </w:tabs>
        <w:adjustRightInd/>
        <w:snapToGrid/>
        <w:ind w:left="567"/>
        <w:jc w:val="both"/>
        <w:rPr>
          <w:rFonts w:ascii="宋体" w:hAnsi="宋体" w:cs="宋体"/>
          <w:color w:val="auto"/>
          <w:szCs w:val="21"/>
          <w:highlight w:val="none"/>
        </w:rPr>
      </w:pPr>
    </w:p>
    <w:p>
      <w:pPr>
        <w:pStyle w:val="8"/>
        <w:widowControl w:val="0"/>
        <w:numPr>
          <w:ilvl w:val="0"/>
          <w:numId w:val="3"/>
        </w:numPr>
        <w:overflowPunct w:val="0"/>
        <w:rPr>
          <w:rFonts w:ascii="宋体" w:hAnsi="宋体" w:cs="宋体"/>
          <w:color w:val="auto"/>
          <w:sz w:val="21"/>
          <w:szCs w:val="21"/>
          <w:highlight w:val="none"/>
        </w:rPr>
      </w:pPr>
      <w:bookmarkStart w:id="97" w:name="_Toc316375620"/>
      <w:bookmarkStart w:id="98" w:name="_Toc18550"/>
      <w:bookmarkStart w:id="99" w:name="_Toc21663"/>
      <w:bookmarkStart w:id="100" w:name="_Toc382049120"/>
      <w:bookmarkStart w:id="101" w:name="_Toc20328"/>
      <w:r>
        <w:rPr>
          <w:rFonts w:hint="eastAsia" w:ascii="宋体" w:hAnsi="宋体" w:cs="宋体"/>
          <w:color w:val="auto"/>
          <w:sz w:val="21"/>
          <w:szCs w:val="21"/>
          <w:highlight w:val="none"/>
        </w:rPr>
        <w:t>纪律和保密</w:t>
      </w:r>
      <w:bookmarkEnd w:id="97"/>
      <w:r>
        <w:rPr>
          <w:rFonts w:hint="eastAsia" w:ascii="宋体" w:hAnsi="宋体" w:cs="宋体"/>
          <w:color w:val="auto"/>
          <w:sz w:val="21"/>
          <w:szCs w:val="21"/>
          <w:highlight w:val="none"/>
        </w:rPr>
        <w:t>事项</w:t>
      </w:r>
      <w:bookmarkEnd w:id="98"/>
      <w:bookmarkEnd w:id="99"/>
      <w:bookmarkEnd w:id="100"/>
      <w:bookmarkEnd w:id="101"/>
    </w:p>
    <w:p>
      <w:pPr>
        <w:pStyle w:val="41"/>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pPr>
        <w:rPr>
          <w:rFonts w:ascii="宋体" w:hAnsi="宋体" w:cs="宋体"/>
          <w:color w:val="auto"/>
          <w:highlight w:val="none"/>
        </w:rPr>
      </w:pPr>
    </w:p>
    <w:p>
      <w:pPr>
        <w:pStyle w:val="7"/>
        <w:numPr>
          <w:ilvl w:val="0"/>
          <w:numId w:val="2"/>
        </w:numPr>
        <w:spacing w:before="0" w:after="0" w:line="360" w:lineRule="auto"/>
        <w:jc w:val="center"/>
        <w:rPr>
          <w:rFonts w:ascii="宋体" w:hAnsi="宋体" w:cs="宋体"/>
          <w:color w:val="auto"/>
          <w:highlight w:val="none"/>
        </w:rPr>
      </w:pPr>
      <w:bookmarkStart w:id="102" w:name="_Toc1109"/>
      <w:bookmarkStart w:id="103" w:name="_Toc27738"/>
      <w:r>
        <w:rPr>
          <w:rFonts w:hint="eastAsia" w:ascii="宋体" w:hAnsi="宋体" w:cs="宋体"/>
          <w:color w:val="auto"/>
          <w:highlight w:val="none"/>
        </w:rPr>
        <w:t>授予合同</w:t>
      </w:r>
      <w:bookmarkEnd w:id="102"/>
      <w:bookmarkEnd w:id="103"/>
    </w:p>
    <w:p>
      <w:pPr>
        <w:pStyle w:val="8"/>
        <w:widowControl w:val="0"/>
        <w:numPr>
          <w:ilvl w:val="0"/>
          <w:numId w:val="3"/>
        </w:numPr>
        <w:overflowPunct w:val="0"/>
        <w:rPr>
          <w:rFonts w:ascii="宋体" w:hAnsi="宋体" w:cs="宋体"/>
          <w:color w:val="auto"/>
          <w:sz w:val="21"/>
          <w:szCs w:val="21"/>
          <w:highlight w:val="none"/>
        </w:rPr>
      </w:pPr>
      <w:bookmarkStart w:id="104" w:name="_Toc508284011"/>
      <w:bookmarkStart w:id="105" w:name="_Toc22623"/>
      <w:bookmarkStart w:id="106" w:name="_Toc16090"/>
      <w:r>
        <w:rPr>
          <w:rFonts w:hint="eastAsia" w:ascii="宋体" w:hAnsi="宋体" w:cs="宋体"/>
          <w:color w:val="auto"/>
          <w:sz w:val="21"/>
          <w:szCs w:val="21"/>
          <w:highlight w:val="none"/>
        </w:rPr>
        <w:t>合同授予标准</w:t>
      </w:r>
      <w:bookmarkEnd w:id="104"/>
      <w:bookmarkEnd w:id="105"/>
      <w:bookmarkEnd w:id="106"/>
    </w:p>
    <w:p>
      <w:pPr>
        <w:pStyle w:val="41"/>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107" w:name="_Toc508284013"/>
      <w:bookmarkStart w:id="108" w:name="_Toc24261"/>
      <w:bookmarkStart w:id="109" w:name="_Toc10545"/>
      <w:r>
        <w:rPr>
          <w:rFonts w:hint="eastAsia" w:ascii="宋体" w:hAnsi="宋体" w:cs="宋体"/>
          <w:color w:val="auto"/>
          <w:sz w:val="21"/>
          <w:szCs w:val="21"/>
          <w:highlight w:val="none"/>
        </w:rPr>
        <w:t>发布中标结果</w:t>
      </w:r>
      <w:bookmarkEnd w:id="107"/>
      <w:bookmarkEnd w:id="108"/>
      <w:bookmarkEnd w:id="109"/>
    </w:p>
    <w:p>
      <w:pPr>
        <w:pStyle w:val="41"/>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pPr>
        <w:widowControl w:val="0"/>
        <w:tabs>
          <w:tab w:val="left" w:pos="907"/>
        </w:tabs>
        <w:adjustRightInd/>
        <w:snapToGrid/>
        <w:jc w:val="both"/>
        <w:rPr>
          <w:rFonts w:ascii="宋体" w:hAnsi="宋体" w:cs="宋体"/>
          <w:color w:val="auto"/>
          <w:szCs w:val="21"/>
          <w:highlight w:val="none"/>
        </w:rPr>
      </w:pPr>
    </w:p>
    <w:p>
      <w:pPr>
        <w:pStyle w:val="8"/>
        <w:widowControl w:val="0"/>
        <w:numPr>
          <w:ilvl w:val="0"/>
          <w:numId w:val="3"/>
        </w:numPr>
        <w:overflowPunct w:val="0"/>
        <w:rPr>
          <w:rFonts w:ascii="宋体" w:hAnsi="宋体" w:cs="宋体"/>
          <w:color w:val="auto"/>
          <w:sz w:val="21"/>
          <w:szCs w:val="21"/>
          <w:highlight w:val="none"/>
        </w:rPr>
      </w:pPr>
      <w:bookmarkStart w:id="110" w:name="_Toc749"/>
      <w:bookmarkStart w:id="111" w:name="_Toc11420"/>
      <w:r>
        <w:rPr>
          <w:rFonts w:hint="eastAsia" w:ascii="宋体" w:hAnsi="宋体" w:cs="宋体"/>
          <w:color w:val="auto"/>
          <w:sz w:val="21"/>
          <w:szCs w:val="21"/>
          <w:highlight w:val="none"/>
        </w:rPr>
        <w:t>资格后审</w:t>
      </w:r>
      <w:bookmarkEnd w:id="110"/>
      <w:bookmarkEnd w:id="111"/>
    </w:p>
    <w:p>
      <w:pPr>
        <w:pStyle w:val="41"/>
        <w:widowControl w:val="0"/>
        <w:numPr>
          <w:ilvl w:val="0"/>
          <w:numId w:val="4"/>
        </w:numPr>
        <w:tabs>
          <w:tab w:val="left" w:pos="567"/>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采购人将有权根据本文件中的要求，对评委会推荐的中标候选人进行资格后审。</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pPr>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112" w:name="_Toc27689"/>
      <w:bookmarkStart w:id="113" w:name="_Toc27302"/>
      <w:r>
        <w:rPr>
          <w:rFonts w:hint="eastAsia" w:ascii="宋体" w:hAnsi="宋体" w:cs="宋体"/>
          <w:color w:val="auto"/>
          <w:sz w:val="21"/>
          <w:szCs w:val="21"/>
          <w:highlight w:val="none"/>
        </w:rPr>
        <w:t>合同的签订与履行</w:t>
      </w:r>
      <w:bookmarkEnd w:id="112"/>
      <w:bookmarkEnd w:id="113"/>
    </w:p>
    <w:p>
      <w:pPr>
        <w:pStyle w:val="41"/>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pPr>
        <w:widowControl w:val="0"/>
        <w:tabs>
          <w:tab w:val="left" w:pos="907"/>
        </w:tabs>
        <w:adjustRightInd/>
        <w:snapToGrid/>
        <w:jc w:val="both"/>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114" w:name="_Toc382049124"/>
      <w:bookmarkStart w:id="115" w:name="_Toc303084277"/>
      <w:bookmarkStart w:id="116" w:name="_Toc29009"/>
      <w:bookmarkStart w:id="117" w:name="_Toc19211"/>
      <w:bookmarkStart w:id="118" w:name="_Toc6617"/>
      <w:r>
        <w:rPr>
          <w:rFonts w:hint="eastAsia" w:ascii="宋体" w:hAnsi="宋体" w:cs="宋体"/>
          <w:color w:val="auto"/>
          <w:sz w:val="21"/>
          <w:szCs w:val="21"/>
          <w:highlight w:val="none"/>
        </w:rPr>
        <w:t>履约</w:t>
      </w:r>
      <w:bookmarkEnd w:id="114"/>
      <w:bookmarkEnd w:id="115"/>
      <w:bookmarkEnd w:id="116"/>
      <w:r>
        <w:rPr>
          <w:rFonts w:hint="eastAsia" w:ascii="宋体" w:hAnsi="宋体" w:cs="宋体"/>
          <w:color w:val="auto"/>
          <w:sz w:val="21"/>
          <w:szCs w:val="21"/>
          <w:highlight w:val="none"/>
        </w:rPr>
        <w:t>担保</w:t>
      </w:r>
      <w:bookmarkEnd w:id="117"/>
      <w:bookmarkEnd w:id="118"/>
    </w:p>
    <w:p>
      <w:pPr>
        <w:pStyle w:val="41"/>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履约担保期限从合同签订之日起至项目服务期结束验收合格并结算完毕后，经双方签字7天内保持有效。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①保函应由银行支行或以上银行机构开具，非东莞市行政区内的银行开具的保函要由银行所在地公证部门出具的公证书。</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pPr>
        <w:widowControl w:val="0"/>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pPr>
        <w:widowControl w:val="0"/>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pPr>
        <w:widowControl w:val="0"/>
        <w:tabs>
          <w:tab w:val="left" w:pos="907"/>
        </w:tabs>
        <w:adjustRightInd/>
        <w:snapToGrid/>
        <w:jc w:val="both"/>
        <w:rPr>
          <w:rFonts w:ascii="宋体" w:hAnsi="宋体" w:cs="宋体"/>
          <w:color w:val="auto"/>
          <w:highlight w:val="none"/>
        </w:rPr>
      </w:pPr>
    </w:p>
    <w:p>
      <w:pPr>
        <w:pStyle w:val="8"/>
        <w:widowControl w:val="0"/>
        <w:numPr>
          <w:ilvl w:val="0"/>
          <w:numId w:val="3"/>
        </w:numPr>
        <w:overflowPunct w:val="0"/>
        <w:rPr>
          <w:rFonts w:ascii="宋体" w:hAnsi="宋体" w:cs="宋体"/>
          <w:color w:val="auto"/>
          <w:sz w:val="21"/>
          <w:szCs w:val="21"/>
          <w:highlight w:val="none"/>
        </w:rPr>
      </w:pPr>
      <w:bookmarkStart w:id="119" w:name="_Toc19347"/>
      <w:bookmarkStart w:id="120" w:name="_Toc18880"/>
      <w:r>
        <w:rPr>
          <w:rFonts w:hint="eastAsia" w:ascii="宋体" w:hAnsi="宋体" w:cs="宋体"/>
          <w:color w:val="auto"/>
          <w:sz w:val="21"/>
          <w:szCs w:val="21"/>
          <w:highlight w:val="none"/>
        </w:rPr>
        <w:t>预付款保函（适用于预付款支付）</w:t>
      </w:r>
      <w:bookmarkEnd w:id="119"/>
      <w:bookmarkEnd w:id="120"/>
    </w:p>
    <w:p>
      <w:pPr>
        <w:pStyle w:val="41"/>
        <w:widowControl w:val="0"/>
        <w:numPr>
          <w:ilvl w:val="0"/>
          <w:numId w:val="4"/>
        </w:numPr>
        <w:tabs>
          <w:tab w:val="left" w:pos="567"/>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预付款保函应：</w:t>
      </w:r>
    </w:p>
    <w:p>
      <w:pPr>
        <w:widowControl w:val="0"/>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pPr>
        <w:widowControl w:val="0"/>
        <w:tabs>
          <w:tab w:val="left" w:pos="907"/>
        </w:tabs>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（2）必须打印，手写、涂改无效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pPr>
        <w:rPr>
          <w:rFonts w:ascii="宋体" w:hAnsi="宋体" w:cs="宋体"/>
          <w:color w:val="auto"/>
          <w:highlight w:val="none"/>
        </w:rPr>
      </w:pPr>
    </w:p>
    <w:p>
      <w:pPr>
        <w:pStyle w:val="7"/>
        <w:numPr>
          <w:ilvl w:val="0"/>
          <w:numId w:val="2"/>
        </w:numPr>
        <w:spacing w:before="0" w:after="0" w:line="360" w:lineRule="auto"/>
        <w:jc w:val="center"/>
        <w:rPr>
          <w:rFonts w:ascii="宋体" w:hAnsi="宋体" w:cs="宋体"/>
          <w:color w:val="auto"/>
          <w:highlight w:val="none"/>
        </w:rPr>
      </w:pPr>
      <w:bookmarkStart w:id="121" w:name="_Toc21814"/>
      <w:bookmarkStart w:id="122" w:name="_Toc27556"/>
      <w:r>
        <w:rPr>
          <w:rFonts w:hint="eastAsia" w:ascii="宋体" w:hAnsi="宋体" w:cs="宋体"/>
          <w:color w:val="auto"/>
          <w:highlight w:val="none"/>
        </w:rPr>
        <w:t>异议</w:t>
      </w:r>
      <w:bookmarkEnd w:id="121"/>
      <w:bookmarkEnd w:id="122"/>
    </w:p>
    <w:p>
      <w:pPr>
        <w:pStyle w:val="8"/>
        <w:widowControl w:val="0"/>
        <w:numPr>
          <w:ilvl w:val="0"/>
          <w:numId w:val="3"/>
        </w:numPr>
        <w:overflowPunct w:val="0"/>
        <w:rPr>
          <w:rFonts w:ascii="宋体" w:hAnsi="宋体" w:cs="宋体"/>
          <w:color w:val="auto"/>
          <w:sz w:val="21"/>
          <w:szCs w:val="21"/>
          <w:highlight w:val="none"/>
        </w:rPr>
      </w:pPr>
      <w:bookmarkStart w:id="123" w:name="_Toc31457"/>
      <w:bookmarkStart w:id="124" w:name="_Toc9791"/>
      <w:r>
        <w:rPr>
          <w:rFonts w:hint="eastAsia" w:ascii="宋体" w:hAnsi="宋体" w:cs="宋体"/>
          <w:color w:val="auto"/>
          <w:sz w:val="21"/>
          <w:szCs w:val="21"/>
          <w:highlight w:val="none"/>
        </w:rPr>
        <w:t>异议</w:t>
      </w:r>
      <w:bookmarkEnd w:id="123"/>
      <w:bookmarkEnd w:id="124"/>
    </w:p>
    <w:p>
      <w:pPr>
        <w:pStyle w:val="41"/>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pPr>
        <w:widowControl w:val="0"/>
        <w:tabs>
          <w:tab w:val="left" w:pos="907"/>
        </w:tabs>
        <w:adjustRightInd/>
        <w:snapToGrid/>
        <w:ind w:firstLine="420" w:firstLineChars="200"/>
        <w:jc w:val="both"/>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pPr>
        <w:widowControl w:val="0"/>
        <w:tabs>
          <w:tab w:val="left" w:pos="907"/>
        </w:tabs>
        <w:adjustRightInd/>
        <w:snapToGrid/>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pPr>
        <w:widowControl w:val="0"/>
        <w:tabs>
          <w:tab w:val="left" w:pos="907"/>
        </w:tabs>
        <w:adjustRightInd/>
        <w:snapToGrid/>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pPr>
        <w:rPr>
          <w:rFonts w:ascii="宋体" w:hAnsi="宋体" w:cs="宋体"/>
          <w:color w:val="auto"/>
          <w:highlight w:val="none"/>
        </w:rPr>
      </w:pPr>
    </w:p>
    <w:p>
      <w:pPr>
        <w:pStyle w:val="7"/>
        <w:numPr>
          <w:ilvl w:val="0"/>
          <w:numId w:val="2"/>
        </w:numPr>
        <w:spacing w:before="0" w:after="0" w:line="360" w:lineRule="auto"/>
        <w:jc w:val="center"/>
        <w:rPr>
          <w:rFonts w:ascii="宋体" w:hAnsi="宋体" w:cs="宋体"/>
          <w:color w:val="auto"/>
          <w:highlight w:val="none"/>
        </w:rPr>
      </w:pPr>
      <w:bookmarkStart w:id="125" w:name="_Toc16776"/>
      <w:bookmarkStart w:id="126" w:name="_Toc18965"/>
      <w:r>
        <w:rPr>
          <w:rFonts w:hint="eastAsia" w:ascii="宋体" w:hAnsi="宋体" w:cs="宋体"/>
          <w:color w:val="auto"/>
          <w:highlight w:val="none"/>
        </w:rPr>
        <w:t>其他</w:t>
      </w:r>
      <w:bookmarkEnd w:id="125"/>
      <w:bookmarkEnd w:id="126"/>
    </w:p>
    <w:p>
      <w:pPr>
        <w:pStyle w:val="8"/>
        <w:widowControl w:val="0"/>
        <w:numPr>
          <w:ilvl w:val="0"/>
          <w:numId w:val="3"/>
        </w:numPr>
        <w:overflowPunct w:val="0"/>
        <w:rPr>
          <w:rFonts w:ascii="宋体" w:hAnsi="宋体" w:cs="宋体"/>
          <w:color w:val="auto"/>
          <w:sz w:val="21"/>
          <w:szCs w:val="21"/>
          <w:highlight w:val="none"/>
        </w:rPr>
      </w:pPr>
      <w:bookmarkStart w:id="127" w:name="_Toc1587"/>
      <w:bookmarkStart w:id="128" w:name="_Toc2155"/>
      <w:r>
        <w:rPr>
          <w:rFonts w:hint="eastAsia" w:ascii="宋体" w:hAnsi="宋体" w:cs="宋体"/>
          <w:color w:val="auto"/>
          <w:sz w:val="21"/>
          <w:szCs w:val="21"/>
          <w:highlight w:val="none"/>
        </w:rPr>
        <w:t>采购文件的解释权</w:t>
      </w:r>
      <w:bookmarkEnd w:id="127"/>
      <w:bookmarkEnd w:id="128"/>
    </w:p>
    <w:p>
      <w:pPr>
        <w:pStyle w:val="41"/>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pPr>
        <w:widowControl w:val="0"/>
        <w:numPr>
          <w:ilvl w:val="1"/>
          <w:numId w:val="9"/>
        </w:numPr>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br w:type="page"/>
      </w:r>
    </w:p>
    <w:p>
      <w:pPr>
        <w:pStyle w:val="6"/>
        <w:spacing w:before="0" w:after="0" w:line="240" w:lineRule="auto"/>
        <w:rPr>
          <w:color w:val="auto"/>
          <w:sz w:val="28"/>
          <w:szCs w:val="28"/>
          <w:highlight w:val="none"/>
        </w:rPr>
      </w:pPr>
      <w:bookmarkStart w:id="129" w:name="_Toc15211"/>
      <w:r>
        <w:rPr>
          <w:rFonts w:hint="eastAsia"/>
          <w:color w:val="auto"/>
          <w:sz w:val="28"/>
          <w:szCs w:val="28"/>
          <w:highlight w:val="none"/>
        </w:rPr>
        <w:t>第五部分  合同条款格式</w:t>
      </w:r>
      <w:bookmarkEnd w:id="129"/>
      <w:bookmarkStart w:id="130" w:name="_Toc15636"/>
    </w:p>
    <w:bookmarkEnd w:id="130"/>
    <w:p>
      <w:pPr>
        <w:rPr>
          <w:color w:val="auto"/>
          <w:highlight w:val="none"/>
          <w:lang w:bidi="zh-CN"/>
        </w:rPr>
      </w:pPr>
      <w:bookmarkStart w:id="131" w:name="_Hlt109815959"/>
      <w:bookmarkEnd w:id="131"/>
    </w:p>
    <w:p>
      <w:pPr>
        <w:jc w:val="center"/>
        <w:rPr>
          <w:rFonts w:ascii="黑体" w:hAnsi="黑体" w:eastAsia="黑体"/>
          <w:b/>
          <w:bCs/>
          <w:color w:val="auto"/>
          <w:spacing w:val="60"/>
          <w:sz w:val="52"/>
          <w:szCs w:val="52"/>
          <w:highlight w:val="none"/>
        </w:rPr>
      </w:pPr>
    </w:p>
    <w:p>
      <w:pPr>
        <w:jc w:val="center"/>
        <w:rPr>
          <w:rFonts w:ascii="黑体" w:hAnsi="黑体" w:eastAsia="黑体"/>
          <w:b/>
          <w:bCs/>
          <w:color w:val="auto"/>
          <w:spacing w:val="60"/>
          <w:sz w:val="32"/>
          <w:szCs w:val="32"/>
          <w:highlight w:val="none"/>
        </w:rPr>
      </w:pPr>
      <w:r>
        <w:rPr>
          <w:rFonts w:hint="eastAsia" w:ascii="黑体" w:hAnsi="黑体" w:eastAsia="黑体"/>
          <w:b/>
          <w:bCs/>
          <w:color w:val="auto"/>
          <w:spacing w:val="60"/>
          <w:sz w:val="32"/>
          <w:szCs w:val="32"/>
          <w:highlight w:val="none"/>
        </w:rPr>
        <w:t>松山湖国际创新创业社区保洁服务合同文件</w:t>
      </w:r>
    </w:p>
    <w:p>
      <w:pPr>
        <w:pStyle w:val="2"/>
        <w:rPr>
          <w:rFonts w:ascii="黑体" w:hAnsi="黑体" w:eastAsia="黑体"/>
          <w:b/>
          <w:bCs/>
          <w:color w:val="auto"/>
          <w:spacing w:val="60"/>
          <w:sz w:val="52"/>
          <w:szCs w:val="52"/>
          <w:highlight w:val="none"/>
        </w:rPr>
      </w:pPr>
    </w:p>
    <w:p>
      <w:pPr>
        <w:pStyle w:val="3"/>
        <w:ind w:firstLine="642"/>
        <w:rPr>
          <w:rFonts w:ascii="黑体" w:hAnsi="黑体" w:eastAsia="黑体"/>
          <w:b/>
          <w:color w:val="auto"/>
          <w:spacing w:val="60"/>
          <w:sz w:val="52"/>
          <w:szCs w:val="52"/>
          <w:highlight w:val="none"/>
        </w:rPr>
      </w:pPr>
    </w:p>
    <w:p>
      <w:pPr>
        <w:pStyle w:val="4"/>
        <w:rPr>
          <w:rFonts w:ascii="黑体" w:hAnsi="黑体" w:eastAsia="黑体"/>
          <w:b/>
          <w:bCs/>
          <w:color w:val="auto"/>
          <w:spacing w:val="60"/>
          <w:sz w:val="52"/>
          <w:szCs w:val="52"/>
          <w:highlight w:val="none"/>
        </w:rPr>
      </w:pPr>
    </w:p>
    <w:p>
      <w:pPr>
        <w:rPr>
          <w:rFonts w:ascii="黑体" w:hAnsi="黑体" w:eastAsia="黑体"/>
          <w:b/>
          <w:bCs/>
          <w:color w:val="auto"/>
          <w:spacing w:val="60"/>
          <w:sz w:val="52"/>
          <w:szCs w:val="52"/>
          <w:highlight w:val="none"/>
        </w:rPr>
      </w:pPr>
    </w:p>
    <w:p>
      <w:pPr>
        <w:pStyle w:val="2"/>
        <w:rPr>
          <w:color w:val="auto"/>
          <w:highlight w:val="none"/>
        </w:rPr>
      </w:pPr>
    </w:p>
    <w:tbl>
      <w:tblPr>
        <w:tblStyle w:val="29"/>
        <w:tblW w:w="5000" w:type="pct"/>
        <w:jc w:val="center"/>
        <w:tblLayout w:type="fixed"/>
        <w:tblCellMar>
          <w:top w:w="0" w:type="dxa"/>
          <w:left w:w="108" w:type="dxa"/>
          <w:bottom w:w="0" w:type="dxa"/>
          <w:right w:w="108" w:type="dxa"/>
        </w:tblCellMar>
      </w:tblPr>
      <w:tblGrid>
        <w:gridCol w:w="2739"/>
        <w:gridCol w:w="5783"/>
      </w:tblGrid>
      <w:tr>
        <w:tblPrEx>
          <w:tblCellMar>
            <w:top w:w="0" w:type="dxa"/>
            <w:left w:w="108" w:type="dxa"/>
            <w:bottom w:w="0" w:type="dxa"/>
            <w:right w:w="108" w:type="dxa"/>
          </w:tblCellMar>
        </w:tblPrEx>
        <w:trPr>
          <w:trHeight w:val="770" w:hRule="atLeast"/>
          <w:jc w:val="center"/>
        </w:trPr>
        <w:tc>
          <w:tcPr>
            <w:tcW w:w="2739" w:type="dxa"/>
          </w:tcPr>
          <w:p>
            <w:pPr>
              <w:rPr>
                <w:rFonts w:ascii="黑体" w:hAnsi="黑体" w:eastAsia="黑体"/>
                <w:b/>
                <w:bCs/>
                <w:color w:val="auto"/>
                <w:sz w:val="28"/>
                <w:szCs w:val="21"/>
                <w:highlight w:val="none"/>
              </w:rPr>
            </w:pPr>
            <w:r>
              <w:rPr>
                <w:rFonts w:hint="eastAsia" w:ascii="黑体" w:hAnsi="黑体" w:eastAsia="黑体"/>
                <w:b/>
                <w:bCs/>
                <w:color w:val="auto"/>
                <w:sz w:val="28"/>
                <w:szCs w:val="21"/>
                <w:highlight w:val="none"/>
              </w:rPr>
              <w:t>甲方（采购人）：</w:t>
            </w:r>
          </w:p>
        </w:tc>
        <w:tc>
          <w:tcPr>
            <w:tcW w:w="5783" w:type="dxa"/>
          </w:tcPr>
          <w:p>
            <w:pPr>
              <w:rPr>
                <w:rFonts w:ascii="黑体" w:hAnsi="黑体" w:eastAsia="黑体"/>
                <w:b/>
                <w:bCs/>
                <w:color w:val="auto"/>
                <w:sz w:val="28"/>
                <w:szCs w:val="21"/>
                <w:highlight w:val="none"/>
                <w:u w:val="single"/>
              </w:rPr>
            </w:pPr>
            <w:r>
              <w:rPr>
                <w:rFonts w:hint="eastAsia" w:ascii="黑体" w:hAnsi="黑体" w:eastAsia="黑体"/>
                <w:b/>
                <w:bCs/>
                <w:color w:val="auto"/>
                <w:sz w:val="28"/>
                <w:szCs w:val="21"/>
                <w:highlight w:val="none"/>
                <w:u w:val="single"/>
              </w:rPr>
              <w:t xml:space="preserve">东莞市大学创新城建设发展有限公司          </w:t>
            </w:r>
          </w:p>
        </w:tc>
      </w:tr>
      <w:tr>
        <w:tblPrEx>
          <w:tblCellMar>
            <w:top w:w="0" w:type="dxa"/>
            <w:left w:w="108" w:type="dxa"/>
            <w:bottom w:w="0" w:type="dxa"/>
            <w:right w:w="108" w:type="dxa"/>
          </w:tblCellMar>
        </w:tblPrEx>
        <w:trPr>
          <w:trHeight w:val="708" w:hRule="atLeast"/>
          <w:jc w:val="center"/>
        </w:trPr>
        <w:tc>
          <w:tcPr>
            <w:tcW w:w="2739" w:type="dxa"/>
          </w:tcPr>
          <w:p>
            <w:pPr>
              <w:rPr>
                <w:rFonts w:ascii="黑体" w:hAnsi="黑体" w:eastAsia="黑体"/>
                <w:b/>
                <w:bCs/>
                <w:color w:val="auto"/>
                <w:sz w:val="28"/>
                <w:szCs w:val="21"/>
                <w:highlight w:val="none"/>
              </w:rPr>
            </w:pPr>
            <w:r>
              <w:rPr>
                <w:rFonts w:hint="eastAsia" w:ascii="黑体" w:hAnsi="黑体" w:eastAsia="黑体"/>
                <w:b/>
                <w:bCs/>
                <w:color w:val="auto"/>
                <w:sz w:val="28"/>
                <w:szCs w:val="21"/>
                <w:highlight w:val="none"/>
              </w:rPr>
              <w:t>乙方（成交人）：</w:t>
            </w:r>
          </w:p>
        </w:tc>
        <w:tc>
          <w:tcPr>
            <w:tcW w:w="5783" w:type="dxa"/>
          </w:tcPr>
          <w:p>
            <w:pPr>
              <w:rPr>
                <w:rFonts w:ascii="黑体" w:hAnsi="黑体" w:eastAsia="黑体"/>
                <w:b/>
                <w:bCs/>
                <w:color w:val="auto"/>
                <w:sz w:val="28"/>
                <w:szCs w:val="21"/>
                <w:highlight w:val="none"/>
                <w:u w:val="single"/>
              </w:rPr>
            </w:pPr>
          </w:p>
        </w:tc>
      </w:tr>
      <w:tr>
        <w:tblPrEx>
          <w:tblCellMar>
            <w:top w:w="0" w:type="dxa"/>
            <w:left w:w="108" w:type="dxa"/>
            <w:bottom w:w="0" w:type="dxa"/>
            <w:right w:w="108" w:type="dxa"/>
          </w:tblCellMar>
        </w:tblPrEx>
        <w:trPr>
          <w:trHeight w:val="706" w:hRule="atLeast"/>
          <w:jc w:val="center"/>
        </w:trPr>
        <w:tc>
          <w:tcPr>
            <w:tcW w:w="2739" w:type="dxa"/>
          </w:tcPr>
          <w:p>
            <w:pPr>
              <w:rPr>
                <w:rFonts w:ascii="黑体" w:hAnsi="黑体" w:eastAsia="黑体"/>
                <w:b/>
                <w:bCs/>
                <w:color w:val="auto"/>
                <w:spacing w:val="9"/>
                <w:sz w:val="28"/>
                <w:szCs w:val="21"/>
                <w:highlight w:val="none"/>
              </w:rPr>
            </w:pPr>
            <w:r>
              <w:rPr>
                <w:rFonts w:hint="eastAsia" w:ascii="黑体" w:hAnsi="黑体" w:eastAsia="黑体"/>
                <w:b/>
                <w:bCs/>
                <w:color w:val="auto"/>
                <w:spacing w:val="9"/>
                <w:sz w:val="28"/>
                <w:szCs w:val="21"/>
                <w:highlight w:val="none"/>
              </w:rPr>
              <w:t>协议签订时间：</w:t>
            </w:r>
          </w:p>
        </w:tc>
        <w:tc>
          <w:tcPr>
            <w:tcW w:w="5783" w:type="dxa"/>
          </w:tcPr>
          <w:p>
            <w:pPr>
              <w:rPr>
                <w:rFonts w:ascii="黑体" w:hAnsi="黑体" w:eastAsia="黑体"/>
                <w:b/>
                <w:bCs/>
                <w:color w:val="auto"/>
                <w:sz w:val="28"/>
                <w:szCs w:val="21"/>
                <w:highlight w:val="none"/>
                <w:u w:val="single"/>
              </w:rPr>
            </w:pPr>
          </w:p>
        </w:tc>
      </w:tr>
    </w:tbl>
    <w:p>
      <w:pPr>
        <w:pStyle w:val="2"/>
        <w:rPr>
          <w:color w:val="auto"/>
          <w:highlight w:val="none"/>
        </w:rPr>
      </w:pPr>
    </w:p>
    <w:p>
      <w:pPr>
        <w:spacing w:line="240" w:lineRule="auto"/>
        <w:rPr>
          <w:rFonts w:ascii="宋体" w:hAnsi="宋体"/>
          <w:color w:val="auto"/>
          <w:szCs w:val="21"/>
          <w:highlight w:val="none"/>
        </w:rPr>
      </w:pPr>
      <w:r>
        <w:rPr>
          <w:rFonts w:hint="eastAsia" w:ascii="宋体" w:hAnsi="宋体"/>
          <w:color w:val="auto"/>
          <w:szCs w:val="21"/>
          <w:highlight w:val="none"/>
        </w:rPr>
        <w:br w:type="page"/>
      </w:r>
    </w:p>
    <w:p>
      <w:pPr>
        <w:ind w:firstLine="315" w:firstLineChars="150"/>
        <w:rPr>
          <w:rFonts w:ascii="宋体" w:hAnsi="宋体" w:cs="宋体"/>
          <w:color w:val="auto"/>
          <w:szCs w:val="21"/>
          <w:highlight w:val="none"/>
        </w:rPr>
      </w:pPr>
      <w:r>
        <w:rPr>
          <w:rFonts w:hint="eastAsia" w:ascii="宋体" w:hAnsi="宋体"/>
          <w:color w:val="auto"/>
          <w:szCs w:val="21"/>
          <w:highlight w:val="none"/>
        </w:rPr>
        <w:t>甲方（采购人）：东莞市大学创新城建设发展有限公司</w:t>
      </w:r>
    </w:p>
    <w:p>
      <w:pPr>
        <w:ind w:firstLine="315" w:firstLineChars="150"/>
        <w:rPr>
          <w:rFonts w:ascii="宋体" w:hAnsi="宋体"/>
          <w:color w:val="auto"/>
          <w:szCs w:val="21"/>
          <w:highlight w:val="none"/>
        </w:rPr>
      </w:pPr>
      <w:r>
        <w:rPr>
          <w:rFonts w:hint="eastAsia" w:ascii="宋体" w:hAnsi="宋体"/>
          <w:color w:val="auto"/>
          <w:szCs w:val="21"/>
          <w:highlight w:val="none"/>
        </w:rPr>
        <w:t xml:space="preserve">乙方（成交人）：                          </w:t>
      </w:r>
    </w:p>
    <w:p>
      <w:pPr>
        <w:ind w:firstLine="315" w:firstLineChars="150"/>
        <w:rPr>
          <w:rFonts w:ascii="宋体" w:hAnsi="宋体"/>
          <w:color w:val="auto"/>
          <w:szCs w:val="21"/>
          <w:highlight w:val="none"/>
        </w:rPr>
      </w:pPr>
      <w:r>
        <w:rPr>
          <w:rFonts w:hint="eastAsia" w:ascii="宋体" w:hAnsi="宋体"/>
          <w:color w:val="auto"/>
          <w:szCs w:val="21"/>
          <w:highlight w:val="none"/>
        </w:rPr>
        <w:t>根据《中华人民共和国民法典》及采购代理有限公司的磋商文件、成交通知书等相关资料的要求，经双方协商一致，签订本合同，共同遵守如下条款。</w:t>
      </w:r>
    </w:p>
    <w:p>
      <w:pPr>
        <w:rPr>
          <w:rFonts w:ascii="宋体" w:hAnsi="宋体"/>
          <w:b/>
          <w:bCs/>
          <w:color w:val="auto"/>
          <w:szCs w:val="21"/>
          <w:highlight w:val="none"/>
        </w:rPr>
      </w:pPr>
      <w:r>
        <w:rPr>
          <w:rFonts w:hint="eastAsia" w:ascii="宋体" w:hAnsi="宋体"/>
          <w:b/>
          <w:bCs/>
          <w:color w:val="auto"/>
          <w:szCs w:val="21"/>
          <w:highlight w:val="none"/>
        </w:rPr>
        <w:t>一、合同项目</w:t>
      </w:r>
    </w:p>
    <w:p>
      <w:pPr>
        <w:ind w:firstLine="315" w:firstLineChars="15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项目名称：松山湖国际创新创业社区保洁服务</w:t>
      </w:r>
    </w:p>
    <w:p>
      <w:pPr>
        <w:ind w:firstLine="315" w:firstLineChars="150"/>
        <w:rPr>
          <w:rFonts w:ascii="宋体" w:hAnsi="宋体" w:cs="宋体"/>
          <w:color w:val="auto"/>
          <w:szCs w:val="21"/>
          <w:highlight w:val="none"/>
          <w:lang w:val="zh-CN"/>
        </w:rPr>
      </w:pPr>
      <w:r>
        <w:rPr>
          <w:rFonts w:ascii="宋体" w:hAnsi="宋体"/>
          <w:color w:val="auto"/>
          <w:szCs w:val="21"/>
          <w:highlight w:val="none"/>
        </w:rPr>
        <w:t>1.2</w:t>
      </w:r>
      <w:r>
        <w:rPr>
          <w:rFonts w:hint="eastAsia" w:ascii="宋体" w:hAnsi="宋体"/>
          <w:color w:val="auto"/>
          <w:szCs w:val="21"/>
          <w:highlight w:val="none"/>
        </w:rPr>
        <w:t>采购编号：</w:t>
      </w:r>
    </w:p>
    <w:p>
      <w:pPr>
        <w:rPr>
          <w:rFonts w:ascii="宋体" w:hAnsi="宋体"/>
          <w:b/>
          <w:bCs/>
          <w:color w:val="auto"/>
          <w:szCs w:val="21"/>
          <w:highlight w:val="none"/>
        </w:rPr>
      </w:pPr>
      <w:r>
        <w:rPr>
          <w:rFonts w:hint="eastAsia" w:ascii="宋体" w:hAnsi="宋体"/>
          <w:b/>
          <w:bCs/>
          <w:color w:val="auto"/>
          <w:szCs w:val="21"/>
          <w:highlight w:val="none"/>
        </w:rPr>
        <w:t>二、项目概况</w:t>
      </w:r>
    </w:p>
    <w:p>
      <w:pPr>
        <w:ind w:firstLine="315" w:firstLineChars="15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s="宋体"/>
          <w:color w:val="auto"/>
          <w:szCs w:val="21"/>
          <w:highlight w:val="none"/>
          <w:lang w:val="zh-CN"/>
        </w:rPr>
        <w:t>松山湖国际创新创业社区位于松山湖，占地约397亩，总建筑面积约53万平方米，总建筑占地面积约为7万平方米，共有21个单体。项目划分为科技研发、产业孵化、商务配套及人才安居等四大功能分区</w:t>
      </w:r>
      <w:r>
        <w:rPr>
          <w:rFonts w:hint="eastAsia" w:ascii="宋体" w:hAnsi="宋体"/>
          <w:color w:val="auto"/>
          <w:szCs w:val="21"/>
          <w:highlight w:val="none"/>
        </w:rPr>
        <w:t>。</w:t>
      </w:r>
    </w:p>
    <w:p>
      <w:pPr>
        <w:ind w:firstLine="315" w:firstLineChars="15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.2</w:t>
      </w:r>
      <w:r>
        <w:rPr>
          <w:rFonts w:hint="eastAsia" w:ascii="宋体" w:hAnsi="宋体"/>
          <w:color w:val="auto"/>
          <w:szCs w:val="21"/>
          <w:highlight w:val="none"/>
        </w:rPr>
        <w:t>服务期限：</w:t>
      </w:r>
      <w:r>
        <w:rPr>
          <w:rFonts w:hint="eastAsia" w:ascii="宋体" w:hAnsi="宋体"/>
          <w:color w:val="auto"/>
          <w:szCs w:val="21"/>
          <w:highlight w:val="none"/>
          <w:u w:val="single"/>
        </w:rPr>
        <w:t xml:space="preserve">      年   月  日-   年   月  日，</w:t>
      </w:r>
      <w:r>
        <w:rPr>
          <w:rFonts w:hint="eastAsia" w:ascii="宋体" w:hAnsi="宋体"/>
          <w:color w:val="auto"/>
          <w:szCs w:val="21"/>
          <w:highlight w:val="none"/>
        </w:rPr>
        <w:t>自合同签订之日起一年。</w:t>
      </w:r>
    </w:p>
    <w:p>
      <w:pPr>
        <w:rPr>
          <w:rFonts w:ascii="宋体" w:hAnsi="宋体"/>
          <w:b/>
          <w:bCs/>
          <w:color w:val="auto"/>
          <w:szCs w:val="21"/>
          <w:highlight w:val="none"/>
        </w:rPr>
      </w:pPr>
      <w:r>
        <w:rPr>
          <w:rFonts w:hint="eastAsia" w:ascii="宋体" w:hAnsi="宋体"/>
          <w:b/>
          <w:bCs/>
          <w:color w:val="auto"/>
          <w:szCs w:val="21"/>
          <w:highlight w:val="none"/>
        </w:rPr>
        <w:t>三、合同价款</w:t>
      </w:r>
    </w:p>
    <w:p>
      <w:pPr>
        <w:ind w:firstLine="315" w:firstLineChars="150"/>
        <w:rPr>
          <w:rFonts w:ascii="宋体" w:hAnsi="宋体"/>
          <w:color w:val="auto"/>
          <w:szCs w:val="21"/>
          <w:highlight w:val="none"/>
        </w:rPr>
      </w:pPr>
      <w:r>
        <w:rPr>
          <w:rFonts w:hint="eastAsia" w:ascii="宋体" w:hAnsi="宋体"/>
          <w:color w:val="auto"/>
          <w:szCs w:val="21"/>
          <w:highlight w:val="none"/>
        </w:rPr>
        <w:t>3.1合同价款：合同含税总价为</w:t>
      </w:r>
      <w:r>
        <w:rPr>
          <w:rFonts w:hint="eastAsia" w:ascii="宋体" w:hAnsi="宋体"/>
          <w:color w:val="auto"/>
          <w:szCs w:val="21"/>
          <w:highlight w:val="none"/>
          <w:u w:val="single"/>
        </w:rPr>
        <w:t xml:space="preserve">￥        </w:t>
      </w:r>
      <w:r>
        <w:rPr>
          <w:rFonts w:hint="eastAsia" w:ascii="宋体" w:hAnsi="宋体"/>
          <w:color w:val="auto"/>
          <w:szCs w:val="21"/>
          <w:highlight w:val="none"/>
        </w:rPr>
        <w:t>元（大写人民币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元整）；增值税税率：</w:t>
      </w:r>
      <w:r>
        <w:rPr>
          <w:rFonts w:hint="eastAsia" w:ascii="宋体" w:hAnsi="宋体"/>
          <w:color w:val="auto"/>
          <w:szCs w:val="21"/>
          <w:highlight w:val="none"/>
          <w:u w:val="single"/>
        </w:rPr>
        <w:t xml:space="preserve">  6  </w:t>
      </w:r>
      <w:r>
        <w:rPr>
          <w:rFonts w:hint="eastAsia" w:ascii="宋体" w:hAnsi="宋体"/>
          <w:color w:val="auto"/>
          <w:szCs w:val="21"/>
          <w:highlight w:val="none"/>
        </w:rPr>
        <w:t>%，税金金额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元，不含税合同总价款为</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pStyle w:val="2"/>
        <w:widowControl w:val="0"/>
        <w:autoSpaceDE w:val="0"/>
        <w:autoSpaceDN w:val="0"/>
        <w:snapToGrid/>
        <w:ind w:left="0" w:firstLine="420" w:firstLineChars="200"/>
        <w:jc w:val="both"/>
        <w:rPr>
          <w:color w:val="auto"/>
          <w:sz w:val="21"/>
          <w:szCs w:val="21"/>
          <w:highlight w:val="none"/>
          <w:lang w:val="en-US"/>
        </w:rPr>
      </w:pPr>
      <w:r>
        <w:rPr>
          <w:rFonts w:hint="eastAsia"/>
          <w:color w:val="auto"/>
          <w:sz w:val="21"/>
          <w:szCs w:val="21"/>
          <w:highlight w:val="none"/>
          <w:lang w:val="en-US"/>
        </w:rPr>
        <w:t>按照现行税收政策规定，每次付款前，乙方必须提供合法有效、与本合同总价款条款中增值税税率一致的增值税发票给甲方，</w:t>
      </w:r>
      <w:r>
        <w:rPr>
          <w:rFonts w:hint="eastAsia"/>
          <w:color w:val="auto"/>
          <w:sz w:val="21"/>
          <w:szCs w:val="21"/>
          <w:highlight w:val="none"/>
        </w:rPr>
        <w:t>且发票名称必需与甲方、乙方完全一致</w:t>
      </w:r>
      <w:r>
        <w:rPr>
          <w:rFonts w:hint="eastAsia"/>
          <w:color w:val="auto"/>
          <w:sz w:val="21"/>
          <w:szCs w:val="21"/>
          <w:highlight w:val="none"/>
          <w:lang w:val="en-US"/>
        </w:rPr>
        <w:t>，否则甲方有权拒绝付款且不构成违约。若合同执行期间，如遇国家的税率调整，按最新政策税率执行，结算时按不含税价*新税率调整。如果因乙方怠于或者拒绝提供资料或者办理手续等乙方原因导致的付款迟延，责任全部由乙方承担，甲方不以违约论。</w:t>
      </w:r>
    </w:p>
    <w:p>
      <w:pPr>
        <w:ind w:firstLine="315" w:firstLineChars="150"/>
        <w:rPr>
          <w:rFonts w:ascii="宋体" w:hAnsi="宋体"/>
          <w:color w:val="auto"/>
          <w:szCs w:val="21"/>
          <w:highlight w:val="none"/>
        </w:rPr>
      </w:pPr>
    </w:p>
    <w:p>
      <w:pPr>
        <w:ind w:firstLine="312" w:firstLineChars="149"/>
        <w:rPr>
          <w:rFonts w:ascii="宋体" w:hAnsi="宋体"/>
          <w:b/>
          <w:bCs/>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2 </w:t>
      </w:r>
      <w:r>
        <w:rPr>
          <w:rFonts w:hint="eastAsia" w:ascii="宋体" w:hAnsi="宋体"/>
          <w:b/>
          <w:bCs/>
          <w:color w:val="auto"/>
          <w:szCs w:val="21"/>
          <w:highlight w:val="none"/>
        </w:rPr>
        <w:t>付款方式</w:t>
      </w:r>
    </w:p>
    <w:p>
      <w:pPr>
        <w:spacing w:line="222" w:lineRule="auto"/>
        <w:ind w:firstLine="420" w:firstLineChars="200"/>
        <w:rPr>
          <w:rFonts w:ascii="宋体" w:hAnsi="宋体"/>
          <w:color w:val="auto"/>
          <w:szCs w:val="21"/>
          <w:highlight w:val="none"/>
        </w:rPr>
      </w:pPr>
      <w:r>
        <w:rPr>
          <w:rFonts w:hint="eastAsia" w:ascii="宋体" w:hAnsi="宋体"/>
          <w:color w:val="auto"/>
          <w:szCs w:val="21"/>
          <w:highlight w:val="none"/>
        </w:rPr>
        <w:t>服务费支付：每月15号前，供应商向甲方提供上月的请款表、考核表及相关请款文件，甲方审核无误后将双方确认的费用支付供应商指定的银行，如遇节假日顺延，如有特殊情况，双方协商。</w:t>
      </w:r>
    </w:p>
    <w:p>
      <w:pPr>
        <w:spacing w:line="222" w:lineRule="auto"/>
        <w:rPr>
          <w:rFonts w:ascii="宋体" w:hAnsi="宋体"/>
          <w:color w:val="auto"/>
          <w:szCs w:val="21"/>
          <w:highlight w:val="none"/>
        </w:rPr>
      </w:pPr>
      <w:r>
        <w:rPr>
          <w:rFonts w:hint="eastAsia" w:ascii="宋体" w:hAnsi="宋体"/>
          <w:color w:val="auto"/>
          <w:szCs w:val="21"/>
          <w:highlight w:val="none"/>
        </w:rPr>
        <w:t>乙方指定收款账户如下：</w:t>
      </w:r>
    </w:p>
    <w:p>
      <w:pPr>
        <w:spacing w:line="222" w:lineRule="auto"/>
        <w:rPr>
          <w:rFonts w:ascii="宋体" w:hAnsi="宋体"/>
          <w:color w:val="auto"/>
          <w:szCs w:val="21"/>
          <w:highlight w:val="none"/>
        </w:rPr>
      </w:pPr>
      <w:r>
        <w:rPr>
          <w:rFonts w:hint="eastAsia" w:ascii="宋体" w:hAnsi="宋体"/>
          <w:color w:val="auto"/>
          <w:szCs w:val="21"/>
          <w:highlight w:val="none"/>
        </w:rPr>
        <w:t>开户行：</w:t>
      </w:r>
    </w:p>
    <w:p>
      <w:pPr>
        <w:spacing w:line="222" w:lineRule="auto"/>
        <w:rPr>
          <w:rFonts w:ascii="宋体" w:hAnsi="宋体"/>
          <w:color w:val="auto"/>
          <w:szCs w:val="21"/>
          <w:highlight w:val="none"/>
        </w:rPr>
      </w:pPr>
      <w:r>
        <w:rPr>
          <w:rFonts w:hint="eastAsia" w:ascii="宋体" w:hAnsi="宋体"/>
          <w:color w:val="auto"/>
          <w:szCs w:val="21"/>
          <w:highlight w:val="none"/>
        </w:rPr>
        <w:t>开户名：</w:t>
      </w:r>
    </w:p>
    <w:p>
      <w:pPr>
        <w:spacing w:line="222" w:lineRule="auto"/>
        <w:rPr>
          <w:rFonts w:ascii="宋体" w:hAnsi="宋体"/>
          <w:color w:val="auto"/>
          <w:szCs w:val="21"/>
          <w:highlight w:val="none"/>
        </w:rPr>
      </w:pPr>
      <w:r>
        <w:rPr>
          <w:rFonts w:hint="eastAsia" w:ascii="宋体" w:hAnsi="宋体"/>
          <w:color w:val="auto"/>
          <w:szCs w:val="21"/>
          <w:highlight w:val="none"/>
        </w:rPr>
        <w:t>账  号：</w:t>
      </w:r>
    </w:p>
    <w:p>
      <w:pPr>
        <w:spacing w:line="22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年终双薪在每年12月份根据员工在岗情况据实结算。</w:t>
      </w:r>
    </w:p>
    <w:p>
      <w:pPr>
        <w:spacing w:line="22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合同价格清单中不含服装费及节假日慰问金。由甲方根据实际情况另行采购、发放，若由乙方实施或代付，可在预算金额内按实报销，不另计服务管理费及税金。</w:t>
      </w:r>
    </w:p>
    <w:p>
      <w:pPr>
        <w:rPr>
          <w:rFonts w:ascii="宋体" w:hAnsi="宋体"/>
          <w:b/>
          <w:bCs/>
          <w:color w:val="auto"/>
          <w:szCs w:val="21"/>
          <w:highlight w:val="none"/>
        </w:rPr>
      </w:pPr>
      <w:r>
        <w:rPr>
          <w:rFonts w:hint="eastAsia" w:ascii="宋体" w:hAnsi="宋体"/>
          <w:b/>
          <w:bCs/>
          <w:color w:val="auto"/>
          <w:szCs w:val="21"/>
          <w:highlight w:val="none"/>
        </w:rPr>
        <w:t>四、履约担保</w:t>
      </w:r>
    </w:p>
    <w:p>
      <w:pPr>
        <w:ind w:firstLine="315" w:firstLineChars="150"/>
        <w:rPr>
          <w:rFonts w:ascii="宋体" w:hAnsi="宋体"/>
          <w:bCs/>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乙方在协议采购合同签署前须提交履约担保，履约担保金额为：人民币拾万元整（RMB：</w:t>
      </w:r>
      <w:r>
        <w:rPr>
          <w:rFonts w:hint="eastAsia" w:ascii="宋体" w:hAnsi="宋体"/>
          <w:bCs/>
          <w:color w:val="auto"/>
          <w:szCs w:val="21"/>
          <w:highlight w:val="none"/>
          <w:u w:val="single"/>
        </w:rPr>
        <w:t xml:space="preserve">￥              </w:t>
      </w:r>
      <w:r>
        <w:rPr>
          <w:rFonts w:hint="eastAsia" w:ascii="宋体" w:hAnsi="宋体"/>
          <w:bCs/>
          <w:color w:val="auto"/>
          <w:szCs w:val="21"/>
          <w:highlight w:val="none"/>
        </w:rPr>
        <w:t>）。担保期限从协议采购合同签订之日起至协议服务资格年限到期后30天内保持有效。否则甲方可取消乙方的成交资格。给甲方造成的损失超过磋商响应担保数额的，还应当由其对超过部分予以赔偿，并依法追究其责任。</w:t>
      </w:r>
    </w:p>
    <w:p>
      <w:pPr>
        <w:ind w:firstLine="315" w:firstLineChars="15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.2</w:t>
      </w:r>
      <w:r>
        <w:rPr>
          <w:rFonts w:hint="eastAsia" w:ascii="宋体" w:hAnsi="宋体"/>
          <w:color w:val="auto"/>
          <w:szCs w:val="21"/>
          <w:highlight w:val="none"/>
        </w:rPr>
        <w:t>履约担保采用保证金形式：</w:t>
      </w:r>
    </w:p>
    <w:p>
      <w:pPr>
        <w:ind w:firstLine="315" w:firstLineChars="15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.2.1</w:t>
      </w:r>
      <w:r>
        <w:rPr>
          <w:rFonts w:hint="eastAsia" w:ascii="宋体" w:hAnsi="宋体"/>
          <w:color w:val="auto"/>
          <w:szCs w:val="21"/>
          <w:highlight w:val="none"/>
        </w:rPr>
        <w:t>可采用银行转帐或电汇方式提交，但不可以采用现金方式提交。乙方必须保证资金以乙方的名称在协议采购合同签订前汇入甲方指定的帐户（以银行收到为准）。</w:t>
      </w:r>
    </w:p>
    <w:p>
      <w:pPr>
        <w:ind w:firstLine="315" w:firstLineChars="15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.2.2</w:t>
      </w:r>
      <w:r>
        <w:rPr>
          <w:rFonts w:hint="eastAsia" w:ascii="宋体" w:hAnsi="宋体"/>
          <w:color w:val="auto"/>
          <w:szCs w:val="21"/>
          <w:highlight w:val="none"/>
        </w:rPr>
        <w:t>乙方采用专业担保机构出具的</w:t>
      </w:r>
      <w:r>
        <w:rPr>
          <w:rFonts w:ascii="宋体" w:hAnsi="宋体"/>
          <w:color w:val="auto"/>
          <w:szCs w:val="21"/>
          <w:highlight w:val="none"/>
        </w:rPr>
        <w:t>履约担保函</w:t>
      </w:r>
      <w:r>
        <w:rPr>
          <w:rFonts w:hint="eastAsia" w:ascii="宋体" w:hAnsi="宋体"/>
          <w:color w:val="auto"/>
          <w:szCs w:val="21"/>
          <w:highlight w:val="none"/>
        </w:rPr>
        <w:t>或银行保函</w:t>
      </w:r>
      <w:r>
        <w:rPr>
          <w:rFonts w:ascii="宋体" w:hAnsi="宋体"/>
          <w:color w:val="auto"/>
          <w:szCs w:val="21"/>
          <w:highlight w:val="none"/>
        </w:rPr>
        <w:t>的形式交纳履约保证金</w:t>
      </w:r>
      <w:r>
        <w:rPr>
          <w:rFonts w:hint="eastAsia" w:ascii="宋体" w:hAnsi="宋体"/>
          <w:color w:val="auto"/>
          <w:szCs w:val="21"/>
          <w:highlight w:val="none"/>
        </w:rPr>
        <w:t>。</w:t>
      </w:r>
    </w:p>
    <w:p>
      <w:pPr>
        <w:ind w:firstLine="315" w:firstLineChars="150"/>
        <w:rPr>
          <w:rFonts w:ascii="宋体" w:hAnsi="宋体"/>
          <w:color w:val="auto"/>
          <w:szCs w:val="21"/>
          <w:highlight w:val="none"/>
        </w:rPr>
      </w:pPr>
      <w:r>
        <w:rPr>
          <w:rFonts w:ascii="宋体" w:hAnsi="宋体"/>
          <w:color w:val="auto"/>
          <w:szCs w:val="21"/>
          <w:highlight w:val="none"/>
        </w:rPr>
        <w:t>4.3</w:t>
      </w:r>
      <w:r>
        <w:rPr>
          <w:rFonts w:hint="eastAsia" w:ascii="宋体" w:hAnsi="宋体"/>
          <w:color w:val="auto"/>
          <w:szCs w:val="21"/>
          <w:highlight w:val="none"/>
        </w:rPr>
        <w:t>履约保证金退回：乙方在依法履行完协议采购合同后，乙方可向甲方提交退回履约保证金申请，甲方收到乙方的退回履约保证金申请后，办理履约保证金退回手续。</w:t>
      </w:r>
    </w:p>
    <w:p>
      <w:pPr>
        <w:ind w:firstLine="315" w:firstLineChars="150"/>
        <w:rPr>
          <w:rFonts w:ascii="宋体" w:hAnsi="宋体"/>
          <w:color w:val="auto"/>
          <w:szCs w:val="21"/>
          <w:highlight w:val="none"/>
        </w:rPr>
      </w:pPr>
      <w:r>
        <w:rPr>
          <w:rFonts w:ascii="宋体" w:hAnsi="宋体"/>
          <w:color w:val="auto"/>
          <w:szCs w:val="21"/>
          <w:highlight w:val="none"/>
        </w:rPr>
        <w:t>4.4</w:t>
      </w:r>
      <w:r>
        <w:rPr>
          <w:rFonts w:hint="eastAsia" w:ascii="宋体" w:hAnsi="宋体"/>
          <w:color w:val="auto"/>
          <w:szCs w:val="21"/>
          <w:highlight w:val="none"/>
        </w:rPr>
        <w:t>下列任何情况发生时，甲方有权行使享有的担保权利：</w:t>
      </w:r>
    </w:p>
    <w:p>
      <w:pPr>
        <w:ind w:firstLine="210" w:firstLineChars="100"/>
        <w:rPr>
          <w:rFonts w:ascii="宋体" w:hAnsi="宋体"/>
          <w:bCs/>
          <w:color w:val="auto"/>
          <w:szCs w:val="21"/>
          <w:highlight w:val="none"/>
        </w:rPr>
      </w:pPr>
      <w:r>
        <w:rPr>
          <w:rFonts w:hint="eastAsia" w:ascii="宋体" w:hAnsi="宋体"/>
          <w:bCs/>
          <w:color w:val="auto"/>
          <w:szCs w:val="21"/>
          <w:highlight w:val="none"/>
        </w:rPr>
        <w:t>（1）乙方将本项目包转让给他人，或者在磋商响应文件中未说明，且未经甲方同意，将委托项目包分包给他人的；</w:t>
      </w:r>
    </w:p>
    <w:p>
      <w:pPr>
        <w:ind w:firstLine="210" w:firstLineChars="100"/>
        <w:rPr>
          <w:rFonts w:ascii="宋体" w:hAnsi="宋体"/>
          <w:bCs/>
          <w:color w:val="auto"/>
          <w:szCs w:val="21"/>
          <w:highlight w:val="none"/>
        </w:rPr>
      </w:pPr>
      <w:r>
        <w:rPr>
          <w:rFonts w:hint="eastAsia" w:ascii="宋体" w:hAnsi="宋体"/>
          <w:bCs/>
          <w:color w:val="auto"/>
          <w:szCs w:val="21"/>
          <w:highlight w:val="none"/>
        </w:rPr>
        <w:t>（2）乙方在履行协议采购合同期间，违反有关法律法规的规定及合同约定的条款，损害了甲方的利益。</w:t>
      </w:r>
    </w:p>
    <w:p>
      <w:pPr>
        <w:rPr>
          <w:rFonts w:ascii="宋体" w:hAnsi="宋体"/>
          <w:b/>
          <w:bCs/>
          <w:color w:val="auto"/>
          <w:szCs w:val="21"/>
          <w:highlight w:val="none"/>
        </w:rPr>
      </w:pPr>
      <w:r>
        <w:rPr>
          <w:rFonts w:hint="eastAsia" w:ascii="宋体" w:hAnsi="宋体"/>
          <w:b/>
          <w:bCs/>
          <w:color w:val="auto"/>
          <w:szCs w:val="21"/>
          <w:highlight w:val="none"/>
        </w:rPr>
        <w:t>五、整体服务要求</w:t>
      </w:r>
    </w:p>
    <w:p>
      <w:pPr>
        <w:pStyle w:val="18"/>
        <w:ind w:left="0" w:firstLine="420" w:firstLineChars="200"/>
        <w:rPr>
          <w:rFonts w:ascii="宋体" w:hAnsi="宋体"/>
          <w:bCs/>
          <w:color w:val="auto"/>
          <w:szCs w:val="21"/>
          <w:highlight w:val="none"/>
        </w:rPr>
      </w:pPr>
      <w:r>
        <w:rPr>
          <w:rFonts w:hint="eastAsia" w:ascii="宋体" w:hAnsi="宋体"/>
          <w:bCs/>
          <w:color w:val="auto"/>
          <w:szCs w:val="21"/>
          <w:highlight w:val="none"/>
        </w:rPr>
        <w:t>5.1 服务范围：</w:t>
      </w:r>
    </w:p>
    <w:p>
      <w:pPr>
        <w:pStyle w:val="18"/>
        <w:ind w:left="0" w:firstLine="420" w:firstLineChars="200"/>
        <w:rPr>
          <w:rFonts w:ascii="宋体" w:hAnsi="宋体"/>
          <w:bCs/>
          <w:color w:val="auto"/>
          <w:szCs w:val="21"/>
          <w:highlight w:val="none"/>
          <w:u w:val="single"/>
        </w:rPr>
      </w:pPr>
      <w:r>
        <w:rPr>
          <w:rFonts w:hint="eastAsia" w:ascii="宋体" w:hAnsi="宋体"/>
          <w:bCs/>
          <w:color w:val="auto"/>
          <w:szCs w:val="21"/>
          <w:highlight w:val="none"/>
        </w:rPr>
        <w:t>服务范围：</w:t>
      </w:r>
      <w:r>
        <w:rPr>
          <w:rFonts w:hint="eastAsia" w:ascii="宋体" w:hAnsi="宋体"/>
          <w:bCs/>
          <w:color w:val="auto"/>
          <w:szCs w:val="21"/>
          <w:highlight w:val="none"/>
          <w:u w:val="single"/>
        </w:rPr>
        <w:t>园区范围内所有的公共区域：包括室外广场、绿化、道路、阳台、露台、天台，地上及地下停车场，室内各楼层，大堂、公共走廊、过道；消防楼梯/消防通道、电梯厅（含电梯厅及其前室、通道）、电梯（含扶梯、客梯、货梯、转换梯、消防梯等）、前室、值班室、垃圾房、工具间、茶水间、洗手间、设备房等；消防门、公共设施设备、门窗、玻璃、标识牌、广告灯箱、灯具、屋面、雨棚、绿化带、管道、管井、地沟、空中花园等。</w:t>
      </w:r>
    </w:p>
    <w:p>
      <w:pPr>
        <w:pStyle w:val="18"/>
        <w:ind w:left="0" w:firstLine="420" w:firstLineChars="200"/>
        <w:rPr>
          <w:rFonts w:ascii="宋体" w:hAnsi="宋体"/>
          <w:bCs/>
          <w:color w:val="auto"/>
          <w:szCs w:val="21"/>
          <w:highlight w:val="none"/>
        </w:rPr>
      </w:pPr>
      <w:r>
        <w:rPr>
          <w:rFonts w:hint="eastAsia" w:ascii="宋体" w:hAnsi="宋体"/>
          <w:bCs/>
          <w:color w:val="auto"/>
          <w:szCs w:val="21"/>
          <w:highlight w:val="none"/>
        </w:rPr>
        <w:t>5.2 本项目人员配置及设备配置要求：</w:t>
      </w:r>
    </w:p>
    <w:p>
      <w:pPr>
        <w:pStyle w:val="18"/>
        <w:ind w:left="0" w:firstLine="420" w:firstLineChars="200"/>
        <w:rPr>
          <w:rFonts w:ascii="宋体" w:hAnsi="宋体"/>
          <w:bCs/>
          <w:color w:val="auto"/>
          <w:szCs w:val="21"/>
          <w:highlight w:val="none"/>
        </w:rPr>
      </w:pPr>
      <w:r>
        <w:rPr>
          <w:rFonts w:hint="eastAsia" w:ascii="宋体" w:hAnsi="宋体"/>
          <w:bCs/>
          <w:color w:val="auto"/>
          <w:szCs w:val="21"/>
          <w:highlight w:val="none"/>
        </w:rPr>
        <w:t>5.2.1人员配置：</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71"/>
        <w:gridCol w:w="1165"/>
        <w:gridCol w:w="17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bottom"/>
          </w:tcPr>
          <w:p>
            <w:pPr>
              <w:pStyle w:val="18"/>
              <w:ind w:left="0"/>
              <w:rPr>
                <w:rFonts w:ascii="宋体" w:hAnsi="宋体"/>
                <w:bCs/>
                <w:color w:val="auto"/>
                <w:szCs w:val="21"/>
                <w:highlight w:val="none"/>
              </w:rPr>
            </w:pPr>
            <w:r>
              <w:rPr>
                <w:rFonts w:hint="eastAsia" w:ascii="宋体" w:hAnsi="宋体"/>
                <w:bCs/>
                <w:color w:val="auto"/>
                <w:szCs w:val="21"/>
                <w:highlight w:val="none"/>
              </w:rPr>
              <w:t>序号</w:t>
            </w:r>
          </w:p>
        </w:tc>
        <w:tc>
          <w:tcPr>
            <w:tcW w:w="2171" w:type="dxa"/>
            <w:vAlign w:val="bottom"/>
          </w:tcPr>
          <w:p>
            <w:pPr>
              <w:pStyle w:val="18"/>
              <w:ind w:left="0"/>
              <w:rPr>
                <w:rFonts w:ascii="宋体" w:hAnsi="宋体"/>
                <w:bCs/>
                <w:color w:val="auto"/>
                <w:szCs w:val="21"/>
                <w:highlight w:val="none"/>
              </w:rPr>
            </w:pPr>
            <w:r>
              <w:rPr>
                <w:rFonts w:hint="eastAsia" w:ascii="宋体" w:hAnsi="宋体"/>
                <w:bCs/>
                <w:color w:val="auto"/>
                <w:szCs w:val="21"/>
                <w:highlight w:val="none"/>
              </w:rPr>
              <w:t>栋号</w:t>
            </w:r>
          </w:p>
        </w:tc>
        <w:tc>
          <w:tcPr>
            <w:tcW w:w="1165"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楼层数</w:t>
            </w:r>
          </w:p>
        </w:tc>
        <w:tc>
          <w:tcPr>
            <w:tcW w:w="1736"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地库层数</w:t>
            </w:r>
          </w:p>
        </w:tc>
        <w:tc>
          <w:tcPr>
            <w:tcW w:w="276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最低人员配置（</w:t>
            </w:r>
            <w:r>
              <w:rPr>
                <w:rFonts w:hint="eastAsia" w:ascii="宋体" w:hAnsi="宋体"/>
                <w:bCs/>
                <w:color w:val="auto"/>
                <w:szCs w:val="21"/>
                <w:highlight w:val="none"/>
                <w:u w:val="single"/>
              </w:rPr>
              <w:t xml:space="preserve">   </w:t>
            </w:r>
            <w:r>
              <w:rPr>
                <w:rFonts w:hint="eastAsia" w:ascii="宋体" w:hAnsi="宋体"/>
                <w:bCs/>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A1</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2</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A2</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3</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A3</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4</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A4</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A5</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20</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6</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B1</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7</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B2</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8</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C1A</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9</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9</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C1B</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6</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10</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D1</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9</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11</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D2</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7</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12</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D3</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13</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五期二A塔</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12</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2</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14</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五期二B塔</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26</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2</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15</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G1</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16</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G2</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17</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G3</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18</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G4</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20</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19</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H1</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11</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20</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H2</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24</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21</w:t>
            </w:r>
          </w:p>
        </w:tc>
        <w:tc>
          <w:tcPr>
            <w:tcW w:w="2171" w:type="dxa"/>
          </w:tcPr>
          <w:p>
            <w:pPr>
              <w:pStyle w:val="18"/>
              <w:ind w:left="0"/>
              <w:rPr>
                <w:rFonts w:ascii="宋体" w:hAnsi="宋体"/>
                <w:bCs/>
                <w:color w:val="auto"/>
                <w:szCs w:val="21"/>
                <w:highlight w:val="none"/>
              </w:rPr>
            </w:pPr>
            <w:r>
              <w:rPr>
                <w:rFonts w:hint="eastAsia" w:ascii="宋体" w:hAnsi="宋体"/>
                <w:bCs/>
                <w:color w:val="auto"/>
                <w:szCs w:val="21"/>
                <w:highlight w:val="none"/>
              </w:rPr>
              <w:t>H3</w:t>
            </w:r>
          </w:p>
        </w:tc>
        <w:tc>
          <w:tcPr>
            <w:tcW w:w="1165" w:type="dxa"/>
          </w:tcPr>
          <w:p>
            <w:pPr>
              <w:pStyle w:val="18"/>
              <w:ind w:left="0"/>
              <w:rPr>
                <w:rFonts w:ascii="宋体" w:hAnsi="宋体"/>
                <w:bCs/>
                <w:color w:val="auto"/>
                <w:szCs w:val="21"/>
                <w:highlight w:val="none"/>
              </w:rPr>
            </w:pPr>
            <w:r>
              <w:rPr>
                <w:rFonts w:hint="eastAsia" w:ascii="宋体" w:hAnsi="宋体"/>
                <w:bCs/>
                <w:color w:val="auto"/>
                <w:szCs w:val="21"/>
                <w:highlight w:val="none"/>
              </w:rPr>
              <w:t>29</w:t>
            </w:r>
          </w:p>
        </w:tc>
        <w:tc>
          <w:tcPr>
            <w:tcW w:w="1736" w:type="dxa"/>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2767" w:type="dxa"/>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22</w:t>
            </w:r>
          </w:p>
        </w:tc>
        <w:tc>
          <w:tcPr>
            <w:tcW w:w="217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A区、G区、H区、BC区、商铺、外围地面清扫</w:t>
            </w:r>
          </w:p>
        </w:tc>
        <w:tc>
          <w:tcPr>
            <w:tcW w:w="1165"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w:t>
            </w:r>
          </w:p>
        </w:tc>
        <w:tc>
          <w:tcPr>
            <w:tcW w:w="1736"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w:t>
            </w:r>
          </w:p>
        </w:tc>
        <w:tc>
          <w:tcPr>
            <w:tcW w:w="2767" w:type="dxa"/>
            <w:vAlign w:val="center"/>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23</w:t>
            </w:r>
          </w:p>
        </w:tc>
        <w:tc>
          <w:tcPr>
            <w:tcW w:w="217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领班兼机动</w:t>
            </w:r>
          </w:p>
        </w:tc>
        <w:tc>
          <w:tcPr>
            <w:tcW w:w="1165"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w:t>
            </w:r>
          </w:p>
        </w:tc>
        <w:tc>
          <w:tcPr>
            <w:tcW w:w="1736"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w:t>
            </w:r>
          </w:p>
        </w:tc>
        <w:tc>
          <w:tcPr>
            <w:tcW w:w="2767" w:type="dxa"/>
            <w:vAlign w:val="center"/>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18"/>
              <w:ind w:left="0"/>
              <w:rPr>
                <w:rFonts w:ascii="宋体" w:hAnsi="宋体"/>
                <w:bCs/>
                <w:color w:val="auto"/>
                <w:szCs w:val="21"/>
                <w:highlight w:val="none"/>
              </w:rPr>
            </w:pPr>
            <w:r>
              <w:rPr>
                <w:rFonts w:hint="eastAsia" w:ascii="宋体" w:hAnsi="宋体"/>
                <w:bCs/>
                <w:color w:val="auto"/>
                <w:szCs w:val="21"/>
                <w:highlight w:val="none"/>
              </w:rPr>
              <w:t>24</w:t>
            </w:r>
          </w:p>
        </w:tc>
        <w:tc>
          <w:tcPr>
            <w:tcW w:w="217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项目负责人</w:t>
            </w:r>
          </w:p>
        </w:tc>
        <w:tc>
          <w:tcPr>
            <w:tcW w:w="1165"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w:t>
            </w:r>
          </w:p>
        </w:tc>
        <w:tc>
          <w:tcPr>
            <w:tcW w:w="1736"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w:t>
            </w:r>
          </w:p>
        </w:tc>
        <w:tc>
          <w:tcPr>
            <w:tcW w:w="2767" w:type="dxa"/>
            <w:vAlign w:val="center"/>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25</w:t>
            </w:r>
          </w:p>
        </w:tc>
        <w:tc>
          <w:tcPr>
            <w:tcW w:w="217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共计（其中，中午、夜间值班3人，12小时/人）</w:t>
            </w:r>
          </w:p>
        </w:tc>
        <w:tc>
          <w:tcPr>
            <w:tcW w:w="1165" w:type="dxa"/>
            <w:vAlign w:val="center"/>
          </w:tcPr>
          <w:p>
            <w:pPr>
              <w:pStyle w:val="18"/>
              <w:ind w:left="0"/>
              <w:rPr>
                <w:rFonts w:ascii="宋体" w:hAnsi="宋体"/>
                <w:bCs/>
                <w:color w:val="auto"/>
                <w:szCs w:val="21"/>
                <w:highlight w:val="none"/>
              </w:rPr>
            </w:pPr>
          </w:p>
        </w:tc>
        <w:tc>
          <w:tcPr>
            <w:tcW w:w="1736" w:type="dxa"/>
            <w:vAlign w:val="center"/>
          </w:tcPr>
          <w:p>
            <w:pPr>
              <w:pStyle w:val="18"/>
              <w:ind w:left="0"/>
              <w:rPr>
                <w:rFonts w:ascii="宋体" w:hAnsi="宋体"/>
                <w:bCs/>
                <w:color w:val="auto"/>
                <w:szCs w:val="21"/>
                <w:highlight w:val="none"/>
              </w:rPr>
            </w:pPr>
          </w:p>
        </w:tc>
        <w:tc>
          <w:tcPr>
            <w:tcW w:w="2767" w:type="dxa"/>
            <w:vAlign w:val="center"/>
          </w:tcPr>
          <w:p>
            <w:pPr>
              <w:pStyle w:val="18"/>
              <w:ind w:left="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9" w:type="dxa"/>
            <w:gridSpan w:val="5"/>
            <w:vAlign w:val="center"/>
          </w:tcPr>
          <w:p>
            <w:pPr>
              <w:pStyle w:val="18"/>
              <w:ind w:left="0"/>
              <w:jc w:val="center"/>
              <w:rPr>
                <w:rFonts w:ascii="宋体" w:hAnsi="宋体"/>
                <w:bCs/>
                <w:color w:val="auto"/>
                <w:szCs w:val="21"/>
                <w:highlight w:val="none"/>
              </w:rPr>
            </w:pPr>
          </w:p>
        </w:tc>
      </w:tr>
    </w:tbl>
    <w:p>
      <w:pPr>
        <w:pStyle w:val="18"/>
        <w:ind w:left="0" w:firstLine="420" w:firstLineChars="200"/>
        <w:rPr>
          <w:rFonts w:ascii="宋体" w:hAnsi="宋体"/>
          <w:bCs/>
          <w:color w:val="auto"/>
          <w:szCs w:val="21"/>
          <w:highlight w:val="none"/>
        </w:rPr>
      </w:pPr>
      <w:r>
        <w:rPr>
          <w:rFonts w:hint="eastAsia" w:ascii="宋体" w:hAnsi="宋体"/>
          <w:bCs/>
          <w:color w:val="auto"/>
          <w:szCs w:val="21"/>
          <w:highlight w:val="none"/>
        </w:rPr>
        <w:t>5.2.2最低设备配置要求（需</w:t>
      </w:r>
      <w:r>
        <w:rPr>
          <w:rFonts w:ascii="宋体" w:hAnsi="宋体"/>
          <w:bCs/>
          <w:color w:val="auto"/>
          <w:szCs w:val="21"/>
          <w:highlight w:val="none"/>
        </w:rPr>
        <w:t>9</w:t>
      </w:r>
      <w:r>
        <w:rPr>
          <w:rFonts w:hint="eastAsia" w:ascii="宋体" w:hAnsi="宋体"/>
          <w:bCs/>
          <w:color w:val="auto"/>
          <w:szCs w:val="21"/>
          <w:highlight w:val="none"/>
        </w:rPr>
        <w:t>成新以上）：</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315"/>
        <w:gridCol w:w="881"/>
        <w:gridCol w:w="1560"/>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序号</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设备名称</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单位</w:t>
            </w:r>
          </w:p>
        </w:tc>
        <w:tc>
          <w:tcPr>
            <w:tcW w:w="1560"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数量</w:t>
            </w:r>
          </w:p>
        </w:tc>
        <w:tc>
          <w:tcPr>
            <w:tcW w:w="264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电动三轮车</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辆</w:t>
            </w:r>
          </w:p>
        </w:tc>
        <w:tc>
          <w:tcPr>
            <w:tcW w:w="1560" w:type="dxa"/>
            <w:vAlign w:val="center"/>
          </w:tcPr>
          <w:p>
            <w:pPr>
              <w:pStyle w:val="18"/>
              <w:ind w:left="0"/>
              <w:jc w:val="center"/>
              <w:rPr>
                <w:rFonts w:ascii="宋体" w:hAnsi="宋体"/>
                <w:bCs/>
                <w:color w:val="auto"/>
                <w:szCs w:val="21"/>
                <w:highlight w:val="none"/>
              </w:rPr>
            </w:pP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运送清洁工具及物资及清运垃圾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高压冲洗机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冲洗地面、地毯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3</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全自动洗地机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刷洗地库、道路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4</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手推式洗地机（电瓶式）</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刷洗地库、道路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5</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驾驶式扫地机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清扫地库、道路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6</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单擦机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清除地面顽固污渍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7</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晶面抛光机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大理石晶面养护、抛光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8</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鼓风机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清除洗手间异味、加快地面干燥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9</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吸尘/吸水机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其他区域吸尘作业。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7"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10</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晶面手磨机</w:t>
            </w:r>
          </w:p>
        </w:tc>
        <w:tc>
          <w:tcPr>
            <w:tcW w:w="881"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台</w:t>
            </w:r>
          </w:p>
        </w:tc>
        <w:tc>
          <w:tcPr>
            <w:tcW w:w="1560" w:type="dxa"/>
            <w:vAlign w:val="center"/>
          </w:tcPr>
          <w:p>
            <w:pPr>
              <w:pStyle w:val="18"/>
              <w:ind w:left="0"/>
              <w:jc w:val="center"/>
              <w:rPr>
                <w:rFonts w:ascii="宋体" w:hAnsi="宋体"/>
                <w:bCs/>
                <w:color w:val="auto"/>
                <w:szCs w:val="21"/>
                <w:highlight w:val="none"/>
              </w:rPr>
            </w:pPr>
          </w:p>
        </w:tc>
        <w:tc>
          <w:tcPr>
            <w:tcW w:w="264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用于壁面大理石晶面养护</w:t>
            </w:r>
          </w:p>
        </w:tc>
      </w:tr>
    </w:tbl>
    <w:p>
      <w:pPr>
        <w:pStyle w:val="18"/>
        <w:ind w:left="0"/>
        <w:rPr>
          <w:rFonts w:ascii="宋体" w:hAnsi="宋体"/>
          <w:bCs/>
          <w:color w:val="auto"/>
          <w:szCs w:val="21"/>
          <w:highlight w:val="none"/>
        </w:rPr>
      </w:pPr>
      <w:r>
        <w:rPr>
          <w:rFonts w:hint="eastAsia" w:ascii="宋体" w:hAnsi="宋体"/>
          <w:bCs/>
          <w:color w:val="auto"/>
          <w:szCs w:val="21"/>
          <w:highlight w:val="none"/>
        </w:rPr>
        <w:t xml:space="preserve"> </w:t>
      </w:r>
    </w:p>
    <w:p>
      <w:pPr>
        <w:pStyle w:val="18"/>
        <w:ind w:left="0"/>
        <w:rPr>
          <w:rFonts w:ascii="宋体" w:hAnsi="宋体"/>
          <w:bCs/>
          <w:color w:val="auto"/>
          <w:szCs w:val="21"/>
          <w:highlight w:val="none"/>
        </w:rPr>
      </w:pPr>
      <w:r>
        <w:rPr>
          <w:rFonts w:hint="eastAsia" w:ascii="宋体" w:hAnsi="宋体"/>
          <w:bCs/>
          <w:color w:val="auto"/>
          <w:szCs w:val="21"/>
          <w:highlight w:val="none"/>
        </w:rPr>
        <w:t>5.</w:t>
      </w:r>
      <w:r>
        <w:rPr>
          <w:rFonts w:hint="eastAsia" w:ascii="宋体" w:hAnsi="宋体"/>
          <w:bCs/>
          <w:color w:val="auto"/>
          <w:szCs w:val="21"/>
          <w:highlight w:val="none"/>
          <w:lang w:val="en-US" w:eastAsia="zh-CN"/>
        </w:rPr>
        <w:t>3</w:t>
      </w:r>
      <w:r>
        <w:rPr>
          <w:rFonts w:hint="eastAsia" w:ascii="宋体" w:hAnsi="宋体"/>
          <w:bCs/>
          <w:color w:val="auto"/>
          <w:szCs w:val="21"/>
          <w:highlight w:val="none"/>
        </w:rPr>
        <w:t>服务标准及服务要求：</w:t>
      </w:r>
    </w:p>
    <w:p>
      <w:pPr>
        <w:pStyle w:val="18"/>
        <w:ind w:left="0"/>
        <w:rPr>
          <w:rFonts w:ascii="宋体" w:hAnsi="宋体"/>
          <w:bCs/>
          <w:color w:val="auto"/>
          <w:szCs w:val="21"/>
          <w:highlight w:val="none"/>
        </w:rPr>
      </w:pPr>
      <w:r>
        <w:rPr>
          <w:rFonts w:hint="eastAsia" w:ascii="宋体" w:hAnsi="宋体"/>
          <w:bCs/>
          <w:color w:val="auto"/>
          <w:szCs w:val="21"/>
          <w:highlight w:val="none"/>
        </w:rPr>
        <w:t>5.</w:t>
      </w:r>
      <w:r>
        <w:rPr>
          <w:rFonts w:hint="eastAsia" w:ascii="宋体" w:hAnsi="宋体"/>
          <w:bCs/>
          <w:color w:val="auto"/>
          <w:szCs w:val="21"/>
          <w:highlight w:val="none"/>
          <w:lang w:val="en-US" w:eastAsia="zh-CN"/>
        </w:rPr>
        <w:t>3</w:t>
      </w:r>
      <w:r>
        <w:rPr>
          <w:rFonts w:hint="eastAsia" w:ascii="宋体" w:hAnsi="宋体"/>
          <w:bCs/>
          <w:color w:val="auto"/>
          <w:szCs w:val="21"/>
          <w:highlight w:val="none"/>
        </w:rPr>
        <w:t>.1清洁人员要求：</w:t>
      </w:r>
    </w:p>
    <w:p>
      <w:pPr>
        <w:pStyle w:val="18"/>
        <w:ind w:left="0"/>
        <w:rPr>
          <w:rFonts w:ascii="宋体" w:hAnsi="宋体"/>
          <w:bCs/>
          <w:color w:val="auto"/>
          <w:szCs w:val="21"/>
          <w:highlight w:val="none"/>
        </w:rPr>
      </w:pPr>
      <w:r>
        <w:rPr>
          <w:rFonts w:hint="eastAsia" w:ascii="宋体" w:hAnsi="宋体"/>
          <w:bCs/>
          <w:color w:val="auto"/>
          <w:szCs w:val="21"/>
          <w:highlight w:val="none"/>
        </w:rPr>
        <w:t>（1）清洁人员需身体健康、无传染性疾病或其他重大疾病，男性不能超过55周岁，女性不能超过50周岁。50岁以下员工的比例需达到60﹪以上，其中男性员工比例需达到35﹪以上。</w:t>
      </w:r>
    </w:p>
    <w:p>
      <w:pPr>
        <w:pStyle w:val="18"/>
        <w:ind w:left="0"/>
        <w:rPr>
          <w:rFonts w:ascii="宋体" w:hAnsi="宋体"/>
          <w:bCs/>
          <w:color w:val="auto"/>
          <w:szCs w:val="21"/>
          <w:highlight w:val="none"/>
        </w:rPr>
      </w:pPr>
      <w:r>
        <w:rPr>
          <w:rFonts w:hint="eastAsia" w:ascii="宋体" w:hAnsi="宋体"/>
          <w:bCs/>
          <w:color w:val="auto"/>
          <w:szCs w:val="21"/>
          <w:highlight w:val="none"/>
        </w:rPr>
        <w:t>（2）无犯罪或其他不良情况记录；</w:t>
      </w:r>
    </w:p>
    <w:p>
      <w:pPr>
        <w:pStyle w:val="18"/>
        <w:ind w:left="0"/>
        <w:rPr>
          <w:rFonts w:ascii="宋体" w:hAnsi="宋体"/>
          <w:bCs/>
          <w:color w:val="auto"/>
          <w:szCs w:val="21"/>
          <w:highlight w:val="none"/>
        </w:rPr>
      </w:pPr>
      <w:r>
        <w:rPr>
          <w:rFonts w:hint="eastAsia" w:ascii="宋体" w:hAnsi="宋体"/>
          <w:bCs/>
          <w:color w:val="auto"/>
          <w:szCs w:val="21"/>
          <w:highlight w:val="none"/>
        </w:rPr>
        <w:t>（3）清洁人员吃、住等问题由投标人自行负责；</w:t>
      </w:r>
    </w:p>
    <w:p>
      <w:pPr>
        <w:pStyle w:val="18"/>
        <w:ind w:left="0"/>
        <w:rPr>
          <w:rFonts w:ascii="宋体" w:hAnsi="宋体"/>
          <w:bCs/>
          <w:color w:val="auto"/>
          <w:szCs w:val="21"/>
          <w:highlight w:val="none"/>
        </w:rPr>
      </w:pPr>
      <w:r>
        <w:rPr>
          <w:rFonts w:hint="eastAsia" w:ascii="宋体" w:hAnsi="宋体"/>
          <w:bCs/>
          <w:color w:val="auto"/>
          <w:szCs w:val="21"/>
          <w:highlight w:val="none"/>
        </w:rPr>
        <w:t>（4）若有大型接待活动和突发事件时应免费增派人员协助现场管理；</w:t>
      </w:r>
    </w:p>
    <w:p>
      <w:pPr>
        <w:pStyle w:val="18"/>
        <w:ind w:left="0"/>
        <w:rPr>
          <w:rFonts w:ascii="宋体" w:hAnsi="宋体"/>
          <w:bCs/>
          <w:color w:val="auto"/>
          <w:szCs w:val="21"/>
          <w:highlight w:val="none"/>
        </w:rPr>
      </w:pPr>
      <w:r>
        <w:rPr>
          <w:rFonts w:hint="eastAsia" w:ascii="宋体" w:hAnsi="宋体"/>
          <w:bCs/>
          <w:color w:val="auto"/>
          <w:szCs w:val="21"/>
          <w:highlight w:val="none"/>
        </w:rPr>
        <w:t>（5）合同履行过程中，因投标人清洁人员变动或其它原因，需调换或新招员工的，在员工进场之前，需知会甲方，并由甲方面试合格方可进场；</w:t>
      </w:r>
    </w:p>
    <w:p>
      <w:pPr>
        <w:pStyle w:val="18"/>
        <w:ind w:left="0"/>
        <w:rPr>
          <w:rFonts w:ascii="宋体" w:hAnsi="宋体"/>
          <w:bCs/>
          <w:color w:val="auto"/>
          <w:szCs w:val="21"/>
          <w:highlight w:val="none"/>
        </w:rPr>
      </w:pPr>
      <w:r>
        <w:rPr>
          <w:rFonts w:hint="eastAsia" w:ascii="宋体" w:hAnsi="宋体"/>
          <w:bCs/>
          <w:color w:val="auto"/>
          <w:szCs w:val="21"/>
          <w:highlight w:val="none"/>
        </w:rPr>
        <w:t xml:space="preserve">（6）服务时间暂定07：30-17：30；部分岗位需中午、夜间值班，12小时/日（可根据现场适当调整）； </w:t>
      </w:r>
    </w:p>
    <w:p>
      <w:pPr>
        <w:pStyle w:val="18"/>
        <w:ind w:left="0"/>
        <w:rPr>
          <w:rFonts w:ascii="宋体" w:hAnsi="宋体"/>
          <w:bCs/>
          <w:color w:val="auto"/>
          <w:szCs w:val="21"/>
          <w:highlight w:val="none"/>
        </w:rPr>
      </w:pPr>
      <w:r>
        <w:rPr>
          <w:rFonts w:hint="eastAsia" w:ascii="宋体" w:hAnsi="宋体"/>
          <w:bCs/>
          <w:color w:val="auto"/>
          <w:szCs w:val="21"/>
          <w:highlight w:val="none"/>
        </w:rPr>
        <w:t>（7）应急需求：在甲方通知30分钟内，需至少能够组织不少于10人到场参与应急服务（不额外收费）；</w:t>
      </w:r>
    </w:p>
    <w:p>
      <w:pPr>
        <w:pStyle w:val="18"/>
        <w:ind w:left="0"/>
        <w:rPr>
          <w:rFonts w:ascii="宋体" w:hAnsi="宋体"/>
          <w:bCs/>
          <w:color w:val="auto"/>
          <w:szCs w:val="21"/>
          <w:highlight w:val="none"/>
        </w:rPr>
      </w:pPr>
      <w:r>
        <w:rPr>
          <w:rFonts w:hint="eastAsia" w:ascii="宋体" w:hAnsi="宋体"/>
          <w:bCs/>
          <w:color w:val="auto"/>
          <w:szCs w:val="21"/>
          <w:highlight w:val="none"/>
        </w:rPr>
        <w:t>（9）工作时间内必须统一身着统一制服、佩带工作证。</w:t>
      </w:r>
    </w:p>
    <w:p>
      <w:pPr>
        <w:pStyle w:val="18"/>
        <w:ind w:left="0"/>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11</w:t>
      </w:r>
      <w:r>
        <w:rPr>
          <w:rFonts w:hint="eastAsia" w:ascii="宋体" w:hAnsi="宋体"/>
          <w:bCs/>
          <w:color w:val="auto"/>
          <w:szCs w:val="21"/>
          <w:highlight w:val="none"/>
        </w:rPr>
        <w:t>）供应商派驻本项目现场的保洁人员在岗不低于</w:t>
      </w:r>
      <w:r>
        <w:rPr>
          <w:rFonts w:ascii="宋体" w:hAnsi="宋体"/>
          <w:bCs/>
          <w:color w:val="auto"/>
          <w:szCs w:val="21"/>
          <w:highlight w:val="none"/>
        </w:rPr>
        <w:t>6</w:t>
      </w:r>
      <w:r>
        <w:rPr>
          <w:rFonts w:hint="eastAsia" w:ascii="宋体" w:hAnsi="宋体"/>
          <w:bCs/>
          <w:color w:val="auto"/>
          <w:szCs w:val="21"/>
          <w:highlight w:val="none"/>
          <w:lang w:val="en-US" w:eastAsia="zh-CN"/>
        </w:rPr>
        <w:t>5</w:t>
      </w:r>
      <w:r>
        <w:rPr>
          <w:rFonts w:hint="eastAsia" w:ascii="宋体" w:hAnsi="宋体"/>
          <w:bCs/>
          <w:color w:val="auto"/>
          <w:szCs w:val="21"/>
          <w:highlight w:val="none"/>
        </w:rPr>
        <w:t>人</w:t>
      </w:r>
      <w:r>
        <w:rPr>
          <w:rFonts w:hint="eastAsia" w:ascii="宋体" w:hAnsi="宋体"/>
          <w:bCs/>
          <w:color w:val="auto"/>
          <w:szCs w:val="21"/>
          <w:highlight w:val="none"/>
        </w:rPr>
        <w:t>（含主管）。每月均需提供到岗人员清单及工作打卡记录或签到表。采购方有权要求对人员进行更换或调整，供应商应给予积极配合。同时甲方有权根据现场实际情况要求增减工作人员，每增减一人则以最终签订合同总价</w:t>
      </w:r>
      <w:r>
        <w:rPr>
          <w:rFonts w:hint="eastAsia" w:ascii="宋体" w:hAnsi="宋体"/>
          <w:bCs/>
          <w:color w:val="auto"/>
          <w:szCs w:val="21"/>
          <w:highlight w:val="none"/>
        </w:rPr>
        <w:t>/12/6</w:t>
      </w:r>
      <w:r>
        <w:rPr>
          <w:rFonts w:hint="eastAsia" w:ascii="宋体" w:hAnsi="宋体"/>
          <w:bCs/>
          <w:color w:val="auto"/>
          <w:szCs w:val="21"/>
          <w:highlight w:val="none"/>
          <w:lang w:val="en-US" w:eastAsia="zh-CN"/>
        </w:rPr>
        <w:t>5</w:t>
      </w:r>
      <w:r>
        <w:rPr>
          <w:rFonts w:hint="eastAsia" w:ascii="宋体" w:hAnsi="宋体"/>
          <w:bCs/>
          <w:color w:val="auto"/>
          <w:szCs w:val="21"/>
          <w:highlight w:val="none"/>
        </w:rPr>
        <w:t>（元/人/月）</w:t>
      </w:r>
      <w:r>
        <w:rPr>
          <w:rFonts w:hint="eastAsia" w:ascii="宋体" w:hAnsi="宋体"/>
          <w:bCs/>
          <w:color w:val="auto"/>
          <w:szCs w:val="21"/>
          <w:highlight w:val="none"/>
        </w:rPr>
        <w:t>的标准计算。</w:t>
      </w:r>
    </w:p>
    <w:p>
      <w:pPr>
        <w:pStyle w:val="18"/>
        <w:ind w:left="0"/>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2</w:t>
      </w:r>
      <w:r>
        <w:rPr>
          <w:rFonts w:hint="eastAsia" w:ascii="宋体" w:hAnsi="宋体"/>
          <w:bCs/>
          <w:color w:val="auto"/>
          <w:szCs w:val="21"/>
          <w:highlight w:val="none"/>
        </w:rPr>
        <w:t>）若因供应商自身原因导致实际到岗人数低于承诺人数，则按实际出勤以4</w:t>
      </w:r>
      <w:r>
        <w:rPr>
          <w:rFonts w:ascii="宋体" w:hAnsi="宋体"/>
          <w:bCs/>
          <w:color w:val="auto"/>
          <w:szCs w:val="21"/>
          <w:highlight w:val="none"/>
        </w:rPr>
        <w:t>200</w:t>
      </w:r>
      <w:r>
        <w:rPr>
          <w:rFonts w:hint="eastAsia" w:ascii="宋体" w:hAnsi="宋体"/>
          <w:bCs/>
          <w:color w:val="auto"/>
          <w:szCs w:val="21"/>
          <w:highlight w:val="none"/>
        </w:rPr>
        <w:t>元/人/月的标准在当月服务费用中进行扣减。</w:t>
      </w:r>
    </w:p>
    <w:p>
      <w:pPr>
        <w:pStyle w:val="18"/>
        <w:ind w:left="0"/>
        <w:rPr>
          <w:rFonts w:ascii="宋体" w:hAnsi="宋体"/>
          <w:bCs/>
          <w:color w:val="auto"/>
          <w:szCs w:val="21"/>
          <w:highlight w:val="none"/>
        </w:rPr>
      </w:pPr>
      <w:r>
        <w:rPr>
          <w:rFonts w:hint="eastAsia" w:ascii="宋体" w:hAnsi="宋体"/>
          <w:bCs/>
          <w:color w:val="auto"/>
          <w:szCs w:val="21"/>
          <w:highlight w:val="none"/>
        </w:rPr>
        <w:t>5.</w:t>
      </w:r>
      <w:r>
        <w:rPr>
          <w:rFonts w:hint="eastAsia" w:ascii="宋体" w:hAnsi="宋体"/>
          <w:bCs/>
          <w:color w:val="auto"/>
          <w:szCs w:val="21"/>
          <w:highlight w:val="none"/>
          <w:lang w:val="en-US" w:eastAsia="zh-CN"/>
        </w:rPr>
        <w:t>3</w:t>
      </w: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清洁服务频率及服务标准</w:t>
      </w:r>
    </w:p>
    <w:p>
      <w:pPr>
        <w:pStyle w:val="18"/>
        <w:ind w:left="0"/>
        <w:rPr>
          <w:rFonts w:ascii="宋体" w:hAnsi="宋体"/>
          <w:bCs/>
          <w:color w:val="auto"/>
          <w:szCs w:val="21"/>
          <w:highlight w:val="none"/>
        </w:rPr>
      </w:pPr>
      <w:r>
        <w:rPr>
          <w:rFonts w:hint="eastAsia" w:ascii="宋体" w:hAnsi="宋体"/>
          <w:bCs/>
          <w:color w:val="auto"/>
          <w:szCs w:val="21"/>
          <w:highlight w:val="none"/>
        </w:rPr>
        <w:t>（1）外围部分日常清洁频率及标准</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885"/>
        <w:gridCol w:w="787"/>
        <w:gridCol w:w="1098"/>
        <w:gridCol w:w="946"/>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blHeader/>
        </w:trPr>
        <w:tc>
          <w:tcPr>
            <w:tcW w:w="1382"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项目</w:t>
            </w:r>
          </w:p>
        </w:tc>
        <w:tc>
          <w:tcPr>
            <w:tcW w:w="1885"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日常清洁</w:t>
            </w:r>
          </w:p>
        </w:tc>
        <w:tc>
          <w:tcPr>
            <w:tcW w:w="2831" w:type="dxa"/>
            <w:gridSpan w:val="3"/>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42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exact"/>
          <w:tblHeader/>
        </w:trPr>
        <w:tc>
          <w:tcPr>
            <w:tcW w:w="1382"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85"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每日</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每周</w:t>
            </w: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每年</w:t>
            </w:r>
          </w:p>
        </w:tc>
        <w:tc>
          <w:tcPr>
            <w:tcW w:w="2421"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地面（含路面）</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清扫</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清洗一次</w:t>
            </w: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无污渍、无垃圾，100平方米内烟头和纸屑不超过3处。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花坛/花圃</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清扫、拾捡</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无杂物，表面洁净。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空中花园</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清扫、拾捡</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绿化带</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巡回保洁</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无垃圾杂物，垃圾滞留时间不超过30分钟。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排水沟（明沟、阴沟）</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拾捡、冲洗</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无积水、淤泥，无烟头等垃圾。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把手</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擦拭</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清刮一次</w:t>
            </w: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风口百叶</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擦拭</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广告牌及门牌</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擦拭</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扶梯</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擦拭</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82"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垃圾箱</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清理</w:t>
            </w:r>
          </w:p>
        </w:tc>
        <w:tc>
          <w:tcPr>
            <w:tcW w:w="78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至少两次</w:t>
            </w:r>
          </w:p>
        </w:tc>
        <w:tc>
          <w:tcPr>
            <w:tcW w:w="1098"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清洗一次</w:t>
            </w:r>
          </w:p>
        </w:tc>
        <w:tc>
          <w:tcPr>
            <w:tcW w:w="946"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垃圾不超过桶的2/3，无异味，桶面无污渍。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82"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表面清洁</w:t>
            </w:r>
          </w:p>
        </w:tc>
        <w:tc>
          <w:tcPr>
            <w:tcW w:w="787"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四次</w:t>
            </w:r>
          </w:p>
        </w:tc>
        <w:tc>
          <w:tcPr>
            <w:tcW w:w="1098"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46"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广场</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清扫、冲洗</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循环保洁</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p>
            <w:pPr>
              <w:pStyle w:val="18"/>
              <w:spacing w:line="240" w:lineRule="auto"/>
              <w:ind w:left="0"/>
              <w:rPr>
                <w:rFonts w:ascii="宋体" w:hAnsi="宋体"/>
                <w:bCs/>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无垃圾杂物，垃圾滞留时间不超过30分钟。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消防设施</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除尘、抹拭</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连廊（含地面、围栏）</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清扫、擦拭</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至少两次</w:t>
            </w: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清洗一次</w:t>
            </w: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138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天井、雨棚</w:t>
            </w:r>
          </w:p>
        </w:tc>
        <w:tc>
          <w:tcPr>
            <w:tcW w:w="188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清洗</w:t>
            </w:r>
          </w:p>
        </w:tc>
        <w:tc>
          <w:tcPr>
            <w:tcW w:w="78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kern w:val="0"/>
                <w:szCs w:val="21"/>
                <w:highlight w:val="none"/>
              </w:rPr>
            </w:pPr>
            <w:r>
              <w:rPr>
                <w:rFonts w:hint="eastAsia" w:ascii="宋体" w:hAnsi="宋体"/>
                <w:bCs/>
                <w:color w:val="auto"/>
                <w:szCs w:val="21"/>
                <w:highlight w:val="none"/>
              </w:rPr>
              <w:t>一次</w:t>
            </w:r>
          </w:p>
        </w:tc>
        <w:tc>
          <w:tcPr>
            <w:tcW w:w="94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kern w:val="0"/>
                <w:szCs w:val="21"/>
                <w:highlight w:val="none"/>
              </w:rPr>
            </w:pPr>
          </w:p>
        </w:tc>
        <w:tc>
          <w:tcPr>
            <w:tcW w:w="242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kern w:val="0"/>
                <w:szCs w:val="21"/>
                <w:highlight w:val="none"/>
              </w:rPr>
            </w:pPr>
            <w:r>
              <w:rPr>
                <w:rFonts w:hint="eastAsia" w:ascii="宋体" w:hAnsi="宋体"/>
                <w:bCs/>
                <w:color w:val="auto"/>
                <w:szCs w:val="21"/>
                <w:highlight w:val="none"/>
              </w:rPr>
              <w:t>无污渍、表面光亮。</w:t>
            </w:r>
          </w:p>
        </w:tc>
      </w:tr>
    </w:tbl>
    <w:p>
      <w:pPr>
        <w:pStyle w:val="18"/>
        <w:ind w:left="0"/>
        <w:rPr>
          <w:rFonts w:ascii="宋体" w:hAnsi="宋体"/>
          <w:bCs/>
          <w:color w:val="auto"/>
          <w:szCs w:val="21"/>
          <w:highlight w:val="none"/>
        </w:rPr>
      </w:pPr>
    </w:p>
    <w:p>
      <w:pPr>
        <w:pStyle w:val="18"/>
        <w:ind w:left="0"/>
        <w:rPr>
          <w:rFonts w:ascii="宋体" w:hAnsi="宋体"/>
          <w:bCs/>
          <w:color w:val="auto"/>
          <w:szCs w:val="21"/>
          <w:highlight w:val="none"/>
        </w:rPr>
      </w:pPr>
      <w:r>
        <w:rPr>
          <w:rFonts w:hint="eastAsia" w:ascii="宋体" w:hAnsi="宋体"/>
          <w:bCs/>
          <w:color w:val="auto"/>
          <w:szCs w:val="21"/>
          <w:highlight w:val="none"/>
        </w:rPr>
        <w:t>（2）大堂日常清洁频率及标准</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809"/>
        <w:gridCol w:w="757"/>
        <w:gridCol w:w="1057"/>
        <w:gridCol w:w="907"/>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blHeader/>
        </w:trPr>
        <w:tc>
          <w:tcPr>
            <w:tcW w:w="1664"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项目</w:t>
            </w:r>
          </w:p>
        </w:tc>
        <w:tc>
          <w:tcPr>
            <w:tcW w:w="1809"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日常清洁</w:t>
            </w:r>
          </w:p>
        </w:tc>
        <w:tc>
          <w:tcPr>
            <w:tcW w:w="2721" w:type="dxa"/>
            <w:gridSpan w:val="3"/>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326"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exact"/>
          <w:tblHeader/>
        </w:trPr>
        <w:tc>
          <w:tcPr>
            <w:tcW w:w="1664"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09"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75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每日</w:t>
            </w:r>
          </w:p>
        </w:tc>
        <w:tc>
          <w:tcPr>
            <w:tcW w:w="105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每月</w:t>
            </w:r>
          </w:p>
        </w:tc>
        <w:tc>
          <w:tcPr>
            <w:tcW w:w="90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每年</w:t>
            </w:r>
          </w:p>
        </w:tc>
        <w:tc>
          <w:tcPr>
            <w:tcW w:w="2326"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地面</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推尘</w:t>
            </w:r>
          </w:p>
        </w:tc>
        <w:tc>
          <w:tcPr>
            <w:tcW w:w="75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六次</w:t>
            </w:r>
          </w:p>
        </w:tc>
        <w:tc>
          <w:tcPr>
            <w:tcW w:w="105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无污渍、无灰尘、地面亮。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保洁</w:t>
            </w:r>
          </w:p>
        </w:tc>
        <w:tc>
          <w:tcPr>
            <w:tcW w:w="757"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057"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墙面</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3米以上玻璃（含首层大堂雨棚）</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清洗</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水牌</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上油保养一次</w:t>
            </w: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大堂服务台及办公用具</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四次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玻璃门</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清刮</w:t>
            </w:r>
          </w:p>
        </w:tc>
        <w:tc>
          <w:tcPr>
            <w:tcW w:w="75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57"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保洁</w:t>
            </w:r>
          </w:p>
        </w:tc>
        <w:tc>
          <w:tcPr>
            <w:tcW w:w="757"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057"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3米以下幕墙玻璃</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刮洗一次</w:t>
            </w: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光亮，无手印、污迹。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消防箱及警铃</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抹拭（包括箱内）</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trPr>
        <w:tc>
          <w:tcPr>
            <w:tcW w:w="1664"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垃圾箱</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清理垃圾</w:t>
            </w:r>
          </w:p>
        </w:tc>
        <w:tc>
          <w:tcPr>
            <w:tcW w:w="75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至少四次</w:t>
            </w:r>
          </w:p>
        </w:tc>
        <w:tc>
          <w:tcPr>
            <w:tcW w:w="1057"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垃圾不超过桶的2/3，无异味。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表面清洁</w:t>
            </w:r>
          </w:p>
        </w:tc>
        <w:tc>
          <w:tcPr>
            <w:tcW w:w="757"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四次</w:t>
            </w:r>
          </w:p>
        </w:tc>
        <w:tc>
          <w:tcPr>
            <w:tcW w:w="1057"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租摆植物、盆</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叶面光亮，花盆内无垃圾，表面无尘。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闸机</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上油保养一次</w:t>
            </w: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纸巾擦拭30公分无污渍，表面光亮。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筒灯</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无灰尘，无蜘蛛网。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电力插头</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墙角线</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无蜘蛛网、污渍。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冷气出/入风口</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废纸筒</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清除废物</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指示器材/喇叭烟感</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墙壁灯饰</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装饰物及画</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66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家具</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抹拭/保养腊</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trPr>
        <w:tc>
          <w:tcPr>
            <w:tcW w:w="1664"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地毯</w:t>
            </w: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吸尘</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326"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无污渍，遇特殊情况需立即清洗，不另行结算。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trPr>
        <w:tc>
          <w:tcPr>
            <w:tcW w:w="1664"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清洗</w:t>
            </w:r>
          </w:p>
        </w:tc>
        <w:tc>
          <w:tcPr>
            <w:tcW w:w="7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6次</w:t>
            </w:r>
          </w:p>
        </w:tc>
        <w:tc>
          <w:tcPr>
            <w:tcW w:w="2326"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bl>
    <w:p>
      <w:pPr>
        <w:pStyle w:val="18"/>
        <w:ind w:left="0"/>
        <w:rPr>
          <w:rFonts w:ascii="宋体" w:hAnsi="宋体"/>
          <w:bCs/>
          <w:color w:val="auto"/>
          <w:szCs w:val="21"/>
          <w:highlight w:val="none"/>
        </w:rPr>
      </w:pPr>
      <w:r>
        <w:rPr>
          <w:rFonts w:hint="eastAsia" w:ascii="宋体" w:hAnsi="宋体"/>
          <w:bCs/>
          <w:color w:val="auto"/>
          <w:szCs w:val="21"/>
          <w:highlight w:val="none"/>
        </w:rPr>
        <w:t>（3）卫生间日常清洁频率及标准</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822"/>
        <w:gridCol w:w="970"/>
        <w:gridCol w:w="995"/>
        <w:gridCol w:w="915"/>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tblHeader/>
          <w:jc w:val="center"/>
        </w:trPr>
        <w:tc>
          <w:tcPr>
            <w:tcW w:w="1629"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w:t>
            </w:r>
          </w:p>
        </w:tc>
        <w:tc>
          <w:tcPr>
            <w:tcW w:w="1822"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日常清洁</w:t>
            </w:r>
          </w:p>
        </w:tc>
        <w:tc>
          <w:tcPr>
            <w:tcW w:w="2880" w:type="dxa"/>
            <w:gridSpan w:val="3"/>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188"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exact"/>
          <w:tblHeader/>
          <w:jc w:val="center"/>
        </w:trPr>
        <w:tc>
          <w:tcPr>
            <w:tcW w:w="1629"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822"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70"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w:t>
            </w:r>
          </w:p>
        </w:tc>
        <w:tc>
          <w:tcPr>
            <w:tcW w:w="995"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每月</w:t>
            </w:r>
          </w:p>
        </w:tc>
        <w:tc>
          <w:tcPr>
            <w:tcW w:w="915"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每年</w:t>
            </w:r>
          </w:p>
        </w:tc>
        <w:tc>
          <w:tcPr>
            <w:tcW w:w="2188"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1629"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w:t>
            </w: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30分钟一次</w:t>
            </w: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无水迹，无脚印。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exact"/>
          <w:jc w:val="center"/>
        </w:trPr>
        <w:tc>
          <w:tcPr>
            <w:tcW w:w="1629"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用消毒清洁剂湿拖清洗</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无水迹，无脚印。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exac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墙面</w:t>
            </w: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无乱涂乱画，无灰尘、蜘蛛网等污渍。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exac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天花</w:t>
            </w: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坐厕间隔墙</w:t>
            </w: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抹拭、消毒</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exac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便器</w:t>
            </w: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保洁、消毒（禁止用腐蚀性清洁剂）</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四次</w:t>
            </w: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更换香球一次/深度清洁一次</w:t>
            </w: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无污垢、洁净。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exac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洗手盆及台面、玻璃镜面、水龙头</w:t>
            </w: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抹拭（禁止用腐蚀性清洁剂）</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30分钟一次</w:t>
            </w: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镜面用玻璃刮刀刮一次</w:t>
            </w: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台面无水珠，污迹，镜面光亮。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灯罩</w:t>
            </w: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出/入风口</w:t>
            </w: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exac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垃圾桶</w:t>
            </w: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四次</w:t>
            </w: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垃圾不超过桶的2/3，无异味。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喷香机、洗手液箱</w:t>
            </w: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检查</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正常喷香。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纸巾</w:t>
            </w: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检查并更换</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w:t>
            </w: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正常时间无断纸现象。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卫生纸架</w:t>
            </w:r>
          </w:p>
        </w:tc>
        <w:tc>
          <w:tcPr>
            <w:tcW w:w="1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97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188"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w:t>
            </w:r>
          </w:p>
        </w:tc>
      </w:tr>
    </w:tbl>
    <w:p>
      <w:pPr>
        <w:pStyle w:val="18"/>
        <w:ind w:left="0"/>
        <w:rPr>
          <w:rFonts w:ascii="宋体" w:hAnsi="宋体"/>
          <w:bCs/>
          <w:color w:val="auto"/>
          <w:szCs w:val="21"/>
          <w:highlight w:val="none"/>
        </w:rPr>
      </w:pPr>
      <w:r>
        <w:rPr>
          <w:rFonts w:hint="eastAsia" w:ascii="宋体" w:hAnsi="宋体"/>
          <w:bCs/>
          <w:color w:val="auto"/>
          <w:szCs w:val="21"/>
          <w:highlight w:val="none"/>
        </w:rPr>
        <w:t>（4）电梯日常清洁频率及标准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blHeader/>
          <w:jc w:val="center"/>
        </w:trPr>
        <w:tc>
          <w:tcPr>
            <w:tcW w:w="1806"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tblHeader/>
          <w:jc w:val="center"/>
        </w:trPr>
        <w:tc>
          <w:tcPr>
            <w:tcW w:w="1806"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w:t>
            </w:r>
          </w:p>
        </w:tc>
        <w:tc>
          <w:tcPr>
            <w:tcW w:w="1145"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每年</w:t>
            </w:r>
          </w:p>
        </w:tc>
        <w:tc>
          <w:tcPr>
            <w:tcW w:w="2520"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按钮/楼层指示牌</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循环保洁</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门槽</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无垃圾，无灰土。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轿厢面板及门框</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循环保洁</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无污渍、无手印，无灰尘。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轿厢地面</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清拖</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无污渍、无灰尘，地面光亮，无破损。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vMerge w:val="continue"/>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exact"/>
          <w:jc w:val="center"/>
        </w:trPr>
        <w:tc>
          <w:tcPr>
            <w:tcW w:w="1806"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地毯清扫（如有）</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轿厢壁</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擦拭、上不锈钢油</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无手印、无污渍。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轿厢顶</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风口</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bl>
    <w:p>
      <w:pPr>
        <w:pStyle w:val="18"/>
        <w:ind w:left="0"/>
        <w:rPr>
          <w:rFonts w:ascii="宋体" w:hAnsi="宋体"/>
          <w:bCs/>
          <w:color w:val="auto"/>
          <w:szCs w:val="21"/>
          <w:highlight w:val="none"/>
        </w:rPr>
      </w:pPr>
      <w:r>
        <w:rPr>
          <w:rFonts w:hint="eastAsia" w:ascii="宋体" w:hAnsi="宋体"/>
          <w:bCs/>
          <w:color w:val="auto"/>
          <w:szCs w:val="21"/>
          <w:highlight w:val="none"/>
        </w:rPr>
        <w:t>（5）地下车库日常清洁频率及标准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868"/>
        <w:gridCol w:w="783"/>
        <w:gridCol w:w="1091"/>
        <w:gridCol w:w="934"/>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tblHeader/>
          <w:jc w:val="center"/>
        </w:trPr>
        <w:tc>
          <w:tcPr>
            <w:tcW w:w="2022"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项目</w:t>
            </w:r>
          </w:p>
        </w:tc>
        <w:tc>
          <w:tcPr>
            <w:tcW w:w="1868"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日常清洁</w:t>
            </w:r>
          </w:p>
        </w:tc>
        <w:tc>
          <w:tcPr>
            <w:tcW w:w="2808" w:type="dxa"/>
            <w:gridSpan w:val="3"/>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定期清洁</w:t>
            </w:r>
          </w:p>
        </w:tc>
        <w:tc>
          <w:tcPr>
            <w:tcW w:w="2495"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exact"/>
          <w:tblHeader/>
          <w:jc w:val="center"/>
        </w:trPr>
        <w:tc>
          <w:tcPr>
            <w:tcW w:w="2022"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68"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783"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每日</w:t>
            </w:r>
          </w:p>
        </w:tc>
        <w:tc>
          <w:tcPr>
            <w:tcW w:w="1091"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每月</w:t>
            </w:r>
          </w:p>
        </w:tc>
        <w:tc>
          <w:tcPr>
            <w:tcW w:w="934"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每年</w:t>
            </w:r>
          </w:p>
        </w:tc>
        <w:tc>
          <w:tcPr>
            <w:tcW w:w="2495"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防撞栏及扶梯</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2022"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金刚砂地面</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推尘</w:t>
            </w:r>
          </w:p>
        </w:tc>
        <w:tc>
          <w:tcPr>
            <w:tcW w:w="783"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91"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停车场标线拖洗一次</w:t>
            </w:r>
          </w:p>
        </w:tc>
        <w:tc>
          <w:tcPr>
            <w:tcW w:w="934"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冲洗一次</w:t>
            </w:r>
          </w:p>
        </w:tc>
        <w:tc>
          <w:tcPr>
            <w:tcW w:w="2495"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干净，烟头纸屑不超过5处，垃圾滞留时间不超过60分钟，无污迹。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2022"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保洁</w:t>
            </w:r>
          </w:p>
        </w:tc>
        <w:tc>
          <w:tcPr>
            <w:tcW w:w="783"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循环</w:t>
            </w:r>
          </w:p>
        </w:tc>
        <w:tc>
          <w:tcPr>
            <w:tcW w:w="1091"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岗亭、道闸</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墙面</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涂料墙面（踢脚线）</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无蜘蛛网、污渍。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消防箱、防火门、灭火器、消防桩、警钟</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无灰尘、污渍。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消防、给排水管线</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除尘擦拭</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无明显污渍、积尘。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天花</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无蜘蛛网、污渍。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jc w:val="center"/>
        </w:trPr>
        <w:tc>
          <w:tcPr>
            <w:tcW w:w="2022"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上下车道</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地面清扫</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下车道冲洗二次</w:t>
            </w: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无砂土，地面干净。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天花、墙面除尘</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设施设备擦拭</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管道百叶风口</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exact"/>
          <w:jc w:val="center"/>
        </w:trPr>
        <w:tc>
          <w:tcPr>
            <w:tcW w:w="202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地沟</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清理</w:t>
            </w:r>
          </w:p>
        </w:tc>
        <w:tc>
          <w:tcPr>
            <w:tcW w:w="783"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34"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无积水、淤泥，无烟头等垃圾。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2"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灯</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783"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91"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34"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无灰尘，无蜘蛛网。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exact"/>
          <w:jc w:val="center"/>
        </w:trPr>
        <w:tc>
          <w:tcPr>
            <w:tcW w:w="2022"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灯箱/指示牌/信箱</w:t>
            </w:r>
          </w:p>
        </w:tc>
        <w:tc>
          <w:tcPr>
            <w:tcW w:w="1868"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除尘、抹拭</w:t>
            </w:r>
          </w:p>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上不锈钢油（若为不锈钢材质）</w:t>
            </w:r>
          </w:p>
        </w:tc>
        <w:tc>
          <w:tcPr>
            <w:tcW w:w="783"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91"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34"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495"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bl>
    <w:p>
      <w:pPr>
        <w:pStyle w:val="18"/>
        <w:ind w:left="0"/>
        <w:rPr>
          <w:rFonts w:ascii="宋体" w:hAnsi="宋体"/>
          <w:bCs/>
          <w:color w:val="auto"/>
          <w:szCs w:val="21"/>
          <w:highlight w:val="none"/>
        </w:rPr>
      </w:pPr>
      <w:r>
        <w:rPr>
          <w:rFonts w:hint="eastAsia" w:ascii="宋体" w:hAnsi="宋体"/>
          <w:bCs/>
          <w:color w:val="auto"/>
          <w:szCs w:val="21"/>
          <w:highlight w:val="none"/>
        </w:rPr>
        <w:t>（6）走廊及电梯厅日常清洁频率及标准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950"/>
        <w:gridCol w:w="1017"/>
        <w:gridCol w:w="98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tblHeader/>
          <w:jc w:val="center"/>
        </w:trPr>
        <w:tc>
          <w:tcPr>
            <w:tcW w:w="1806"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exact"/>
          <w:tblHeader/>
          <w:jc w:val="center"/>
        </w:trPr>
        <w:tc>
          <w:tcPr>
            <w:tcW w:w="1806"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50"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每日</w:t>
            </w:r>
          </w:p>
        </w:tc>
        <w:tc>
          <w:tcPr>
            <w:tcW w:w="101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每年</w:t>
            </w:r>
          </w:p>
        </w:tc>
        <w:tc>
          <w:tcPr>
            <w:tcW w:w="2520"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地面</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拖地</w:t>
            </w:r>
          </w:p>
        </w:tc>
        <w:tc>
          <w:tcPr>
            <w:tcW w:w="950"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17"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vMerge w:val="restart"/>
            <w:tcBorders>
              <w:top w:val="single" w:color="auto" w:sz="4" w:space="0"/>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无污渍，地面光亮。100平方米内烟头纸屑不超过3处，垃圾滞留时间不超过10分钟。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exact"/>
          <w:jc w:val="center"/>
        </w:trPr>
        <w:tc>
          <w:tcPr>
            <w:tcW w:w="1806"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保洁</w:t>
            </w:r>
          </w:p>
        </w:tc>
        <w:tc>
          <w:tcPr>
            <w:tcW w:w="950"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30分钟一次</w:t>
            </w:r>
          </w:p>
        </w:tc>
        <w:tc>
          <w:tcPr>
            <w:tcW w:w="1017"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vMerge w:val="continue"/>
            <w:tcBorders>
              <w:left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墙面</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门及门框</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两次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踢脚线</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排风口、手动报警器、指示牌等</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指示器材/喇叭烟感</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无灰尘，无蜘蛛网。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防火门</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消防栓箱</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外玻璃抹拭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内部每月抹拭一次</w:t>
            </w: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纸巾擦拭50公分无污渍，表面光亮。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消防箱/警钟</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擦拭（消防箱包括内部）</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天花、灯饰</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无积尘、无蛛蜘网。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管道</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筒灯</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冷气出/入风口</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除尘、抹拭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清洁一次</w:t>
            </w: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植物套盆</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无垃圾、无污渍。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玻璃门（窗）</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玻璃刮刀刮、抹拭</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一次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湿/干布抹拭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垃圾桶</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清理垃圾</w:t>
            </w:r>
          </w:p>
        </w:tc>
        <w:tc>
          <w:tcPr>
            <w:tcW w:w="95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四次</w:t>
            </w:r>
          </w:p>
        </w:tc>
        <w:tc>
          <w:tcPr>
            <w:tcW w:w="1017"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spacing w:line="240" w:lineRule="auto"/>
              <w:ind w:left="0"/>
              <w:rPr>
                <w:rFonts w:ascii="宋体" w:hAnsi="宋体"/>
                <w:bCs/>
                <w:color w:val="auto"/>
                <w:szCs w:val="21"/>
                <w:highlight w:val="none"/>
              </w:rPr>
            </w:pPr>
            <w:r>
              <w:rPr>
                <w:rFonts w:hint="eastAsia" w:ascii="宋体" w:hAnsi="宋体"/>
                <w:bCs/>
                <w:color w:val="auto"/>
                <w:szCs w:val="21"/>
                <w:highlight w:val="none"/>
              </w:rPr>
              <w:t>垃圾不超过桶的2/3，无异味。</w:t>
            </w:r>
          </w:p>
        </w:tc>
      </w:tr>
    </w:tbl>
    <w:p>
      <w:pPr>
        <w:pStyle w:val="18"/>
        <w:ind w:left="0"/>
        <w:rPr>
          <w:rFonts w:ascii="宋体" w:hAnsi="宋体"/>
          <w:bCs/>
          <w:color w:val="auto"/>
          <w:szCs w:val="21"/>
          <w:highlight w:val="none"/>
        </w:rPr>
      </w:pPr>
      <w:r>
        <w:rPr>
          <w:rFonts w:hint="eastAsia" w:ascii="宋体" w:hAnsi="宋体"/>
          <w:bCs/>
          <w:color w:val="auto"/>
          <w:szCs w:val="21"/>
          <w:highlight w:val="none"/>
        </w:rPr>
        <w:t>（7）消防通道/楼梯日常清洁频率及标准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962"/>
        <w:gridCol w:w="822"/>
        <w:gridCol w:w="1146"/>
        <w:gridCol w:w="98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tblHeader/>
          <w:jc w:val="center"/>
        </w:trPr>
        <w:tc>
          <w:tcPr>
            <w:tcW w:w="1805"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日常清洁</w:t>
            </w:r>
          </w:p>
        </w:tc>
        <w:tc>
          <w:tcPr>
            <w:tcW w:w="2949" w:type="dxa"/>
            <w:gridSpan w:val="3"/>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exact"/>
          <w:tblHeader/>
          <w:jc w:val="center"/>
        </w:trPr>
        <w:tc>
          <w:tcPr>
            <w:tcW w:w="1805"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w:t>
            </w:r>
          </w:p>
        </w:tc>
        <w:tc>
          <w:tcPr>
            <w:tcW w:w="1146"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每年</w:t>
            </w:r>
          </w:p>
        </w:tc>
        <w:tc>
          <w:tcPr>
            <w:tcW w:w="2520"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拖地</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无垃圾、污迹、干净。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墙面、天花及灯</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无积尘、蛛蜘网。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扶手</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纸巾擦拭50公分无污渍。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排风口</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纸巾擦拭50公分无污渍。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管道</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开关、显示牌</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消防门</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墙角线</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垃圾桶</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垃圾不超过桶的2/3，无异味。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消防设施箱及警铃</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bl>
    <w:p>
      <w:pPr>
        <w:pStyle w:val="18"/>
        <w:ind w:left="0"/>
        <w:rPr>
          <w:rFonts w:ascii="宋体" w:hAnsi="宋体"/>
          <w:bCs/>
          <w:color w:val="auto"/>
          <w:szCs w:val="21"/>
          <w:highlight w:val="none"/>
        </w:rPr>
      </w:pPr>
      <w:r>
        <w:rPr>
          <w:rFonts w:hint="eastAsia" w:ascii="宋体" w:hAnsi="宋体"/>
          <w:bCs/>
          <w:color w:val="auto"/>
          <w:szCs w:val="21"/>
          <w:highlight w:val="none"/>
        </w:rPr>
        <w:t>（8）天面、露台、阳台等日常清洁频率及标准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tblHeader/>
          <w:jc w:val="center"/>
        </w:trPr>
        <w:tc>
          <w:tcPr>
            <w:tcW w:w="1806"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blHeader/>
          <w:jc w:val="center"/>
        </w:trPr>
        <w:tc>
          <w:tcPr>
            <w:tcW w:w="1806"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w:t>
            </w:r>
          </w:p>
        </w:tc>
        <w:tc>
          <w:tcPr>
            <w:tcW w:w="1145"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每年</w:t>
            </w:r>
          </w:p>
        </w:tc>
        <w:tc>
          <w:tcPr>
            <w:tcW w:w="2520"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jc w:val="center"/>
        </w:trPr>
        <w:tc>
          <w:tcPr>
            <w:tcW w:w="1806"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清拖</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无污渍、垃圾，地面光亮。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墙面百叶</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水塔底座</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地面冲洗</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无污渍，无垃圾。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不锈钢扶栏</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上油保养一次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上油保养两次</w:t>
            </w: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纸巾擦拭50公分无污渍、表面光亮。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排水沟</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清扫</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无积水、淤泥，无烟头等垃圾。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女儿墙</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擦拭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无污渍、无积灰。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门（内）外</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抹拭、保养蜡</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湿/干布抹拭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墙角线</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湿/干布抹拭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灯</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外壳—干布抹拭</w:t>
            </w:r>
          </w:p>
          <w:p>
            <w:pPr>
              <w:pStyle w:val="18"/>
              <w:ind w:left="0"/>
              <w:rPr>
                <w:rFonts w:ascii="宋体" w:hAnsi="宋体"/>
                <w:bCs/>
                <w:color w:val="auto"/>
                <w:szCs w:val="21"/>
                <w:highlight w:val="none"/>
              </w:rPr>
            </w:pPr>
            <w:r>
              <w:rPr>
                <w:rFonts w:hint="eastAsia" w:ascii="宋体" w:hAnsi="宋体"/>
                <w:bCs/>
                <w:color w:val="auto"/>
                <w:szCs w:val="21"/>
                <w:highlight w:val="none"/>
              </w:rPr>
              <w:t>楼管—干布抹拭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风口</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垃圾桶</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清洗一次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垃圾不超过桶的2/3，无异味。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管道</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消防设施箱及警钟</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w:t>
            </w:r>
          </w:p>
        </w:tc>
      </w:tr>
    </w:tbl>
    <w:p>
      <w:pPr>
        <w:pStyle w:val="18"/>
        <w:ind w:left="0"/>
        <w:rPr>
          <w:rFonts w:ascii="宋体" w:hAnsi="宋体"/>
          <w:bCs/>
          <w:color w:val="auto"/>
          <w:szCs w:val="21"/>
          <w:highlight w:val="none"/>
        </w:rPr>
      </w:pPr>
      <w:r>
        <w:rPr>
          <w:rFonts w:hint="eastAsia" w:ascii="宋体" w:hAnsi="宋体"/>
          <w:bCs/>
          <w:color w:val="auto"/>
          <w:szCs w:val="21"/>
          <w:highlight w:val="none"/>
        </w:rPr>
        <w:t>（9）空置单元日常清洁频率及标准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tblHeader/>
          <w:jc w:val="center"/>
        </w:trPr>
        <w:tc>
          <w:tcPr>
            <w:tcW w:w="1806"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blHeader/>
          <w:jc w:val="center"/>
        </w:trPr>
        <w:tc>
          <w:tcPr>
            <w:tcW w:w="1806"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w:t>
            </w:r>
          </w:p>
        </w:tc>
        <w:tc>
          <w:tcPr>
            <w:tcW w:w="1145"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每年</w:t>
            </w:r>
          </w:p>
        </w:tc>
        <w:tc>
          <w:tcPr>
            <w:tcW w:w="2520"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清扫</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墙面及天花</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单元门</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无灰尘、无污渍、无手印</w:t>
            </w:r>
          </w:p>
        </w:tc>
      </w:tr>
    </w:tbl>
    <w:p>
      <w:pPr>
        <w:pStyle w:val="18"/>
        <w:ind w:left="0"/>
        <w:rPr>
          <w:rFonts w:ascii="宋体" w:hAnsi="宋体"/>
          <w:bCs/>
          <w:color w:val="auto"/>
          <w:szCs w:val="21"/>
          <w:highlight w:val="none"/>
        </w:rPr>
      </w:pPr>
      <w:r>
        <w:rPr>
          <w:rFonts w:hint="eastAsia" w:ascii="宋体" w:hAnsi="宋体"/>
          <w:bCs/>
          <w:color w:val="auto"/>
          <w:szCs w:val="21"/>
          <w:highlight w:val="none"/>
        </w:rPr>
        <w:t>（10）生活垃圾房日常清洁及垃圾清运频率与标准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962"/>
        <w:gridCol w:w="822"/>
        <w:gridCol w:w="1145"/>
        <w:gridCol w:w="98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exact"/>
          <w:tblHeader/>
          <w:jc w:val="center"/>
        </w:trPr>
        <w:tc>
          <w:tcPr>
            <w:tcW w:w="1806"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项目</w:t>
            </w:r>
          </w:p>
        </w:tc>
        <w:tc>
          <w:tcPr>
            <w:tcW w:w="1962"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日常清洁</w:t>
            </w:r>
          </w:p>
        </w:tc>
        <w:tc>
          <w:tcPr>
            <w:tcW w:w="2948" w:type="dxa"/>
            <w:gridSpan w:val="3"/>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定期清洁、消毒</w:t>
            </w:r>
          </w:p>
        </w:tc>
        <w:tc>
          <w:tcPr>
            <w:tcW w:w="2520" w:type="dxa"/>
            <w:vMerge w:val="restart"/>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tblHeader/>
          <w:jc w:val="center"/>
        </w:trPr>
        <w:tc>
          <w:tcPr>
            <w:tcW w:w="1806"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c>
          <w:tcPr>
            <w:tcW w:w="1962" w:type="dxa"/>
            <w:vMerge w:val="continue"/>
            <w:tcBorders>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822"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w:t>
            </w:r>
          </w:p>
        </w:tc>
        <w:tc>
          <w:tcPr>
            <w:tcW w:w="1145"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每月</w:t>
            </w:r>
          </w:p>
        </w:tc>
        <w:tc>
          <w:tcPr>
            <w:tcW w:w="981" w:type="dxa"/>
            <w:tcBorders>
              <w:top w:val="single" w:color="auto" w:sz="4" w:space="0"/>
              <w:left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每年</w:t>
            </w:r>
          </w:p>
        </w:tc>
        <w:tc>
          <w:tcPr>
            <w:tcW w:w="2520" w:type="dxa"/>
            <w:vMerge w:val="continue"/>
            <w:tcBorders>
              <w:left w:val="single" w:color="auto" w:sz="4" w:space="0"/>
              <w:right w:val="single" w:color="auto" w:sz="4" w:space="0"/>
            </w:tcBorders>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生活垃圾清运</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一至两次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无过夜垃圾，地面无积水，干净无异味，目视不见蚊蝇。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地面清拖</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清拖</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循环</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无灰尘、无污渍、无垃圾、无异味。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地面清洗</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干净无异味。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门及门框的擦拭</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两次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地沟的冲洗</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干净无异味。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垃圾筒清洗</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冲洗</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干净无异味。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灯</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无灰尘，无蜘蛛网。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1806"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灯箱/指示牌</w:t>
            </w:r>
          </w:p>
        </w:tc>
        <w:tc>
          <w:tcPr>
            <w:tcW w:w="196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除尘、抹拭</w:t>
            </w:r>
          </w:p>
        </w:tc>
        <w:tc>
          <w:tcPr>
            <w:tcW w:w="822"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一次</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无积灰，无污渍。</w:t>
            </w:r>
          </w:p>
        </w:tc>
      </w:tr>
    </w:tbl>
    <w:p>
      <w:pPr>
        <w:pStyle w:val="18"/>
        <w:ind w:left="0"/>
        <w:rPr>
          <w:rFonts w:ascii="宋体" w:hAnsi="宋体"/>
          <w:bCs/>
          <w:color w:val="auto"/>
          <w:szCs w:val="21"/>
          <w:highlight w:val="none"/>
        </w:rPr>
      </w:pPr>
      <w:r>
        <w:rPr>
          <w:rFonts w:hint="eastAsia" w:ascii="宋体" w:hAnsi="宋体"/>
          <w:bCs/>
          <w:color w:val="auto"/>
          <w:szCs w:val="21"/>
          <w:highlight w:val="none"/>
        </w:rPr>
        <w:t>（11）中控室，值班室及设备间、机房等</w:t>
      </w:r>
    </w:p>
    <w:tbl>
      <w:tblPr>
        <w:tblStyle w:val="29"/>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850"/>
        <w:gridCol w:w="109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734"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日常清扫</w:t>
            </w: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办公台面及文件柜等家具表面清抹</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1次/日</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continue"/>
            <w:vAlign w:val="center"/>
          </w:tcPr>
          <w:p>
            <w:pPr>
              <w:pStyle w:val="18"/>
              <w:ind w:left="0"/>
              <w:rPr>
                <w:rFonts w:ascii="宋体" w:hAnsi="宋体"/>
                <w:bCs/>
                <w:color w:val="auto"/>
                <w:szCs w:val="21"/>
                <w:highlight w:val="none"/>
              </w:rPr>
            </w:pP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清倒垃圾</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1次/日</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w:t>
            </w: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地面清洁</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1次/日</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无污迹、无垃圾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定期清洁</w:t>
            </w: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地面清洁</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1次/月</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无污迹、无垃圾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continue"/>
            <w:vAlign w:val="center"/>
          </w:tcPr>
          <w:p>
            <w:pPr>
              <w:pStyle w:val="18"/>
              <w:ind w:left="0"/>
              <w:rPr>
                <w:rFonts w:ascii="宋体" w:hAnsi="宋体"/>
                <w:bCs/>
                <w:color w:val="auto"/>
                <w:szCs w:val="21"/>
                <w:highlight w:val="none"/>
              </w:rPr>
            </w:pP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机房天花</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1次/月</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734" w:type="dxa"/>
            <w:vMerge w:val="continue"/>
            <w:vAlign w:val="center"/>
          </w:tcPr>
          <w:p>
            <w:pPr>
              <w:pStyle w:val="18"/>
              <w:ind w:left="0"/>
              <w:rPr>
                <w:rFonts w:ascii="宋体" w:hAnsi="宋体"/>
                <w:bCs/>
                <w:color w:val="auto"/>
                <w:szCs w:val="21"/>
                <w:highlight w:val="none"/>
              </w:rPr>
            </w:pP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墙身清洁</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1次/月</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无污迹、保持整体清洁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73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日常清扫</w:t>
            </w:r>
          </w:p>
        </w:tc>
        <w:tc>
          <w:tcPr>
            <w:tcW w:w="285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车场地面</w:t>
            </w:r>
          </w:p>
        </w:tc>
        <w:tc>
          <w:tcPr>
            <w:tcW w:w="1094"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巡视清洁</w:t>
            </w:r>
          </w:p>
        </w:tc>
        <w:tc>
          <w:tcPr>
            <w:tcW w:w="3560"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无烟头、杂物、垃圾、油迹、积水等</w:t>
            </w:r>
          </w:p>
        </w:tc>
      </w:tr>
    </w:tbl>
    <w:p>
      <w:pPr>
        <w:pStyle w:val="18"/>
        <w:ind w:left="0"/>
        <w:rPr>
          <w:rFonts w:ascii="宋体" w:hAnsi="宋体"/>
          <w:bCs/>
          <w:color w:val="auto"/>
          <w:szCs w:val="21"/>
          <w:highlight w:val="none"/>
        </w:rPr>
      </w:pPr>
      <w:r>
        <w:rPr>
          <w:rFonts w:hint="eastAsia" w:ascii="宋体" w:hAnsi="宋体"/>
          <w:bCs/>
          <w:color w:val="auto"/>
          <w:szCs w:val="21"/>
          <w:highlight w:val="none"/>
        </w:rPr>
        <w:t>（12）石材护理服务频率及标准</w:t>
      </w:r>
    </w:p>
    <w:tbl>
      <w:tblPr>
        <w:tblStyle w:val="29"/>
        <w:tblW w:w="4998" w:type="pct"/>
        <w:tblInd w:w="0" w:type="dxa"/>
        <w:tblLayout w:type="fixed"/>
        <w:tblCellMar>
          <w:top w:w="0" w:type="dxa"/>
          <w:left w:w="108" w:type="dxa"/>
          <w:bottom w:w="0" w:type="dxa"/>
          <w:right w:w="108" w:type="dxa"/>
        </w:tblCellMar>
      </w:tblPr>
      <w:tblGrid>
        <w:gridCol w:w="1650"/>
        <w:gridCol w:w="1820"/>
        <w:gridCol w:w="2695"/>
        <w:gridCol w:w="2354"/>
      </w:tblGrid>
      <w:tr>
        <w:tblPrEx>
          <w:tblCellMar>
            <w:top w:w="0" w:type="dxa"/>
            <w:left w:w="108" w:type="dxa"/>
            <w:bottom w:w="0" w:type="dxa"/>
            <w:right w:w="108" w:type="dxa"/>
          </w:tblCellMar>
        </w:tblPrEx>
        <w:trPr>
          <w:trHeight w:val="315"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区域</w:t>
            </w:r>
          </w:p>
        </w:tc>
        <w:tc>
          <w:tcPr>
            <w:tcW w:w="1820"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频次</w:t>
            </w:r>
          </w:p>
        </w:tc>
        <w:tc>
          <w:tcPr>
            <w:tcW w:w="2695"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要求</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效果</w:t>
            </w:r>
          </w:p>
        </w:tc>
      </w:tr>
      <w:tr>
        <w:tblPrEx>
          <w:tblCellMar>
            <w:top w:w="0" w:type="dxa"/>
            <w:left w:w="108" w:type="dxa"/>
            <w:bottom w:w="0" w:type="dxa"/>
            <w:right w:w="108" w:type="dxa"/>
          </w:tblCellMar>
        </w:tblPrEx>
        <w:trPr>
          <w:trHeight w:val="2280" w:hRule="atLeast"/>
        </w:trPr>
        <w:tc>
          <w:tcPr>
            <w:tcW w:w="1650"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园区各楼栋大堂、电梯厅、电梯轿厢</w:t>
            </w:r>
          </w:p>
        </w:tc>
        <w:tc>
          <w:tcPr>
            <w:tcW w:w="1820"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每日作维护抛光；</w:t>
            </w:r>
            <w:r>
              <w:rPr>
                <w:rFonts w:hint="eastAsia" w:ascii="宋体" w:hAnsi="宋体"/>
                <w:bCs/>
                <w:color w:val="auto"/>
                <w:szCs w:val="21"/>
                <w:highlight w:val="none"/>
              </w:rPr>
              <w:br w:type="textWrapping"/>
            </w:r>
            <w:r>
              <w:rPr>
                <w:rFonts w:hint="eastAsia" w:ascii="宋体" w:hAnsi="宋体"/>
                <w:bCs/>
                <w:color w:val="auto"/>
                <w:szCs w:val="21"/>
                <w:highlight w:val="none"/>
              </w:rPr>
              <w:t>每月整体晶面处理一次。</w:t>
            </w:r>
          </w:p>
        </w:tc>
        <w:tc>
          <w:tcPr>
            <w:tcW w:w="2695"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1.对划痕、污染情况出现机率高的主出入口，通道、电梯口等局部区域，不定期进行有针对性的维护抛光；</w:t>
            </w:r>
            <w:r>
              <w:rPr>
                <w:rFonts w:hint="eastAsia" w:ascii="宋体" w:hAnsi="宋体"/>
                <w:bCs/>
                <w:color w:val="auto"/>
                <w:szCs w:val="21"/>
                <w:highlight w:val="none"/>
              </w:rPr>
              <w:br w:type="textWrapping"/>
            </w:r>
            <w:r>
              <w:rPr>
                <w:rFonts w:hint="eastAsia" w:ascii="宋体" w:hAnsi="宋体"/>
                <w:bCs/>
                <w:color w:val="auto"/>
                <w:szCs w:val="21"/>
                <w:highlight w:val="none"/>
              </w:rPr>
              <w:t>2.发现地面发黄或发黑，应及时处理。</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1.解决石材污染、返碱问题；</w:t>
            </w:r>
            <w:r>
              <w:rPr>
                <w:rFonts w:hint="eastAsia" w:ascii="宋体" w:hAnsi="宋体"/>
                <w:bCs/>
                <w:color w:val="auto"/>
                <w:szCs w:val="21"/>
                <w:highlight w:val="none"/>
              </w:rPr>
              <w:br w:type="textWrapping"/>
            </w:r>
            <w:r>
              <w:rPr>
                <w:rFonts w:hint="eastAsia" w:ascii="宋体" w:hAnsi="宋体"/>
                <w:bCs/>
                <w:color w:val="auto"/>
                <w:szCs w:val="21"/>
                <w:highlight w:val="none"/>
              </w:rPr>
              <w:t>2.去除石材的磨损和划痕；</w:t>
            </w:r>
            <w:r>
              <w:rPr>
                <w:rFonts w:hint="eastAsia" w:ascii="宋体" w:hAnsi="宋体"/>
                <w:bCs/>
                <w:color w:val="auto"/>
                <w:szCs w:val="21"/>
                <w:highlight w:val="none"/>
              </w:rPr>
              <w:br w:type="textWrapping"/>
            </w:r>
            <w:r>
              <w:rPr>
                <w:rFonts w:hint="eastAsia" w:ascii="宋体" w:hAnsi="宋体"/>
                <w:bCs/>
                <w:color w:val="auto"/>
                <w:szCs w:val="21"/>
                <w:highlight w:val="none"/>
              </w:rPr>
              <w:t>3.钙化石材、增加石材硬度及光亮度（石材表面亮度应达90度以上）。</w:t>
            </w:r>
          </w:p>
        </w:tc>
      </w:tr>
    </w:tbl>
    <w:p>
      <w:pPr>
        <w:pStyle w:val="18"/>
        <w:ind w:left="0"/>
        <w:rPr>
          <w:rFonts w:ascii="宋体" w:hAnsi="宋体"/>
          <w:bCs/>
          <w:color w:val="auto"/>
          <w:szCs w:val="21"/>
          <w:highlight w:val="none"/>
        </w:rPr>
      </w:pPr>
    </w:p>
    <w:p>
      <w:pPr>
        <w:pStyle w:val="18"/>
        <w:numPr>
          <w:ilvl w:val="0"/>
          <w:numId w:val="1"/>
        </w:numPr>
        <w:ind w:left="0"/>
        <w:rPr>
          <w:rFonts w:ascii="宋体" w:hAnsi="宋体"/>
          <w:bCs/>
          <w:color w:val="auto"/>
          <w:szCs w:val="21"/>
          <w:highlight w:val="none"/>
        </w:rPr>
      </w:pPr>
      <w:r>
        <w:rPr>
          <w:rFonts w:hint="eastAsia" w:ascii="宋体" w:hAnsi="宋体"/>
          <w:bCs/>
          <w:color w:val="auto"/>
          <w:szCs w:val="21"/>
          <w:highlight w:val="none"/>
        </w:rPr>
        <w:t>其他频率及标准</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315"/>
        <w:gridCol w:w="2442"/>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序号</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专项服务</w:t>
            </w:r>
          </w:p>
        </w:tc>
        <w:tc>
          <w:tcPr>
            <w:tcW w:w="2442"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频次</w:t>
            </w:r>
          </w:p>
        </w:tc>
        <w:tc>
          <w:tcPr>
            <w:tcW w:w="264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1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1</w:t>
            </w:r>
          </w:p>
        </w:tc>
        <w:tc>
          <w:tcPr>
            <w:tcW w:w="2315"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u w:val="single"/>
              </w:rPr>
              <w:t>化粪池/隔油池清掏</w:t>
            </w:r>
          </w:p>
        </w:tc>
        <w:tc>
          <w:tcPr>
            <w:tcW w:w="2442"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公寓每季/次，其他按需或每年/次</w:t>
            </w:r>
          </w:p>
        </w:tc>
        <w:tc>
          <w:tcPr>
            <w:tcW w:w="2646"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共</w:t>
            </w:r>
            <w:r>
              <w:rPr>
                <w:rFonts w:ascii="宋体" w:hAnsi="宋体"/>
                <w:bCs/>
                <w:color w:val="auto"/>
                <w:szCs w:val="21"/>
                <w:highlight w:val="none"/>
              </w:rPr>
              <w:t>20</w:t>
            </w:r>
            <w:r>
              <w:rPr>
                <w:rFonts w:hint="eastAsia" w:ascii="宋体" w:hAnsi="宋体"/>
                <w:bCs/>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6"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2</w:t>
            </w:r>
          </w:p>
        </w:tc>
        <w:tc>
          <w:tcPr>
            <w:tcW w:w="2315" w:type="dxa"/>
            <w:vAlign w:val="center"/>
          </w:tcPr>
          <w:p>
            <w:pPr>
              <w:pStyle w:val="18"/>
              <w:ind w:left="0"/>
              <w:jc w:val="center"/>
              <w:rPr>
                <w:rFonts w:ascii="宋体" w:hAnsi="宋体"/>
                <w:bCs/>
                <w:color w:val="auto"/>
                <w:szCs w:val="21"/>
                <w:highlight w:val="none"/>
                <w:u w:val="single"/>
              </w:rPr>
            </w:pPr>
            <w:r>
              <w:rPr>
                <w:rFonts w:hint="eastAsia" w:ascii="宋体" w:hAnsi="宋体"/>
                <w:bCs/>
                <w:color w:val="auto"/>
                <w:szCs w:val="21"/>
                <w:highlight w:val="none"/>
                <w:u w:val="single"/>
              </w:rPr>
              <w:t>生活水箱清洗</w:t>
            </w:r>
          </w:p>
        </w:tc>
        <w:tc>
          <w:tcPr>
            <w:tcW w:w="2442" w:type="dxa"/>
            <w:vAlign w:val="center"/>
          </w:tcPr>
          <w:p>
            <w:pPr>
              <w:pStyle w:val="18"/>
              <w:ind w:left="0"/>
              <w:jc w:val="center"/>
              <w:rPr>
                <w:rFonts w:ascii="宋体" w:hAnsi="宋体"/>
                <w:bCs/>
                <w:color w:val="auto"/>
                <w:szCs w:val="21"/>
                <w:highlight w:val="none"/>
              </w:rPr>
            </w:pPr>
            <w:r>
              <w:rPr>
                <w:rFonts w:hint="eastAsia" w:ascii="宋体" w:hAnsi="宋体"/>
                <w:bCs/>
                <w:color w:val="auto"/>
                <w:szCs w:val="21"/>
                <w:highlight w:val="none"/>
              </w:rPr>
              <w:t>每</w:t>
            </w:r>
            <w:r>
              <w:rPr>
                <w:rFonts w:hint="eastAsia" w:ascii="宋体" w:hAnsi="宋体"/>
                <w:bCs/>
                <w:color w:val="auto"/>
                <w:szCs w:val="21"/>
                <w:highlight w:val="none"/>
                <w:lang w:val="en-US" w:eastAsia="zh-CN"/>
              </w:rPr>
              <w:t>半</w:t>
            </w:r>
            <w:r>
              <w:rPr>
                <w:rFonts w:hint="eastAsia" w:ascii="宋体" w:hAnsi="宋体"/>
                <w:bCs/>
                <w:color w:val="auto"/>
                <w:szCs w:val="21"/>
                <w:highlight w:val="none"/>
              </w:rPr>
              <w:t>年1次</w:t>
            </w:r>
          </w:p>
        </w:tc>
        <w:tc>
          <w:tcPr>
            <w:tcW w:w="2646"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共</w:t>
            </w:r>
            <w:r>
              <w:rPr>
                <w:rFonts w:ascii="宋体" w:hAnsi="宋体"/>
                <w:bCs/>
                <w:color w:val="auto"/>
                <w:szCs w:val="21"/>
                <w:highlight w:val="none"/>
              </w:rPr>
              <w:t>23</w:t>
            </w:r>
            <w:r>
              <w:rPr>
                <w:rFonts w:hint="eastAsia" w:ascii="宋体" w:hAnsi="宋体"/>
                <w:bCs/>
                <w:color w:val="auto"/>
                <w:szCs w:val="21"/>
                <w:highlight w:val="none"/>
              </w:rPr>
              <w:t>个水箱，含水质检测</w:t>
            </w:r>
          </w:p>
        </w:tc>
      </w:tr>
    </w:tbl>
    <w:p>
      <w:pPr>
        <w:ind w:firstLine="420" w:firstLineChars="200"/>
        <w:rPr>
          <w:rFonts w:ascii="宋体" w:hAnsi="宋体"/>
          <w:bCs/>
          <w:color w:val="auto"/>
          <w:szCs w:val="21"/>
          <w:highlight w:val="none"/>
        </w:rPr>
      </w:pPr>
    </w:p>
    <w:p>
      <w:pPr>
        <w:rPr>
          <w:rFonts w:ascii="宋体" w:hAnsi="宋体"/>
          <w:b/>
          <w:color w:val="auto"/>
          <w:szCs w:val="21"/>
          <w:highlight w:val="none"/>
        </w:rPr>
      </w:pPr>
      <w:r>
        <w:rPr>
          <w:rFonts w:hint="eastAsia" w:ascii="宋体" w:hAnsi="宋体"/>
          <w:b/>
          <w:color w:val="auto"/>
          <w:szCs w:val="21"/>
          <w:highlight w:val="none"/>
        </w:rPr>
        <w:t>六、 考核管理</w:t>
      </w:r>
    </w:p>
    <w:p>
      <w:pPr>
        <w:pStyle w:val="18"/>
        <w:ind w:left="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1</w:t>
      </w:r>
      <w:r>
        <w:rPr>
          <w:rFonts w:hint="eastAsia" w:ascii="宋体" w:hAnsi="宋体"/>
          <w:bCs/>
          <w:color w:val="auto"/>
          <w:szCs w:val="21"/>
          <w:highlight w:val="none"/>
        </w:rPr>
        <w:t>考核应用</w:t>
      </w:r>
    </w:p>
    <w:p>
      <w:pPr>
        <w:pStyle w:val="18"/>
        <w:ind w:left="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1.1</w:t>
      </w:r>
      <w:r>
        <w:rPr>
          <w:rFonts w:hint="eastAsia" w:ascii="宋体" w:hAnsi="宋体"/>
          <w:bCs/>
          <w:color w:val="auto"/>
          <w:szCs w:val="21"/>
          <w:highlight w:val="none"/>
        </w:rPr>
        <w:t>清洁月度检查标准</w:t>
      </w:r>
    </w:p>
    <w:tbl>
      <w:tblPr>
        <w:tblStyle w:val="29"/>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79"/>
        <w:gridCol w:w="459"/>
        <w:gridCol w:w="3117"/>
        <w:gridCol w:w="2117"/>
        <w:gridCol w:w="921"/>
        <w:gridCol w:w="921"/>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blHeader/>
        </w:trPr>
        <w:tc>
          <w:tcPr>
            <w:tcW w:w="67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检查项目</w:t>
            </w:r>
          </w:p>
        </w:tc>
        <w:tc>
          <w:tcPr>
            <w:tcW w:w="45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序号</w:t>
            </w:r>
          </w:p>
        </w:tc>
        <w:tc>
          <w:tcPr>
            <w:tcW w:w="3117"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达 到 标 准</w:t>
            </w:r>
          </w:p>
        </w:tc>
        <w:tc>
          <w:tcPr>
            <w:tcW w:w="2117"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注 解</w:t>
            </w:r>
          </w:p>
        </w:tc>
        <w:tc>
          <w:tcPr>
            <w:tcW w:w="92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第一次</w:t>
            </w:r>
          </w:p>
        </w:tc>
        <w:tc>
          <w:tcPr>
            <w:tcW w:w="92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第二次</w:t>
            </w:r>
          </w:p>
        </w:tc>
        <w:tc>
          <w:tcPr>
            <w:tcW w:w="88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blHeader/>
        </w:trPr>
        <w:tc>
          <w:tcPr>
            <w:tcW w:w="679" w:type="dxa"/>
            <w:vMerge w:val="continue"/>
            <w:vAlign w:val="center"/>
          </w:tcPr>
          <w:p>
            <w:pPr>
              <w:pStyle w:val="18"/>
              <w:ind w:left="0"/>
              <w:rPr>
                <w:rFonts w:ascii="宋体" w:hAnsi="宋体"/>
                <w:bCs/>
                <w:color w:val="auto"/>
                <w:szCs w:val="21"/>
                <w:highlight w:val="none"/>
              </w:rPr>
            </w:pPr>
          </w:p>
        </w:tc>
        <w:tc>
          <w:tcPr>
            <w:tcW w:w="459" w:type="dxa"/>
            <w:vMerge w:val="continue"/>
            <w:vAlign w:val="center"/>
          </w:tcPr>
          <w:p>
            <w:pPr>
              <w:pStyle w:val="18"/>
              <w:ind w:left="0"/>
              <w:rPr>
                <w:rFonts w:ascii="宋体" w:hAnsi="宋体"/>
                <w:bCs/>
                <w:color w:val="auto"/>
                <w:szCs w:val="21"/>
                <w:highlight w:val="none"/>
              </w:rPr>
            </w:pPr>
          </w:p>
        </w:tc>
        <w:tc>
          <w:tcPr>
            <w:tcW w:w="3117" w:type="dxa"/>
            <w:vMerge w:val="continue"/>
          </w:tcPr>
          <w:p>
            <w:pPr>
              <w:pStyle w:val="18"/>
              <w:ind w:left="0"/>
              <w:rPr>
                <w:rFonts w:ascii="宋体" w:hAnsi="宋体"/>
                <w:bCs/>
                <w:color w:val="auto"/>
                <w:szCs w:val="21"/>
                <w:highlight w:val="none"/>
              </w:rPr>
            </w:pPr>
          </w:p>
        </w:tc>
        <w:tc>
          <w:tcPr>
            <w:tcW w:w="2117" w:type="dxa"/>
            <w:vMerge w:val="continue"/>
          </w:tcPr>
          <w:p>
            <w:pPr>
              <w:pStyle w:val="18"/>
              <w:ind w:left="0"/>
              <w:rPr>
                <w:rFonts w:ascii="宋体" w:hAnsi="宋体"/>
                <w:bCs/>
                <w:color w:val="auto"/>
                <w:szCs w:val="21"/>
                <w:highlight w:val="none"/>
              </w:rPr>
            </w:pPr>
          </w:p>
        </w:tc>
        <w:tc>
          <w:tcPr>
            <w:tcW w:w="92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操作责任</w:t>
            </w:r>
          </w:p>
        </w:tc>
        <w:tc>
          <w:tcPr>
            <w:tcW w:w="92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操作+管理责任</w:t>
            </w:r>
          </w:p>
        </w:tc>
        <w:tc>
          <w:tcPr>
            <w:tcW w:w="88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操作+管理责任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一、管理</w:t>
            </w: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保洁员的入职、辞职（含辞退、解雇、调离）、升职须得到甲方/甲方的书面许可。</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每周由乙方提前书面通知我方，经我方签署意见后实施。</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一处不符合要求，扣管理分1分</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乙方应在每月28日前，向甲方递交下个月培训计划和当月培训总结。</w:t>
            </w:r>
          </w:p>
          <w:p>
            <w:pPr>
              <w:pStyle w:val="18"/>
              <w:ind w:left="0"/>
              <w:rPr>
                <w:rFonts w:ascii="宋体" w:hAnsi="宋体"/>
                <w:bCs/>
                <w:color w:val="auto"/>
                <w:szCs w:val="21"/>
                <w:highlight w:val="none"/>
              </w:rPr>
            </w:pPr>
            <w:r>
              <w:rPr>
                <w:rFonts w:hint="eastAsia" w:ascii="宋体" w:hAnsi="宋体"/>
                <w:bCs/>
                <w:color w:val="auto"/>
                <w:szCs w:val="21"/>
                <w:highlight w:val="none"/>
              </w:rPr>
              <w:t>每周开展不少于3小时的培训（含礼仪培训、专业知识培训、操作流程培训、安全知识培训、设备使用培训等）。</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乙方应重视员工队伍的建设和培训工作。</w:t>
            </w:r>
          </w:p>
          <w:p>
            <w:pPr>
              <w:pStyle w:val="18"/>
              <w:ind w:left="0"/>
              <w:rPr>
                <w:rFonts w:ascii="宋体" w:hAnsi="宋体"/>
                <w:bCs/>
                <w:color w:val="auto"/>
                <w:szCs w:val="21"/>
                <w:highlight w:val="none"/>
              </w:rPr>
            </w:pPr>
            <w:r>
              <w:rPr>
                <w:rFonts w:hint="eastAsia" w:ascii="宋体" w:hAnsi="宋体"/>
                <w:bCs/>
                <w:color w:val="auto"/>
                <w:szCs w:val="21"/>
                <w:highlight w:val="none"/>
              </w:rPr>
              <w:t>将根据计划进行实地抽查，未实施、未按规定时间培训、培训无记录、培训人员未参加培训等任一项不符合、培训效果达不到标准，均作为不合格。</w:t>
            </w: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每周五提交下周工作计划和本周工作小结。</w:t>
            </w:r>
          </w:p>
          <w:p>
            <w:pPr>
              <w:pStyle w:val="18"/>
              <w:ind w:left="0"/>
              <w:rPr>
                <w:rFonts w:ascii="宋体" w:hAnsi="宋体"/>
                <w:bCs/>
                <w:color w:val="auto"/>
                <w:szCs w:val="21"/>
                <w:highlight w:val="none"/>
              </w:rPr>
            </w:pPr>
            <w:r>
              <w:rPr>
                <w:rFonts w:hint="eastAsia" w:ascii="宋体" w:hAnsi="宋体"/>
                <w:bCs/>
                <w:color w:val="auto"/>
                <w:szCs w:val="21"/>
                <w:highlight w:val="none"/>
              </w:rPr>
              <w:t>每月28日前上交本月度工作总结及下月工作计划。</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双方均应重视计划性工作，按计划有序向前推动工作，逐步提升现场管理效果和服务品质。</w:t>
            </w:r>
          </w:p>
          <w:p>
            <w:pPr>
              <w:pStyle w:val="18"/>
              <w:ind w:left="0"/>
              <w:rPr>
                <w:rFonts w:ascii="宋体" w:hAnsi="宋体"/>
                <w:bCs/>
                <w:color w:val="auto"/>
                <w:szCs w:val="21"/>
                <w:highlight w:val="none"/>
              </w:rPr>
            </w:pPr>
            <w:r>
              <w:rPr>
                <w:rFonts w:hint="eastAsia" w:ascii="宋体" w:hAnsi="宋体"/>
                <w:bCs/>
                <w:color w:val="auto"/>
                <w:szCs w:val="21"/>
                <w:highlight w:val="none"/>
              </w:rPr>
              <w:t>将根据计划进行检查，缺其中一项，算不合格。</w:t>
            </w: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4</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乙方派驻在现场的管理人员和作业人员，均应服从甲方的工作调遣，按甲方要求参加有关的会议和培训工作。</w:t>
            </w:r>
          </w:p>
          <w:p>
            <w:pPr>
              <w:pStyle w:val="18"/>
              <w:ind w:left="0"/>
              <w:rPr>
                <w:rFonts w:ascii="宋体" w:hAnsi="宋体"/>
                <w:bCs/>
                <w:color w:val="auto"/>
                <w:szCs w:val="21"/>
                <w:highlight w:val="none"/>
              </w:rPr>
            </w:pPr>
            <w:r>
              <w:rPr>
                <w:rFonts w:hint="eastAsia" w:ascii="宋体" w:hAnsi="宋体"/>
                <w:bCs/>
                <w:color w:val="auto"/>
                <w:szCs w:val="21"/>
                <w:highlight w:val="none"/>
              </w:rPr>
              <w:t>基于专业技能并根据要求提供妥善的保洁建议。</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未在规定时间参会，会议无记录，算为不合格。</w:t>
            </w: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1"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5</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按周计划、月计划进行清洁、保洁。</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经检查未达到清洁要求。</w:t>
            </w:r>
          </w:p>
        </w:tc>
        <w:tc>
          <w:tcPr>
            <w:tcW w:w="92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未完成1项扣1分</w:t>
            </w:r>
          </w:p>
        </w:tc>
        <w:tc>
          <w:tcPr>
            <w:tcW w:w="92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6</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保证人员到岗，到位人员流动率不得超过20%/月。</w:t>
            </w:r>
          </w:p>
          <w:p>
            <w:pPr>
              <w:pStyle w:val="18"/>
              <w:ind w:left="0"/>
              <w:rPr>
                <w:rFonts w:ascii="宋体" w:hAnsi="宋体"/>
                <w:bCs/>
                <w:color w:val="auto"/>
                <w:szCs w:val="21"/>
                <w:highlight w:val="none"/>
              </w:rPr>
            </w:pPr>
            <w:r>
              <w:rPr>
                <w:rFonts w:hint="eastAsia" w:ascii="宋体" w:hAnsi="宋体"/>
                <w:bCs/>
                <w:color w:val="auto"/>
                <w:szCs w:val="21"/>
                <w:highlight w:val="none"/>
              </w:rPr>
              <w:t>交接班记录、检查记录、各类检查表、考勤表、打卡记录。</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不得发生缺员。</w:t>
            </w:r>
          </w:p>
        </w:tc>
        <w:tc>
          <w:tcPr>
            <w:tcW w:w="2731" w:type="dxa"/>
            <w:gridSpan w:val="3"/>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流动率每超过20%/月，扣10分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二、着装</w:t>
            </w: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7</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按规定穿着制服（含冬装、夏装），佩戴齐全、正确，装备佩戴正确。</w:t>
            </w:r>
          </w:p>
        </w:tc>
        <w:tc>
          <w:tcPr>
            <w:tcW w:w="2117"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违反任意一项为不合格。</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每人1处不符合要求扣1分</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8</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制服整洁无污物、干净无破损、不缺衣扣。</w:t>
            </w:r>
          </w:p>
          <w:p>
            <w:pPr>
              <w:pStyle w:val="18"/>
              <w:ind w:left="0"/>
              <w:rPr>
                <w:rFonts w:ascii="宋体" w:hAnsi="宋体"/>
                <w:bCs/>
                <w:color w:val="auto"/>
                <w:szCs w:val="21"/>
                <w:highlight w:val="none"/>
              </w:rPr>
            </w:pPr>
            <w:r>
              <w:rPr>
                <w:rFonts w:hint="eastAsia" w:ascii="宋体" w:hAnsi="宋体"/>
                <w:bCs/>
                <w:color w:val="auto"/>
                <w:szCs w:val="21"/>
                <w:highlight w:val="none"/>
              </w:rPr>
              <w:t>统一制装，颜色差异较大的制装不得新旧混穿。</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三、服务态度</w:t>
            </w: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9</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工作期间不得伸懒腰、袖手、背手、叉腰或将手插入衣（裤）袋。</w:t>
            </w:r>
          </w:p>
        </w:tc>
        <w:tc>
          <w:tcPr>
            <w:tcW w:w="2117"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违反任意一项为不合格。</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每人1处不符合要求扣1分</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10</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态度和蔼、微笑服务。</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11</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服务意识强，周到热情。</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12</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对客户正当的要求帮助，能主动帮助、协助解决。</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四、工作纪律</w:t>
            </w: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13</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坚守岗位，执行岗位责任制，按时交接班，严禁脱岗，缺岗、误班。</w:t>
            </w:r>
          </w:p>
        </w:tc>
        <w:tc>
          <w:tcPr>
            <w:tcW w:w="2117"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违反任意一项为不合格。</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每人1处不符合要求扣1分</w:t>
            </w:r>
          </w:p>
        </w:tc>
        <w:tc>
          <w:tcPr>
            <w:tcW w:w="921" w:type="dxa"/>
            <w:vMerge w:val="restart"/>
            <w:vAlign w:val="center"/>
          </w:tcPr>
          <w:p>
            <w:pPr>
              <w:pStyle w:val="18"/>
              <w:ind w:left="0"/>
              <w:rPr>
                <w:rFonts w:ascii="宋体" w:hAnsi="宋体"/>
                <w:bCs/>
                <w:color w:val="auto"/>
                <w:szCs w:val="21"/>
                <w:highlight w:val="none"/>
              </w:rPr>
            </w:pPr>
          </w:p>
        </w:tc>
        <w:tc>
          <w:tcPr>
            <w:tcW w:w="889" w:type="dxa"/>
            <w:vMerge w:val="restart"/>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14</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不得迟到、早退。</w:t>
            </w:r>
          </w:p>
        </w:tc>
        <w:tc>
          <w:tcPr>
            <w:tcW w:w="2117" w:type="dxa"/>
            <w:vMerge w:val="continue"/>
            <w:vAlign w:val="center"/>
          </w:tcPr>
          <w:p>
            <w:pPr>
              <w:pStyle w:val="18"/>
              <w:ind w:left="0"/>
              <w:rPr>
                <w:rFonts w:ascii="宋体" w:hAnsi="宋体"/>
                <w:bCs/>
                <w:color w:val="auto"/>
                <w:szCs w:val="21"/>
                <w:highlight w:val="none"/>
              </w:rPr>
            </w:pPr>
          </w:p>
        </w:tc>
        <w:tc>
          <w:tcPr>
            <w:tcW w:w="921" w:type="dxa"/>
            <w:vMerge w:val="continue"/>
            <w:vAlign w:val="center"/>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15</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员工上下班必须由指定路线进出大厦，不得乘坐客梯（特许除外）。</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16</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当班时间不得窜岗、离岗（特许除外）闲聊、勾肩搭背、并大声喧哗。</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17</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男员工不得有：留长发、头发不干净，留胡须，剃光头；</w:t>
            </w:r>
          </w:p>
          <w:p>
            <w:pPr>
              <w:pStyle w:val="18"/>
              <w:ind w:left="0"/>
              <w:rPr>
                <w:rFonts w:ascii="宋体" w:hAnsi="宋体"/>
                <w:bCs/>
                <w:color w:val="auto"/>
                <w:szCs w:val="21"/>
                <w:highlight w:val="none"/>
              </w:rPr>
            </w:pPr>
            <w:r>
              <w:rPr>
                <w:rFonts w:hint="eastAsia" w:ascii="宋体" w:hAnsi="宋体"/>
                <w:bCs/>
                <w:color w:val="auto"/>
                <w:szCs w:val="21"/>
                <w:highlight w:val="none"/>
              </w:rPr>
              <w:t>女员工不得有：佩带金银首饰、浓妆、涂指甲油、留长指甲、长发未戴发髻。</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18</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员工不得在公共区域内抽烟或随地吐痰，丢杂物。</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19</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当值期间不得打私人电话。</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20</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当班时不得睡觉、打牌、看书或办其他私事等。</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21</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保洁工具不得乱丢乱放。</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22</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不按规定时间就餐或在工作岗位上吃食。</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23</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在任何区域发现客户遗留物品应即时上交。</w:t>
            </w:r>
          </w:p>
        </w:tc>
        <w:tc>
          <w:tcPr>
            <w:tcW w:w="2117" w:type="dxa"/>
            <w:vMerge w:val="continue"/>
            <w:vAlign w:val="center"/>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24</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当班时不准接待亲朋好友，如需必要，应先告知主管/领班，并请其安排事宜。</w:t>
            </w:r>
          </w:p>
        </w:tc>
        <w:tc>
          <w:tcPr>
            <w:tcW w:w="2117" w:type="dxa"/>
            <w:vMerge w:val="continue"/>
            <w:vAlign w:val="center"/>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25</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上岗之前必须列队召开班前例会，下岗后必须列队召开班后会，由主管总结一天的工作，提出批评和表扬以及跟进事宜。</w:t>
            </w:r>
          </w:p>
        </w:tc>
        <w:tc>
          <w:tcPr>
            <w:tcW w:w="2117" w:type="dxa"/>
            <w:vMerge w:val="continue"/>
            <w:vAlign w:val="center"/>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26</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不服从上级指令，不完成指派的工作。</w:t>
            </w:r>
          </w:p>
        </w:tc>
        <w:tc>
          <w:tcPr>
            <w:tcW w:w="2117"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如有租户或甲方员工投诉服务问题，不管大小一律视为不合格。</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每人1处不符合要求扣5分</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27</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不得在大厦内有偷窃、吵架、打架行为。</w:t>
            </w:r>
          </w:p>
        </w:tc>
        <w:tc>
          <w:tcPr>
            <w:tcW w:w="2117" w:type="dxa"/>
            <w:vMerge w:val="continue"/>
            <w:vAlign w:val="center"/>
          </w:tcPr>
          <w:p>
            <w:pPr>
              <w:pStyle w:val="18"/>
              <w:ind w:left="0"/>
              <w:rPr>
                <w:rFonts w:ascii="宋体" w:hAnsi="宋体"/>
                <w:bCs/>
                <w:color w:val="auto"/>
                <w:szCs w:val="21"/>
                <w:highlight w:val="none"/>
              </w:rPr>
            </w:pPr>
          </w:p>
        </w:tc>
        <w:tc>
          <w:tcPr>
            <w:tcW w:w="921" w:type="dxa"/>
            <w:vMerge w:val="continue"/>
            <w:vAlign w:val="center"/>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28</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不得在大厦内进行任何形式的赌博活动。</w:t>
            </w:r>
          </w:p>
        </w:tc>
        <w:tc>
          <w:tcPr>
            <w:tcW w:w="2117" w:type="dxa"/>
            <w:vMerge w:val="continue"/>
            <w:vAlign w:val="center"/>
          </w:tcPr>
          <w:p>
            <w:pPr>
              <w:pStyle w:val="18"/>
              <w:ind w:left="0"/>
              <w:rPr>
                <w:rFonts w:ascii="宋体" w:hAnsi="宋体"/>
                <w:bCs/>
                <w:color w:val="auto"/>
                <w:szCs w:val="21"/>
                <w:highlight w:val="none"/>
              </w:rPr>
            </w:pPr>
          </w:p>
        </w:tc>
        <w:tc>
          <w:tcPr>
            <w:tcW w:w="921" w:type="dxa"/>
            <w:vMerge w:val="continue"/>
            <w:vAlign w:val="center"/>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29</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不得在任何情况下和客户发生争执。</w:t>
            </w:r>
          </w:p>
        </w:tc>
        <w:tc>
          <w:tcPr>
            <w:tcW w:w="2117" w:type="dxa"/>
            <w:vMerge w:val="continue"/>
            <w:vAlign w:val="center"/>
          </w:tcPr>
          <w:p>
            <w:pPr>
              <w:pStyle w:val="18"/>
              <w:ind w:left="0"/>
              <w:rPr>
                <w:rFonts w:ascii="宋体" w:hAnsi="宋体"/>
                <w:bCs/>
                <w:color w:val="auto"/>
                <w:szCs w:val="21"/>
                <w:highlight w:val="none"/>
              </w:rPr>
            </w:pPr>
          </w:p>
        </w:tc>
        <w:tc>
          <w:tcPr>
            <w:tcW w:w="921" w:type="dxa"/>
            <w:vMerge w:val="continue"/>
            <w:vAlign w:val="center"/>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30</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客户投诉处理及时率</w:t>
            </w:r>
          </w:p>
        </w:tc>
        <w:tc>
          <w:tcPr>
            <w:tcW w:w="2117" w:type="dxa"/>
            <w:vMerge w:val="continue"/>
            <w:vAlign w:val="center"/>
          </w:tcPr>
          <w:p>
            <w:pPr>
              <w:pStyle w:val="18"/>
              <w:ind w:left="0"/>
              <w:rPr>
                <w:rFonts w:ascii="宋体" w:hAnsi="宋体"/>
                <w:bCs/>
                <w:color w:val="auto"/>
                <w:szCs w:val="21"/>
                <w:highlight w:val="none"/>
              </w:rPr>
            </w:pPr>
          </w:p>
        </w:tc>
        <w:tc>
          <w:tcPr>
            <w:tcW w:w="921" w:type="dxa"/>
            <w:vAlign w:val="center"/>
          </w:tcPr>
          <w:p>
            <w:pPr>
              <w:pStyle w:val="18"/>
              <w:ind w:left="0"/>
              <w:rPr>
                <w:rFonts w:ascii="宋体" w:hAnsi="宋体"/>
                <w:bCs/>
                <w:color w:val="auto"/>
                <w:szCs w:val="21"/>
                <w:highlight w:val="none"/>
              </w:rPr>
            </w:pPr>
          </w:p>
        </w:tc>
        <w:tc>
          <w:tcPr>
            <w:tcW w:w="921" w:type="dxa"/>
          </w:tcPr>
          <w:p>
            <w:pPr>
              <w:pStyle w:val="18"/>
              <w:ind w:left="0"/>
              <w:rPr>
                <w:rFonts w:ascii="宋体" w:hAnsi="宋体"/>
                <w:bCs/>
                <w:color w:val="auto"/>
                <w:szCs w:val="21"/>
                <w:highlight w:val="none"/>
              </w:rPr>
            </w:pPr>
          </w:p>
        </w:tc>
        <w:tc>
          <w:tcPr>
            <w:tcW w:w="889" w:type="dxa"/>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31</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突发事件响应机制</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遇突发事件是否在5分钟内响应，超时视为不合格</w:t>
            </w:r>
          </w:p>
        </w:tc>
        <w:tc>
          <w:tcPr>
            <w:tcW w:w="921" w:type="dxa"/>
            <w:vAlign w:val="center"/>
          </w:tcPr>
          <w:p>
            <w:pPr>
              <w:pStyle w:val="18"/>
              <w:ind w:left="0"/>
              <w:rPr>
                <w:rFonts w:ascii="宋体" w:hAnsi="宋体"/>
                <w:bCs/>
                <w:color w:val="auto"/>
                <w:szCs w:val="21"/>
                <w:highlight w:val="none"/>
              </w:rPr>
            </w:pPr>
          </w:p>
        </w:tc>
        <w:tc>
          <w:tcPr>
            <w:tcW w:w="921" w:type="dxa"/>
          </w:tcPr>
          <w:p>
            <w:pPr>
              <w:pStyle w:val="18"/>
              <w:ind w:left="0"/>
              <w:rPr>
                <w:rFonts w:ascii="宋体" w:hAnsi="宋体"/>
                <w:bCs/>
                <w:color w:val="auto"/>
                <w:szCs w:val="21"/>
                <w:highlight w:val="none"/>
              </w:rPr>
            </w:pPr>
          </w:p>
        </w:tc>
        <w:tc>
          <w:tcPr>
            <w:tcW w:w="889" w:type="dxa"/>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五、表格记录</w:t>
            </w: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32</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各种记录表格选用、使用符合现场要求，填写内容及时、正确、完整，字体工整，管理人员按规定巡查签名完整。</w:t>
            </w:r>
          </w:p>
        </w:tc>
        <w:tc>
          <w:tcPr>
            <w:tcW w:w="2117"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每周、月检查，各种记录表格等每月归档，档案未归类。归类不完整、不齐全为不合格。</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每1处不符合要求扣1分</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33</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各记录表格按规定的时间收集、分类、汇总、保存，做到检索方便、完整。</w:t>
            </w:r>
          </w:p>
        </w:tc>
        <w:tc>
          <w:tcPr>
            <w:tcW w:w="2117" w:type="dxa"/>
            <w:vMerge w:val="continue"/>
            <w:vAlign w:val="center"/>
          </w:tcPr>
          <w:p>
            <w:pPr>
              <w:pStyle w:val="18"/>
              <w:ind w:left="0"/>
              <w:rPr>
                <w:rFonts w:ascii="宋体" w:hAnsi="宋体"/>
                <w:bCs/>
                <w:color w:val="auto"/>
                <w:szCs w:val="21"/>
                <w:highlight w:val="none"/>
              </w:rPr>
            </w:pPr>
          </w:p>
        </w:tc>
        <w:tc>
          <w:tcPr>
            <w:tcW w:w="921" w:type="dxa"/>
            <w:vMerge w:val="continue"/>
            <w:vAlign w:val="center"/>
          </w:tcPr>
          <w:p>
            <w:pPr>
              <w:pStyle w:val="18"/>
              <w:ind w:left="0"/>
              <w:rPr>
                <w:rFonts w:ascii="宋体" w:hAnsi="宋体"/>
                <w:bCs/>
                <w:color w:val="auto"/>
                <w:szCs w:val="21"/>
                <w:highlight w:val="none"/>
              </w:rPr>
            </w:pPr>
          </w:p>
        </w:tc>
        <w:tc>
          <w:tcPr>
            <w:tcW w:w="921" w:type="dxa"/>
            <w:vMerge w:val="continue"/>
            <w:vAlign w:val="center"/>
          </w:tcPr>
          <w:p>
            <w:pPr>
              <w:pStyle w:val="18"/>
              <w:ind w:left="0"/>
              <w:rPr>
                <w:rFonts w:ascii="宋体" w:hAnsi="宋体"/>
                <w:bCs/>
                <w:color w:val="auto"/>
                <w:szCs w:val="21"/>
                <w:highlight w:val="none"/>
              </w:rPr>
            </w:pPr>
          </w:p>
        </w:tc>
        <w:tc>
          <w:tcPr>
            <w:tcW w:w="889" w:type="dxa"/>
            <w:vMerge w:val="continue"/>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34</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各种记录表格按规定时间提交。</w:t>
            </w:r>
          </w:p>
        </w:tc>
        <w:tc>
          <w:tcPr>
            <w:tcW w:w="2117" w:type="dxa"/>
            <w:vMerge w:val="continue"/>
            <w:vAlign w:val="center"/>
          </w:tcPr>
          <w:p>
            <w:pPr>
              <w:pStyle w:val="18"/>
              <w:ind w:left="0"/>
              <w:rPr>
                <w:rFonts w:ascii="宋体" w:hAnsi="宋体"/>
                <w:bCs/>
                <w:color w:val="auto"/>
                <w:szCs w:val="21"/>
                <w:highlight w:val="none"/>
              </w:rPr>
            </w:pPr>
          </w:p>
        </w:tc>
        <w:tc>
          <w:tcPr>
            <w:tcW w:w="921" w:type="dxa"/>
            <w:vMerge w:val="continue"/>
            <w:vAlign w:val="center"/>
          </w:tcPr>
          <w:p>
            <w:pPr>
              <w:pStyle w:val="18"/>
              <w:ind w:left="0"/>
              <w:rPr>
                <w:rFonts w:ascii="宋体" w:hAnsi="宋体"/>
                <w:bCs/>
                <w:color w:val="auto"/>
                <w:szCs w:val="21"/>
                <w:highlight w:val="none"/>
              </w:rPr>
            </w:pPr>
          </w:p>
        </w:tc>
        <w:tc>
          <w:tcPr>
            <w:tcW w:w="921" w:type="dxa"/>
            <w:vMerge w:val="continue"/>
            <w:vAlign w:val="center"/>
          </w:tcPr>
          <w:p>
            <w:pPr>
              <w:pStyle w:val="18"/>
              <w:ind w:left="0"/>
              <w:rPr>
                <w:rFonts w:ascii="宋体" w:hAnsi="宋体"/>
                <w:bCs/>
                <w:color w:val="auto"/>
                <w:szCs w:val="21"/>
                <w:highlight w:val="none"/>
              </w:rPr>
            </w:pPr>
          </w:p>
        </w:tc>
        <w:tc>
          <w:tcPr>
            <w:tcW w:w="889" w:type="dxa"/>
            <w:vMerge w:val="continue"/>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六、保洁质量</w:t>
            </w: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35</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日检：</w:t>
            </w:r>
          </w:p>
          <w:p>
            <w:pPr>
              <w:pStyle w:val="18"/>
              <w:ind w:left="0"/>
              <w:rPr>
                <w:rFonts w:ascii="宋体" w:hAnsi="宋体"/>
                <w:bCs/>
                <w:color w:val="auto"/>
                <w:szCs w:val="21"/>
                <w:highlight w:val="none"/>
              </w:rPr>
            </w:pPr>
            <w:r>
              <w:rPr>
                <w:rFonts w:hint="eastAsia" w:ascii="宋体" w:hAnsi="宋体"/>
                <w:bCs/>
                <w:color w:val="auto"/>
                <w:szCs w:val="21"/>
                <w:highlight w:val="none"/>
              </w:rPr>
              <w:t>依据合同中《保洁服务频率及标准》和保洁频率、保洁巡回检查表内容。</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每1处不符合清洁要求扣1分</w:t>
            </w:r>
          </w:p>
        </w:tc>
        <w:tc>
          <w:tcPr>
            <w:tcW w:w="921" w:type="dxa"/>
            <w:vAlign w:val="center"/>
          </w:tcPr>
          <w:p>
            <w:pPr>
              <w:pStyle w:val="18"/>
              <w:ind w:left="0"/>
              <w:rPr>
                <w:rFonts w:ascii="宋体" w:hAnsi="宋体"/>
                <w:bCs/>
                <w:color w:val="auto"/>
                <w:szCs w:val="21"/>
                <w:highlight w:val="none"/>
              </w:rPr>
            </w:pPr>
          </w:p>
        </w:tc>
        <w:tc>
          <w:tcPr>
            <w:tcW w:w="889" w:type="dxa"/>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36</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周检：</w:t>
            </w:r>
          </w:p>
          <w:p>
            <w:pPr>
              <w:pStyle w:val="18"/>
              <w:ind w:left="0"/>
              <w:rPr>
                <w:rFonts w:ascii="宋体" w:hAnsi="宋体"/>
                <w:bCs/>
                <w:color w:val="auto"/>
                <w:szCs w:val="21"/>
                <w:highlight w:val="none"/>
              </w:rPr>
            </w:pPr>
            <w:r>
              <w:rPr>
                <w:rFonts w:hint="eastAsia" w:ascii="宋体" w:hAnsi="宋体"/>
                <w:bCs/>
                <w:color w:val="auto"/>
                <w:szCs w:val="21"/>
                <w:highlight w:val="none"/>
              </w:rPr>
              <w:t>依据合同中《保洁服务频率及标准》和现场保洁频率。</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每1处不符合清洁要求扣2分</w:t>
            </w:r>
          </w:p>
        </w:tc>
        <w:tc>
          <w:tcPr>
            <w:tcW w:w="921" w:type="dxa"/>
            <w:vAlign w:val="center"/>
          </w:tcPr>
          <w:p>
            <w:pPr>
              <w:pStyle w:val="18"/>
              <w:ind w:left="0"/>
              <w:rPr>
                <w:rFonts w:ascii="宋体" w:hAnsi="宋体"/>
                <w:bCs/>
                <w:color w:val="auto"/>
                <w:szCs w:val="21"/>
                <w:highlight w:val="none"/>
              </w:rPr>
            </w:pPr>
          </w:p>
        </w:tc>
        <w:tc>
          <w:tcPr>
            <w:tcW w:w="889" w:type="dxa"/>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37</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月检：</w:t>
            </w:r>
          </w:p>
          <w:p>
            <w:pPr>
              <w:pStyle w:val="18"/>
              <w:ind w:left="0"/>
              <w:rPr>
                <w:rFonts w:ascii="宋体" w:hAnsi="宋体"/>
                <w:bCs/>
                <w:color w:val="auto"/>
                <w:szCs w:val="21"/>
                <w:highlight w:val="none"/>
              </w:rPr>
            </w:pPr>
            <w:r>
              <w:rPr>
                <w:rFonts w:hint="eastAsia" w:ascii="宋体" w:hAnsi="宋体"/>
                <w:bCs/>
                <w:color w:val="auto"/>
                <w:szCs w:val="21"/>
                <w:highlight w:val="none"/>
              </w:rPr>
              <w:t>依据合同中《保洁服务频率及标准》和现场保洁频率。</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每1处不符合清洁要求扣4分</w:t>
            </w:r>
          </w:p>
        </w:tc>
        <w:tc>
          <w:tcPr>
            <w:tcW w:w="921" w:type="dxa"/>
            <w:vAlign w:val="center"/>
          </w:tcPr>
          <w:p>
            <w:pPr>
              <w:pStyle w:val="18"/>
              <w:ind w:left="0"/>
              <w:rPr>
                <w:rFonts w:ascii="宋体" w:hAnsi="宋体"/>
                <w:bCs/>
                <w:color w:val="auto"/>
                <w:szCs w:val="21"/>
                <w:highlight w:val="none"/>
              </w:rPr>
            </w:pPr>
          </w:p>
        </w:tc>
        <w:tc>
          <w:tcPr>
            <w:tcW w:w="889" w:type="dxa"/>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七、操作规程</w:t>
            </w: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38</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经培训后仍达不到标准操作规程。</w:t>
            </w:r>
          </w:p>
        </w:tc>
        <w:tc>
          <w:tcPr>
            <w:tcW w:w="2117"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每人1处不符合要求扣1分</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c>
          <w:tcPr>
            <w:tcW w:w="88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以2倍扣分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39</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不按工作计划进行保洁工作。</w:t>
            </w:r>
          </w:p>
        </w:tc>
        <w:tc>
          <w:tcPr>
            <w:tcW w:w="2117" w:type="dxa"/>
            <w:vMerge w:val="continue"/>
            <w:vAlign w:val="center"/>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vAlign w:val="center"/>
          </w:tcPr>
          <w:p>
            <w:pPr>
              <w:pStyle w:val="18"/>
              <w:ind w:left="0"/>
              <w:rPr>
                <w:rFonts w:ascii="宋体" w:hAnsi="宋体"/>
                <w:bCs/>
                <w:color w:val="auto"/>
                <w:szCs w:val="21"/>
                <w:highlight w:val="none"/>
              </w:rPr>
            </w:pPr>
          </w:p>
        </w:tc>
        <w:tc>
          <w:tcPr>
            <w:tcW w:w="889" w:type="dxa"/>
            <w:vMerge w:val="continue"/>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40</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不按工作流程进行清洁工作。</w:t>
            </w:r>
          </w:p>
        </w:tc>
        <w:tc>
          <w:tcPr>
            <w:tcW w:w="2117" w:type="dxa"/>
            <w:vMerge w:val="continue"/>
            <w:vAlign w:val="center"/>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vAlign w:val="center"/>
          </w:tcPr>
          <w:p>
            <w:pPr>
              <w:pStyle w:val="18"/>
              <w:ind w:left="0"/>
              <w:rPr>
                <w:rFonts w:ascii="宋体" w:hAnsi="宋体"/>
                <w:bCs/>
                <w:color w:val="auto"/>
                <w:szCs w:val="21"/>
                <w:highlight w:val="none"/>
              </w:rPr>
            </w:pPr>
          </w:p>
        </w:tc>
        <w:tc>
          <w:tcPr>
            <w:tcW w:w="889" w:type="dxa"/>
            <w:vMerge w:val="continue"/>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八、消耗品</w:t>
            </w: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41</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卫生间消耗品（卷纸、擦手纸、洗手液、垃圾袋、香薰剂等）不得短缺。</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每检查10分钟后，经二次复查仍未进行补充的。</w:t>
            </w:r>
          </w:p>
        </w:tc>
        <w:tc>
          <w:tcPr>
            <w:tcW w:w="921" w:type="dxa"/>
            <w:vAlign w:val="center"/>
          </w:tcPr>
          <w:p>
            <w:pPr>
              <w:pStyle w:val="18"/>
              <w:ind w:left="0"/>
              <w:rPr>
                <w:rFonts w:ascii="宋体" w:hAnsi="宋体"/>
                <w:bCs/>
                <w:color w:val="auto"/>
                <w:szCs w:val="21"/>
                <w:highlight w:val="none"/>
              </w:rPr>
            </w:pPr>
          </w:p>
        </w:tc>
        <w:tc>
          <w:tcPr>
            <w:tcW w:w="921"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每缺1处扣1分</w:t>
            </w:r>
          </w:p>
        </w:tc>
        <w:tc>
          <w:tcPr>
            <w:tcW w:w="889" w:type="dxa"/>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九、外墙清洁</w:t>
            </w: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42</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幕墙、顶棚、雨棚、玻璃，无污渍、无灰尘、无水迹、无划伤。</w:t>
            </w:r>
          </w:p>
        </w:tc>
        <w:tc>
          <w:tcPr>
            <w:tcW w:w="2117"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每人1处不符合要求扣5分</w:t>
            </w:r>
          </w:p>
        </w:tc>
        <w:tc>
          <w:tcPr>
            <w:tcW w:w="921" w:type="dxa"/>
            <w:vMerge w:val="restart"/>
            <w:vAlign w:val="center"/>
          </w:tcPr>
          <w:p>
            <w:pPr>
              <w:pStyle w:val="18"/>
              <w:ind w:left="0"/>
              <w:rPr>
                <w:rFonts w:ascii="宋体" w:hAnsi="宋体"/>
                <w:bCs/>
                <w:color w:val="auto"/>
                <w:szCs w:val="21"/>
                <w:highlight w:val="none"/>
              </w:rPr>
            </w:pPr>
          </w:p>
        </w:tc>
        <w:tc>
          <w:tcPr>
            <w:tcW w:w="889" w:type="dxa"/>
            <w:vMerge w:val="restart"/>
            <w:vAlign w:val="center"/>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43</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石材墙面（严禁冲洗），无污渍、无灰尘。</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44</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擦净金属框架、墙面，无污渍、无灰尘、无水迹、无划伤。</w:t>
            </w:r>
          </w:p>
        </w:tc>
        <w:tc>
          <w:tcPr>
            <w:tcW w:w="2117"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921" w:type="dxa"/>
            <w:vMerge w:val="continue"/>
          </w:tcPr>
          <w:p>
            <w:pPr>
              <w:pStyle w:val="18"/>
              <w:ind w:left="0"/>
              <w:rPr>
                <w:rFonts w:ascii="宋体" w:hAnsi="宋体"/>
                <w:bCs/>
                <w:color w:val="auto"/>
                <w:szCs w:val="21"/>
                <w:highlight w:val="none"/>
              </w:rPr>
            </w:pPr>
          </w:p>
        </w:tc>
        <w:tc>
          <w:tcPr>
            <w:tcW w:w="889" w:type="dxa"/>
            <w:vMerge w:val="continue"/>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十、工作环境</w:t>
            </w:r>
          </w:p>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45</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办公室整洁卫生，桌面、抽屉物品摆放有序、无杂物。</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restart"/>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一处不合格扣1分</w:t>
            </w:r>
          </w:p>
        </w:tc>
        <w:tc>
          <w:tcPr>
            <w:tcW w:w="921" w:type="dxa"/>
          </w:tcPr>
          <w:p>
            <w:pPr>
              <w:pStyle w:val="18"/>
              <w:ind w:left="0"/>
              <w:rPr>
                <w:rFonts w:ascii="宋体" w:hAnsi="宋体"/>
                <w:bCs/>
                <w:color w:val="auto"/>
                <w:szCs w:val="21"/>
                <w:highlight w:val="none"/>
              </w:rPr>
            </w:pPr>
          </w:p>
        </w:tc>
        <w:tc>
          <w:tcPr>
            <w:tcW w:w="889" w:type="dxa"/>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46</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办公室内无乱拉电线、无放置有毒、有害、易燃、易爆物品。</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continue"/>
          </w:tcPr>
          <w:p>
            <w:pPr>
              <w:pStyle w:val="18"/>
              <w:ind w:left="0"/>
              <w:rPr>
                <w:rFonts w:ascii="宋体" w:hAnsi="宋体"/>
                <w:bCs/>
                <w:color w:val="auto"/>
                <w:szCs w:val="21"/>
                <w:highlight w:val="none"/>
              </w:rPr>
            </w:pPr>
          </w:p>
        </w:tc>
        <w:tc>
          <w:tcPr>
            <w:tcW w:w="921" w:type="dxa"/>
          </w:tcPr>
          <w:p>
            <w:pPr>
              <w:pStyle w:val="18"/>
              <w:ind w:left="0"/>
              <w:rPr>
                <w:rFonts w:ascii="宋体" w:hAnsi="宋体"/>
                <w:bCs/>
                <w:color w:val="auto"/>
                <w:szCs w:val="21"/>
                <w:highlight w:val="none"/>
              </w:rPr>
            </w:pPr>
          </w:p>
        </w:tc>
        <w:tc>
          <w:tcPr>
            <w:tcW w:w="889" w:type="dxa"/>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47</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工作现场物件、工具、清洁剂等按规定位置摆放，整齐有序。</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continue"/>
          </w:tcPr>
          <w:p>
            <w:pPr>
              <w:pStyle w:val="18"/>
              <w:ind w:left="0"/>
              <w:rPr>
                <w:rFonts w:ascii="宋体" w:hAnsi="宋体"/>
                <w:bCs/>
                <w:color w:val="auto"/>
                <w:szCs w:val="21"/>
                <w:highlight w:val="none"/>
              </w:rPr>
            </w:pPr>
          </w:p>
        </w:tc>
        <w:tc>
          <w:tcPr>
            <w:tcW w:w="921" w:type="dxa"/>
          </w:tcPr>
          <w:p>
            <w:pPr>
              <w:pStyle w:val="18"/>
              <w:ind w:left="0"/>
              <w:rPr>
                <w:rFonts w:ascii="宋体" w:hAnsi="宋体"/>
                <w:bCs/>
                <w:color w:val="auto"/>
                <w:szCs w:val="21"/>
                <w:highlight w:val="none"/>
              </w:rPr>
            </w:pPr>
          </w:p>
        </w:tc>
        <w:tc>
          <w:tcPr>
            <w:tcW w:w="889" w:type="dxa"/>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48</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办公室内不存放垃圾。</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continue"/>
          </w:tcPr>
          <w:p>
            <w:pPr>
              <w:pStyle w:val="18"/>
              <w:ind w:left="0"/>
              <w:rPr>
                <w:rFonts w:ascii="宋体" w:hAnsi="宋体"/>
                <w:bCs/>
                <w:color w:val="auto"/>
                <w:szCs w:val="21"/>
                <w:highlight w:val="none"/>
              </w:rPr>
            </w:pPr>
          </w:p>
        </w:tc>
        <w:tc>
          <w:tcPr>
            <w:tcW w:w="921" w:type="dxa"/>
          </w:tcPr>
          <w:p>
            <w:pPr>
              <w:pStyle w:val="18"/>
              <w:ind w:left="0"/>
              <w:rPr>
                <w:rFonts w:ascii="宋体" w:hAnsi="宋体"/>
                <w:bCs/>
                <w:color w:val="auto"/>
                <w:szCs w:val="21"/>
                <w:highlight w:val="none"/>
              </w:rPr>
            </w:pPr>
          </w:p>
        </w:tc>
        <w:tc>
          <w:tcPr>
            <w:tcW w:w="889" w:type="dxa"/>
          </w:tcPr>
          <w:p>
            <w:pPr>
              <w:pStyle w:val="18"/>
              <w:ind w:left="0"/>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9" w:type="dxa"/>
            <w:vMerge w:val="continue"/>
            <w:vAlign w:val="center"/>
          </w:tcPr>
          <w:p>
            <w:pPr>
              <w:pStyle w:val="18"/>
              <w:ind w:left="0"/>
              <w:rPr>
                <w:rFonts w:ascii="宋体" w:hAnsi="宋体"/>
                <w:bCs/>
                <w:color w:val="auto"/>
                <w:szCs w:val="21"/>
                <w:highlight w:val="none"/>
              </w:rPr>
            </w:pPr>
          </w:p>
        </w:tc>
        <w:tc>
          <w:tcPr>
            <w:tcW w:w="459"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49</w:t>
            </w:r>
          </w:p>
        </w:tc>
        <w:tc>
          <w:tcPr>
            <w:tcW w:w="3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地面整洁、墙面洁净、公共设施设备无明显灰尘、污垢、节水节电工作落实到位。</w:t>
            </w:r>
          </w:p>
        </w:tc>
        <w:tc>
          <w:tcPr>
            <w:tcW w:w="2117" w:type="dxa"/>
            <w:vAlign w:val="center"/>
          </w:tcPr>
          <w:p>
            <w:pPr>
              <w:pStyle w:val="18"/>
              <w:ind w:left="0"/>
              <w:rPr>
                <w:rFonts w:ascii="宋体" w:hAnsi="宋体"/>
                <w:bCs/>
                <w:color w:val="auto"/>
                <w:szCs w:val="21"/>
                <w:highlight w:val="none"/>
              </w:rPr>
            </w:pPr>
            <w:r>
              <w:rPr>
                <w:rFonts w:hint="eastAsia" w:ascii="宋体" w:hAnsi="宋体"/>
                <w:bCs/>
                <w:color w:val="auto"/>
                <w:szCs w:val="21"/>
                <w:highlight w:val="none"/>
              </w:rPr>
              <w:t>达不到标准为不合格。</w:t>
            </w:r>
          </w:p>
        </w:tc>
        <w:tc>
          <w:tcPr>
            <w:tcW w:w="921" w:type="dxa"/>
            <w:vMerge w:val="continue"/>
          </w:tcPr>
          <w:p>
            <w:pPr>
              <w:pStyle w:val="18"/>
              <w:ind w:left="0"/>
              <w:rPr>
                <w:rFonts w:ascii="宋体" w:hAnsi="宋体"/>
                <w:bCs/>
                <w:color w:val="auto"/>
                <w:szCs w:val="21"/>
                <w:highlight w:val="none"/>
              </w:rPr>
            </w:pPr>
          </w:p>
        </w:tc>
        <w:tc>
          <w:tcPr>
            <w:tcW w:w="921" w:type="dxa"/>
          </w:tcPr>
          <w:p>
            <w:pPr>
              <w:pStyle w:val="18"/>
              <w:ind w:left="0"/>
              <w:rPr>
                <w:rFonts w:ascii="宋体" w:hAnsi="宋体"/>
                <w:bCs/>
                <w:color w:val="auto"/>
                <w:szCs w:val="21"/>
                <w:highlight w:val="none"/>
              </w:rPr>
            </w:pPr>
          </w:p>
        </w:tc>
        <w:tc>
          <w:tcPr>
            <w:tcW w:w="889" w:type="dxa"/>
          </w:tcPr>
          <w:p>
            <w:pPr>
              <w:pStyle w:val="18"/>
              <w:ind w:left="0"/>
              <w:rPr>
                <w:rFonts w:ascii="宋体" w:hAnsi="宋体"/>
                <w:bCs/>
                <w:color w:val="auto"/>
                <w:szCs w:val="21"/>
                <w:highlight w:val="none"/>
              </w:rPr>
            </w:pPr>
          </w:p>
          <w:p>
            <w:pPr>
              <w:pStyle w:val="18"/>
              <w:ind w:left="0"/>
              <w:rPr>
                <w:rFonts w:ascii="宋体" w:hAnsi="宋体"/>
                <w:bCs/>
                <w:color w:val="auto"/>
                <w:szCs w:val="21"/>
                <w:highlight w:val="none"/>
              </w:rPr>
            </w:pPr>
          </w:p>
          <w:p>
            <w:pPr>
              <w:pStyle w:val="18"/>
              <w:ind w:left="0"/>
              <w:rPr>
                <w:rFonts w:ascii="宋体" w:hAnsi="宋体"/>
                <w:bCs/>
                <w:color w:val="auto"/>
                <w:szCs w:val="21"/>
                <w:highlight w:val="none"/>
              </w:rPr>
            </w:pPr>
          </w:p>
          <w:p>
            <w:pPr>
              <w:pStyle w:val="18"/>
              <w:ind w:left="0"/>
              <w:rPr>
                <w:rFonts w:ascii="宋体" w:hAnsi="宋体"/>
                <w:bCs/>
                <w:color w:val="auto"/>
                <w:szCs w:val="21"/>
                <w:highlight w:val="none"/>
              </w:rPr>
            </w:pPr>
          </w:p>
          <w:p>
            <w:pPr>
              <w:pStyle w:val="18"/>
              <w:ind w:left="0"/>
              <w:rPr>
                <w:rFonts w:ascii="宋体" w:hAnsi="宋体"/>
                <w:bCs/>
                <w:color w:val="auto"/>
                <w:szCs w:val="21"/>
                <w:highlight w:val="none"/>
              </w:rPr>
            </w:pPr>
          </w:p>
          <w:p>
            <w:pPr>
              <w:pStyle w:val="18"/>
              <w:ind w:left="0"/>
              <w:rPr>
                <w:rFonts w:ascii="宋体" w:hAnsi="宋体"/>
                <w:bCs/>
                <w:color w:val="auto"/>
                <w:szCs w:val="21"/>
                <w:highlight w:val="none"/>
              </w:rPr>
            </w:pPr>
          </w:p>
          <w:p>
            <w:pPr>
              <w:pStyle w:val="18"/>
              <w:ind w:left="0"/>
              <w:rPr>
                <w:rFonts w:ascii="宋体" w:hAnsi="宋体"/>
                <w:bCs/>
                <w:color w:val="auto"/>
                <w:szCs w:val="21"/>
                <w:highlight w:val="none"/>
              </w:rPr>
            </w:pPr>
          </w:p>
          <w:p>
            <w:pPr>
              <w:pStyle w:val="18"/>
              <w:ind w:left="0"/>
              <w:rPr>
                <w:rFonts w:ascii="宋体" w:hAnsi="宋体"/>
                <w:bCs/>
                <w:color w:val="auto"/>
                <w:szCs w:val="21"/>
                <w:highlight w:val="none"/>
              </w:rPr>
            </w:pPr>
          </w:p>
          <w:p>
            <w:pPr>
              <w:pStyle w:val="18"/>
              <w:ind w:left="0"/>
              <w:rPr>
                <w:rFonts w:ascii="宋体" w:hAnsi="宋体"/>
                <w:bCs/>
                <w:color w:val="auto"/>
                <w:szCs w:val="21"/>
                <w:highlight w:val="none"/>
              </w:rPr>
            </w:pPr>
          </w:p>
        </w:tc>
      </w:tr>
    </w:tbl>
    <w:p>
      <w:pPr>
        <w:tabs>
          <w:tab w:val="left" w:pos="360"/>
          <w:tab w:val="left" w:pos="540"/>
          <w:tab w:val="left" w:pos="720"/>
          <w:tab w:val="left" w:pos="1080"/>
        </w:tabs>
        <w:spacing w:line="320" w:lineRule="exact"/>
        <w:rPr>
          <w:bCs/>
          <w:color w:val="auto"/>
          <w:szCs w:val="21"/>
          <w:highlight w:val="none"/>
        </w:rPr>
      </w:pPr>
      <w:r>
        <w:rPr>
          <w:rFonts w:hint="eastAsia"/>
          <w:bCs/>
          <w:color w:val="auto"/>
          <w:szCs w:val="21"/>
          <w:highlight w:val="none"/>
        </w:rPr>
        <w:t>由甲方管理人员采用抽查方式进行，抽查时发现问题即时通知乙方派驻现场主管或领班确认。</w:t>
      </w:r>
    </w:p>
    <w:p>
      <w:pPr>
        <w:spacing w:line="360" w:lineRule="exact"/>
        <w:ind w:left="735" w:hanging="735" w:hangingChars="350"/>
        <w:rPr>
          <w:color w:val="auto"/>
          <w:szCs w:val="21"/>
          <w:highlight w:val="none"/>
        </w:rPr>
      </w:pPr>
      <w:r>
        <w:rPr>
          <w:rFonts w:hint="eastAsia"/>
          <w:color w:val="auto"/>
          <w:szCs w:val="21"/>
          <w:highlight w:val="none"/>
        </w:rPr>
        <w:t>说明：1.仪容仪表考核标准以甲乙双方协定为准；</w:t>
      </w:r>
    </w:p>
    <w:p>
      <w:pPr>
        <w:spacing w:line="360" w:lineRule="exact"/>
        <w:ind w:firstLine="630" w:firstLineChars="300"/>
        <w:rPr>
          <w:color w:val="auto"/>
          <w:szCs w:val="21"/>
          <w:highlight w:val="none"/>
        </w:rPr>
      </w:pPr>
      <w:r>
        <w:rPr>
          <w:rFonts w:hint="eastAsia"/>
          <w:color w:val="auto"/>
          <w:szCs w:val="21"/>
          <w:highlight w:val="none"/>
        </w:rPr>
        <w:t>2.若同一项目内的扣罚分数累计高于考核比例内之分数，以考核比例最高分数计算。</w:t>
      </w:r>
    </w:p>
    <w:p>
      <w:pPr>
        <w:rPr>
          <w:color w:val="auto"/>
          <w:szCs w:val="21"/>
          <w:highlight w:val="none"/>
        </w:rPr>
      </w:pPr>
    </w:p>
    <w:p>
      <w:pPr>
        <w:rPr>
          <w:color w:val="auto"/>
          <w:szCs w:val="21"/>
          <w:highlight w:val="none"/>
        </w:rPr>
      </w:pPr>
      <w:r>
        <w:rPr>
          <w:rFonts w:hint="eastAsia"/>
          <w:color w:val="auto"/>
          <w:szCs w:val="21"/>
          <w:highlight w:val="none"/>
        </w:rPr>
        <w:t>扣罚细则：</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155"/>
        <w:gridCol w:w="2147"/>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spacing w:line="400" w:lineRule="exact"/>
              <w:jc w:val="center"/>
              <w:rPr>
                <w:color w:val="auto"/>
                <w:szCs w:val="21"/>
                <w:highlight w:val="none"/>
              </w:rPr>
            </w:pPr>
            <w:r>
              <w:rPr>
                <w:rFonts w:hint="eastAsia"/>
                <w:color w:val="auto"/>
                <w:szCs w:val="21"/>
                <w:highlight w:val="none"/>
              </w:rPr>
              <w:t>剩余考核总分值</w:t>
            </w:r>
          </w:p>
        </w:tc>
        <w:tc>
          <w:tcPr>
            <w:tcW w:w="2155" w:type="dxa"/>
          </w:tcPr>
          <w:p>
            <w:pPr>
              <w:spacing w:line="400" w:lineRule="exact"/>
              <w:jc w:val="center"/>
              <w:rPr>
                <w:color w:val="auto"/>
                <w:szCs w:val="21"/>
                <w:highlight w:val="none"/>
              </w:rPr>
            </w:pPr>
            <w:r>
              <w:rPr>
                <w:rFonts w:hint="eastAsia"/>
                <w:color w:val="auto"/>
                <w:szCs w:val="21"/>
                <w:highlight w:val="none"/>
              </w:rPr>
              <w:t>扣款条款</w:t>
            </w:r>
          </w:p>
        </w:tc>
        <w:tc>
          <w:tcPr>
            <w:tcW w:w="2147" w:type="dxa"/>
          </w:tcPr>
          <w:p>
            <w:pPr>
              <w:spacing w:line="400" w:lineRule="exact"/>
              <w:jc w:val="center"/>
              <w:rPr>
                <w:color w:val="auto"/>
                <w:szCs w:val="21"/>
                <w:highlight w:val="none"/>
              </w:rPr>
            </w:pPr>
            <w:r>
              <w:rPr>
                <w:rFonts w:hint="eastAsia"/>
                <w:color w:val="auto"/>
                <w:szCs w:val="21"/>
                <w:highlight w:val="none"/>
              </w:rPr>
              <w:t>剩余考核总分值</w:t>
            </w:r>
          </w:p>
        </w:tc>
        <w:tc>
          <w:tcPr>
            <w:tcW w:w="2147" w:type="dxa"/>
          </w:tcPr>
          <w:p>
            <w:pPr>
              <w:spacing w:line="400" w:lineRule="exact"/>
              <w:jc w:val="center"/>
              <w:rPr>
                <w:color w:val="auto"/>
                <w:szCs w:val="21"/>
                <w:highlight w:val="none"/>
              </w:rPr>
            </w:pPr>
            <w:r>
              <w:rPr>
                <w:rFonts w:hint="eastAsia"/>
                <w:color w:val="auto"/>
                <w:szCs w:val="21"/>
                <w:highlight w:val="none"/>
              </w:rPr>
              <w:t>扣款条款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spacing w:line="400" w:lineRule="exact"/>
              <w:jc w:val="center"/>
              <w:rPr>
                <w:color w:val="auto"/>
                <w:szCs w:val="21"/>
                <w:highlight w:val="none"/>
              </w:rPr>
            </w:pPr>
            <w:r>
              <w:rPr>
                <w:rFonts w:hint="eastAsia"/>
                <w:color w:val="auto"/>
                <w:szCs w:val="21"/>
                <w:highlight w:val="none"/>
              </w:rPr>
              <w:t>91-95</w:t>
            </w:r>
          </w:p>
        </w:tc>
        <w:tc>
          <w:tcPr>
            <w:tcW w:w="2155" w:type="dxa"/>
          </w:tcPr>
          <w:p>
            <w:pPr>
              <w:spacing w:line="400" w:lineRule="exact"/>
              <w:jc w:val="center"/>
              <w:rPr>
                <w:color w:val="auto"/>
                <w:szCs w:val="21"/>
                <w:highlight w:val="none"/>
              </w:rPr>
            </w:pPr>
            <w:r>
              <w:rPr>
                <w:rFonts w:hint="eastAsia"/>
                <w:color w:val="auto"/>
                <w:szCs w:val="21"/>
                <w:highlight w:val="none"/>
              </w:rPr>
              <w:t>每分1</w:t>
            </w:r>
            <w:r>
              <w:rPr>
                <w:color w:val="auto"/>
                <w:szCs w:val="21"/>
                <w:highlight w:val="none"/>
              </w:rPr>
              <w:t>000</w:t>
            </w:r>
            <w:r>
              <w:rPr>
                <w:rFonts w:hint="eastAsia"/>
                <w:color w:val="auto"/>
                <w:szCs w:val="21"/>
                <w:highlight w:val="none"/>
              </w:rPr>
              <w:t>元</w:t>
            </w:r>
          </w:p>
        </w:tc>
        <w:tc>
          <w:tcPr>
            <w:tcW w:w="2147" w:type="dxa"/>
          </w:tcPr>
          <w:p>
            <w:pPr>
              <w:spacing w:line="400" w:lineRule="exact"/>
              <w:jc w:val="center"/>
              <w:rPr>
                <w:color w:val="auto"/>
                <w:szCs w:val="21"/>
                <w:highlight w:val="none"/>
              </w:rPr>
            </w:pPr>
            <w:r>
              <w:rPr>
                <w:rFonts w:hint="eastAsia"/>
                <w:color w:val="auto"/>
                <w:szCs w:val="21"/>
                <w:highlight w:val="none"/>
              </w:rPr>
              <w:t>86-90</w:t>
            </w:r>
          </w:p>
        </w:tc>
        <w:tc>
          <w:tcPr>
            <w:tcW w:w="2147" w:type="dxa"/>
          </w:tcPr>
          <w:p>
            <w:pPr>
              <w:spacing w:line="400" w:lineRule="exact"/>
              <w:jc w:val="center"/>
              <w:rPr>
                <w:color w:val="auto"/>
                <w:szCs w:val="21"/>
                <w:highlight w:val="none"/>
              </w:rPr>
            </w:pPr>
            <w:r>
              <w:rPr>
                <w:rFonts w:hint="eastAsia"/>
                <w:color w:val="auto"/>
                <w:szCs w:val="21"/>
                <w:highlight w:val="none"/>
              </w:rPr>
              <w:t>每分2</w:t>
            </w:r>
            <w:r>
              <w:rPr>
                <w:color w:val="auto"/>
                <w:szCs w:val="21"/>
                <w:highlight w:val="none"/>
              </w:rPr>
              <w:t>000</w:t>
            </w:r>
            <w:r>
              <w:rPr>
                <w:rFonts w:hint="eastAsia"/>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spacing w:line="400" w:lineRule="exact"/>
              <w:jc w:val="center"/>
              <w:rPr>
                <w:color w:val="auto"/>
                <w:szCs w:val="21"/>
                <w:highlight w:val="none"/>
              </w:rPr>
            </w:pPr>
            <w:r>
              <w:rPr>
                <w:rFonts w:hint="eastAsia"/>
                <w:color w:val="auto"/>
                <w:szCs w:val="21"/>
                <w:highlight w:val="none"/>
              </w:rPr>
              <w:t>81-85</w:t>
            </w:r>
          </w:p>
        </w:tc>
        <w:tc>
          <w:tcPr>
            <w:tcW w:w="2155" w:type="dxa"/>
          </w:tcPr>
          <w:p>
            <w:pPr>
              <w:spacing w:line="400" w:lineRule="exact"/>
              <w:jc w:val="center"/>
              <w:rPr>
                <w:color w:val="auto"/>
                <w:szCs w:val="21"/>
                <w:highlight w:val="none"/>
              </w:rPr>
            </w:pPr>
            <w:r>
              <w:rPr>
                <w:color w:val="auto"/>
                <w:szCs w:val="21"/>
                <w:highlight w:val="none"/>
              </w:rPr>
              <w:t>10</w:t>
            </w:r>
            <w:r>
              <w:rPr>
                <w:rFonts w:hint="eastAsia"/>
                <w:color w:val="auto"/>
                <w:szCs w:val="21"/>
                <w:highlight w:val="none"/>
              </w:rPr>
              <w:t>%</w:t>
            </w:r>
          </w:p>
        </w:tc>
        <w:tc>
          <w:tcPr>
            <w:tcW w:w="2147" w:type="dxa"/>
          </w:tcPr>
          <w:p>
            <w:pPr>
              <w:spacing w:line="400" w:lineRule="exact"/>
              <w:jc w:val="center"/>
              <w:rPr>
                <w:color w:val="auto"/>
                <w:szCs w:val="21"/>
                <w:highlight w:val="none"/>
              </w:rPr>
            </w:pPr>
            <w:r>
              <w:rPr>
                <w:rFonts w:hint="eastAsia"/>
                <w:color w:val="auto"/>
                <w:szCs w:val="21"/>
                <w:highlight w:val="none"/>
              </w:rPr>
              <w:t>80分或以下</w:t>
            </w:r>
          </w:p>
        </w:tc>
        <w:tc>
          <w:tcPr>
            <w:tcW w:w="2147" w:type="dxa"/>
          </w:tcPr>
          <w:p>
            <w:pPr>
              <w:spacing w:line="400" w:lineRule="exact"/>
              <w:jc w:val="center"/>
              <w:rPr>
                <w:color w:val="auto"/>
                <w:szCs w:val="21"/>
                <w:highlight w:val="none"/>
              </w:rPr>
            </w:pPr>
            <w:r>
              <w:rPr>
                <w:rFonts w:hint="eastAsia"/>
                <w:color w:val="auto"/>
                <w:szCs w:val="21"/>
                <w:highlight w:val="none"/>
              </w:rPr>
              <w:t>30%及接警告函</w:t>
            </w:r>
          </w:p>
        </w:tc>
      </w:tr>
    </w:tbl>
    <w:p>
      <w:pPr>
        <w:pStyle w:val="18"/>
        <w:ind w:left="0" w:firstLine="420" w:firstLineChars="200"/>
        <w:rPr>
          <w:rFonts w:ascii="宋体" w:hAnsi="宋体"/>
          <w:bCs/>
          <w:color w:val="auto"/>
          <w:szCs w:val="21"/>
          <w:highlight w:val="none"/>
        </w:rPr>
      </w:pPr>
      <w:r>
        <w:rPr>
          <w:rFonts w:hint="eastAsia" w:ascii="宋体" w:hAnsi="宋体"/>
          <w:bCs/>
          <w:color w:val="auto"/>
          <w:szCs w:val="21"/>
          <w:highlight w:val="none"/>
        </w:rPr>
        <w:t>合同期的前三个月为成交人服务试用期，在此期间内，如成交人考核总分低于80分，视为服务质量不合格，甲方可随时解除本合同，且不承担任何违约责任，试用期内按考评结果支付实际费用。试用期过后，成交人不得无故单方面解除合同，否则成交人应向甲方支付一个月服务费的违约金。</w:t>
      </w:r>
    </w:p>
    <w:p>
      <w:pPr>
        <w:ind w:firstLine="315" w:firstLineChars="150"/>
        <w:rPr>
          <w:rFonts w:ascii="宋体" w:hAnsi="宋体"/>
          <w:bCs/>
          <w:color w:val="auto"/>
          <w:szCs w:val="21"/>
          <w:highlight w:val="none"/>
        </w:rPr>
      </w:pPr>
      <w:r>
        <w:rPr>
          <w:rFonts w:hint="eastAsia" w:ascii="宋体" w:hAnsi="宋体"/>
          <w:bCs/>
          <w:color w:val="auto"/>
          <w:szCs w:val="21"/>
          <w:highlight w:val="none"/>
        </w:rPr>
        <w:t>合同期内，成交人在连续两个月评分在8</w:t>
      </w:r>
      <w:r>
        <w:rPr>
          <w:rFonts w:ascii="宋体" w:hAnsi="宋体"/>
          <w:bCs/>
          <w:color w:val="auto"/>
          <w:szCs w:val="21"/>
          <w:highlight w:val="none"/>
        </w:rPr>
        <w:t>0</w:t>
      </w:r>
      <w:r>
        <w:rPr>
          <w:rFonts w:hint="eastAsia" w:ascii="宋体" w:hAnsi="宋体"/>
          <w:bCs/>
          <w:color w:val="auto"/>
          <w:szCs w:val="21"/>
          <w:highlight w:val="none"/>
        </w:rPr>
        <w:t>分以下，甲方有权单方面解除合同。</w:t>
      </w:r>
    </w:p>
    <w:p>
      <w:pPr>
        <w:rPr>
          <w:rFonts w:ascii="宋体" w:hAnsi="宋体"/>
          <w:b/>
          <w:color w:val="auto"/>
          <w:szCs w:val="21"/>
          <w:highlight w:val="none"/>
        </w:rPr>
      </w:pPr>
      <w:r>
        <w:rPr>
          <w:rFonts w:hint="eastAsia" w:ascii="宋体" w:hAnsi="宋体"/>
          <w:b/>
          <w:color w:val="auto"/>
          <w:szCs w:val="21"/>
          <w:highlight w:val="none"/>
        </w:rPr>
        <w:t>七、 其他要求</w:t>
      </w:r>
    </w:p>
    <w:p>
      <w:pPr>
        <w:ind w:firstLine="420" w:firstLineChars="200"/>
        <w:rPr>
          <w:rFonts w:hAnsi="宋体"/>
          <w:color w:val="auto"/>
          <w:szCs w:val="21"/>
          <w:highlight w:val="none"/>
        </w:rPr>
      </w:pPr>
      <w:r>
        <w:rPr>
          <w:rFonts w:hint="eastAsia" w:hAnsi="宋体"/>
          <w:color w:val="auto"/>
          <w:szCs w:val="21"/>
          <w:highlight w:val="none"/>
        </w:rPr>
        <w:t>7.1、遇特殊工作需求时（如外来参观、创优检查、台风、火灾等情况），需要临时加派人员时，在提前通知成交人后，成交人应及时增加人员开展工作。</w:t>
      </w:r>
    </w:p>
    <w:p>
      <w:pPr>
        <w:ind w:firstLine="420" w:firstLineChars="200"/>
        <w:rPr>
          <w:rFonts w:hAnsi="宋体"/>
          <w:color w:val="auto"/>
          <w:szCs w:val="21"/>
          <w:highlight w:val="none"/>
        </w:rPr>
      </w:pPr>
      <w:r>
        <w:rPr>
          <w:rFonts w:hint="eastAsia" w:hAnsi="宋体"/>
          <w:color w:val="auto"/>
          <w:szCs w:val="21"/>
          <w:highlight w:val="none"/>
        </w:rPr>
        <w:t>7.2、供应商投标前需自行勘察现场，对现场清洁面积、数量、质量进行全方位勘察，存在质疑及时向采购方提出，中标后出现的任何争议问题，均由供应商承担。</w:t>
      </w:r>
    </w:p>
    <w:p>
      <w:pPr>
        <w:ind w:firstLine="420" w:firstLineChars="200"/>
        <w:rPr>
          <w:rFonts w:hAnsi="宋体"/>
          <w:color w:val="auto"/>
          <w:szCs w:val="21"/>
          <w:highlight w:val="none"/>
        </w:rPr>
      </w:pPr>
      <w:r>
        <w:rPr>
          <w:rFonts w:hint="eastAsia" w:hAnsi="宋体"/>
          <w:color w:val="auto"/>
          <w:szCs w:val="21"/>
          <w:highlight w:val="none"/>
        </w:rPr>
        <w:t>7.3、原则上成交人应按现状接收。成交人在合同履约期的第一个月内，须完成本项目的检查，建立本项目管理制度、人员台账、设备台帐，并提交到甲方（纸质版和电子版）审核。</w:t>
      </w:r>
    </w:p>
    <w:p>
      <w:pPr>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4</w:t>
      </w:r>
      <w:r>
        <w:rPr>
          <w:rFonts w:hint="eastAsia" w:hAnsi="宋体"/>
          <w:color w:val="auto"/>
          <w:szCs w:val="21"/>
          <w:highlight w:val="none"/>
        </w:rPr>
        <w:t>、成交人应科学、合理安排进驻甲方工作现场员工的工作时间和计划，负责承担派驻工作现场之员工的工资、住宿、福利及其他一切费用。因成交人员工发生劳动争议而影响或有可能影响到本合同的履行，应及时做出相应调整。</w:t>
      </w:r>
    </w:p>
    <w:p>
      <w:pPr>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5</w:t>
      </w:r>
      <w:r>
        <w:rPr>
          <w:rFonts w:hint="eastAsia" w:hAnsi="宋体"/>
          <w:color w:val="auto"/>
          <w:szCs w:val="21"/>
          <w:highlight w:val="none"/>
        </w:rPr>
        <w:t>、成交人需制定安全生产相关管理制度并严格落实，配置安全生产必需的工具和劳保物品，购买相应保险，工作人员从事本合同服务期间发生人身伤害，由成交人自行承担由此产生的一切责任。成交人员工在甲方管理区域内发生工伤事故等一切意外，由成交人自行负责。</w:t>
      </w:r>
    </w:p>
    <w:p>
      <w:pPr>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6</w:t>
      </w:r>
      <w:r>
        <w:rPr>
          <w:rFonts w:hint="eastAsia" w:hAnsi="宋体"/>
          <w:color w:val="auto"/>
          <w:szCs w:val="21"/>
          <w:highlight w:val="none"/>
        </w:rPr>
        <w:t>、成交人确保现场使用的设备、工具、材料及等符合国家及行业的相关规定，甲方有权对成交人使用的的设备、工具、材料适合性提出意见，成交人应配合整改。</w:t>
      </w:r>
    </w:p>
    <w:p>
      <w:pPr>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7</w:t>
      </w:r>
      <w:r>
        <w:rPr>
          <w:rFonts w:hint="eastAsia" w:hAnsi="宋体"/>
          <w:color w:val="auto"/>
          <w:szCs w:val="21"/>
          <w:highlight w:val="none"/>
        </w:rPr>
        <w:t>、如成交人服务质量下降，甲方以书面形式通知后十五日仍未改善，甲方有权雇佣任何专业人员进行上述改善，而所需一切费用则从成交人当期的费用中扣除。如遇紧急突发事件等，而成交人未能及时妥善处理，甲方有权雇佣专业人员进行有关工作，一切费用从成交人当期的费用中扣除（不可抗力原因除外）。</w:t>
      </w:r>
    </w:p>
    <w:p>
      <w:pPr>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8</w:t>
      </w:r>
      <w:r>
        <w:rPr>
          <w:rFonts w:hint="eastAsia" w:hAnsi="宋体"/>
          <w:color w:val="auto"/>
          <w:szCs w:val="21"/>
          <w:highlight w:val="none"/>
        </w:rPr>
        <w:t>、成交人不得将本合同转包或分包，否则甲方有权单方面解除本合同，并由成交人向甲方支付三个月服务费的违约金。</w:t>
      </w:r>
    </w:p>
    <w:p>
      <w:pPr>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9</w:t>
      </w:r>
      <w:r>
        <w:rPr>
          <w:rFonts w:hint="eastAsia" w:hAnsi="宋体"/>
          <w:color w:val="auto"/>
          <w:szCs w:val="21"/>
          <w:highlight w:val="none"/>
        </w:rPr>
        <w:t>、成交人不得对本服务内容进行转包。</w:t>
      </w:r>
    </w:p>
    <w:p>
      <w:pPr>
        <w:ind w:firstLine="420" w:firstLineChars="200"/>
        <w:rPr>
          <w:rFonts w:hAnsi="宋体"/>
          <w:color w:val="auto"/>
          <w:szCs w:val="21"/>
          <w:highlight w:val="none"/>
        </w:rPr>
      </w:pPr>
      <w:r>
        <w:rPr>
          <w:rFonts w:hint="eastAsia" w:hAnsi="宋体"/>
          <w:color w:val="auto"/>
          <w:szCs w:val="21"/>
          <w:highlight w:val="none"/>
        </w:rPr>
        <w:t>7.1</w:t>
      </w:r>
      <w:r>
        <w:rPr>
          <w:rFonts w:hAnsi="宋体"/>
          <w:color w:val="auto"/>
          <w:szCs w:val="21"/>
          <w:highlight w:val="none"/>
        </w:rPr>
        <w:t>0</w:t>
      </w:r>
      <w:r>
        <w:rPr>
          <w:rFonts w:hint="eastAsia" w:hAnsi="宋体"/>
          <w:color w:val="auto"/>
          <w:szCs w:val="21"/>
          <w:highlight w:val="none"/>
        </w:rPr>
        <w:t>、甲方若在合同有效期内新增服务范围，双方另行签订补充协议。</w:t>
      </w:r>
    </w:p>
    <w:p>
      <w:pPr>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11</w:t>
      </w:r>
      <w:r>
        <w:rPr>
          <w:rFonts w:hint="eastAsia" w:hAnsi="宋体"/>
          <w:color w:val="auto"/>
          <w:szCs w:val="21"/>
          <w:highlight w:val="none"/>
        </w:rPr>
        <w:t>、成交人在合同期间须配合、接受甲方及相关职能部门的质量评检和监督，承担治安、交通、防火、安全作业、计划生育和一切经济、民事纠纷劳动纠纷和法律诉讼等相应责任。</w:t>
      </w:r>
    </w:p>
    <w:p>
      <w:pPr>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12</w:t>
      </w:r>
      <w:r>
        <w:rPr>
          <w:rFonts w:hint="eastAsia" w:hAnsi="宋体"/>
          <w:color w:val="auto"/>
          <w:szCs w:val="21"/>
          <w:highlight w:val="none"/>
        </w:rPr>
        <w:t>、成交人服务团队由成交人自行管理，不与甲方构成任何劳动关系或劳务派遣关系。成交人服务团队人员(成交人员工)与成交人发生任何劳动或劳务纠纷的，由成交人负责解决，概与甲方无关。保证员工不因劳资纠纷等内部矛盾出现怠工、罢工、聚众闹事、越级上访等损害甲方利益的行为，保证员工在甲方工作期间无违法犯罪行为。</w:t>
      </w:r>
    </w:p>
    <w:p>
      <w:pPr>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1</w:t>
      </w:r>
      <w:r>
        <w:rPr>
          <w:rFonts w:hint="eastAsia" w:hAnsi="宋体"/>
          <w:color w:val="auto"/>
          <w:szCs w:val="21"/>
          <w:highlight w:val="none"/>
        </w:rPr>
        <w:t>3、成交人应为派驻项目的服务人员购买相关保险，要求服务人员遵守安全操作规章制度，若发生人身伤害等工伤事故，由成交人负责，与甲方无关。</w:t>
      </w:r>
    </w:p>
    <w:p>
      <w:pPr>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14</w:t>
      </w:r>
      <w:r>
        <w:rPr>
          <w:rFonts w:hint="eastAsia" w:hAnsi="宋体"/>
          <w:color w:val="auto"/>
          <w:szCs w:val="21"/>
          <w:highlight w:val="none"/>
        </w:rPr>
        <w:t>、项目负责人要求持有政府部门颁发的清洁类专业技术职称证书，具有较高的清洁管理水平，电话应 24 小时开通，项目负责人未经甲方同意不得随意自行更换，项目负责人更换需提前一个月书面向甲方报备，并须征得甲方同意。</w:t>
      </w:r>
    </w:p>
    <w:p>
      <w:pPr>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15</w:t>
      </w:r>
      <w:r>
        <w:rPr>
          <w:rFonts w:hint="eastAsia" w:hAnsi="宋体"/>
          <w:color w:val="auto"/>
          <w:szCs w:val="21"/>
          <w:highlight w:val="none"/>
        </w:rPr>
        <w:t>、现场员工要求统一穿着工作服进行作业.</w:t>
      </w:r>
    </w:p>
    <w:p>
      <w:pPr>
        <w:ind w:firstLine="420" w:firstLineChars="200"/>
        <w:rPr>
          <w:rFonts w:hAnsi="宋体"/>
          <w:color w:val="auto"/>
          <w:szCs w:val="21"/>
          <w:highlight w:val="none"/>
        </w:rPr>
      </w:pPr>
      <w:r>
        <w:rPr>
          <w:rFonts w:hint="eastAsia" w:hAnsi="宋体"/>
          <w:color w:val="auto"/>
          <w:szCs w:val="21"/>
          <w:highlight w:val="none"/>
        </w:rPr>
        <w:t>7.</w:t>
      </w:r>
      <w:r>
        <w:rPr>
          <w:rFonts w:hAnsi="宋体"/>
          <w:color w:val="auto"/>
          <w:szCs w:val="21"/>
          <w:highlight w:val="none"/>
        </w:rPr>
        <w:t>16</w:t>
      </w:r>
      <w:r>
        <w:rPr>
          <w:rFonts w:hint="eastAsia" w:hAnsi="宋体"/>
          <w:color w:val="auto"/>
          <w:szCs w:val="21"/>
          <w:highlight w:val="none"/>
        </w:rPr>
        <w:t>、项目负责人必须每天工作时间内在岗，安排清洁工作，发现问题及时处理，离岗1天以上需提前三个工作日书面请假，不能擅自离岗，成交人需派人员顶替现场主管离岗期间的工作；在日常工作中，如有临时性、突击性任务等养护工作，成交人必须听从安排，配合做好工作。</w:t>
      </w:r>
    </w:p>
    <w:p>
      <w:pPr>
        <w:ind w:firstLine="315" w:firstLineChars="150"/>
        <w:rPr>
          <w:rFonts w:ascii="宋体" w:hAnsi="宋体"/>
          <w:bCs/>
          <w:color w:val="auto"/>
          <w:szCs w:val="21"/>
          <w:highlight w:val="none"/>
        </w:rPr>
      </w:pPr>
      <w:r>
        <w:rPr>
          <w:rFonts w:hint="eastAsia" w:hAnsi="宋体"/>
          <w:color w:val="auto"/>
          <w:szCs w:val="21"/>
          <w:highlight w:val="none"/>
        </w:rPr>
        <w:t>7.</w:t>
      </w:r>
      <w:r>
        <w:rPr>
          <w:rFonts w:hAnsi="宋体"/>
          <w:color w:val="auto"/>
          <w:szCs w:val="21"/>
          <w:highlight w:val="none"/>
        </w:rPr>
        <w:t>17</w:t>
      </w:r>
      <w:r>
        <w:rPr>
          <w:rFonts w:hint="eastAsia" w:hAnsi="宋体"/>
          <w:color w:val="auto"/>
          <w:szCs w:val="21"/>
          <w:highlight w:val="none"/>
        </w:rPr>
        <w:t>、对人员(含项目负责人) 不符合项目管理要求的，包括违反劳动纪律或工作责任心不强、工作效率低等情形，三次警告后可退员换人，成交人需在一周内作出换人处理，否则按缺员处理，并根据情节轻重扣罚服务费。对违反法律、法规和项目管理规定者，甲方有权追究成交人法律或经济责任</w:t>
      </w:r>
      <w:r>
        <w:rPr>
          <w:rFonts w:hint="eastAsia" w:ascii="宋体" w:hAnsi="宋体"/>
          <w:bCs/>
          <w:color w:val="auto"/>
          <w:szCs w:val="21"/>
          <w:highlight w:val="none"/>
        </w:rPr>
        <w:t>。</w:t>
      </w:r>
    </w:p>
    <w:p>
      <w:pPr>
        <w:rPr>
          <w:rFonts w:ascii="宋体" w:hAnsi="宋体"/>
          <w:b/>
          <w:color w:val="auto"/>
          <w:szCs w:val="21"/>
          <w:highlight w:val="none"/>
        </w:rPr>
      </w:pPr>
      <w:r>
        <w:rPr>
          <w:rFonts w:hint="eastAsia" w:ascii="宋体" w:hAnsi="宋体"/>
          <w:b/>
          <w:color w:val="auto"/>
          <w:szCs w:val="21"/>
          <w:highlight w:val="none"/>
        </w:rPr>
        <w:t>八、违约责任与赔偿损失</w:t>
      </w:r>
    </w:p>
    <w:p>
      <w:pPr>
        <w:ind w:firstLine="315" w:firstLineChars="150"/>
        <w:rPr>
          <w:rFonts w:ascii="宋体" w:hAnsi="宋体"/>
          <w:bCs/>
          <w:color w:val="auto"/>
          <w:szCs w:val="21"/>
          <w:highlight w:val="none"/>
        </w:rPr>
      </w:pPr>
      <w:r>
        <w:rPr>
          <w:rFonts w:hint="eastAsia" w:ascii="宋体" w:hAnsi="宋体"/>
          <w:bCs/>
          <w:color w:val="auto"/>
          <w:szCs w:val="21"/>
          <w:highlight w:val="none"/>
        </w:rPr>
        <w:t>8.1乙方在接到甲方要求补充岗位人员通知后，应在30天内负责招聘相应岗位人员就职。未能按规定的时间派遣人员到岗就职的，乙方须向甲方支付处罚金，处罚金的标准是每逾期一天将增加所补充岗位月薪的10%。如乙方上述行为给甲方造成损失的，乙方还须承担赔偿责任。</w:t>
      </w:r>
    </w:p>
    <w:p>
      <w:pPr>
        <w:ind w:firstLine="315" w:firstLineChars="150"/>
        <w:rPr>
          <w:rFonts w:ascii="宋体" w:hAnsi="宋体"/>
          <w:bCs/>
          <w:color w:val="auto"/>
          <w:szCs w:val="21"/>
          <w:highlight w:val="none"/>
        </w:rPr>
      </w:pPr>
      <w:r>
        <w:rPr>
          <w:rFonts w:hint="eastAsia" w:ascii="宋体" w:hAnsi="宋体"/>
          <w:bCs/>
          <w:color w:val="auto"/>
          <w:szCs w:val="21"/>
          <w:highlight w:val="none"/>
        </w:rPr>
        <w:t>8.2乙方提供的服务不符合磋商文件、磋商响应文件或本合同规定的，甲方有权拒收，并且乙方须向甲方支付违约金。</w:t>
      </w:r>
    </w:p>
    <w:p>
      <w:pPr>
        <w:ind w:firstLine="315" w:firstLineChars="150"/>
        <w:rPr>
          <w:rFonts w:ascii="宋体" w:hAnsi="宋体"/>
          <w:bCs/>
          <w:color w:val="auto"/>
          <w:szCs w:val="21"/>
          <w:highlight w:val="none"/>
        </w:rPr>
      </w:pPr>
      <w:r>
        <w:rPr>
          <w:rFonts w:hint="eastAsia" w:ascii="宋体" w:hAnsi="宋体"/>
          <w:bCs/>
          <w:color w:val="auto"/>
          <w:szCs w:val="21"/>
          <w:highlight w:val="none"/>
        </w:rPr>
        <w:t>8.3本合同生效后，甲乙双方均应履行本合同约定的义务。甲乙任何一方不能全面履行合同条款，均属违约。违约所造成的经济损失和责任概由违约方承担。</w:t>
      </w:r>
    </w:p>
    <w:p>
      <w:pPr>
        <w:ind w:firstLine="315" w:firstLineChars="150"/>
        <w:rPr>
          <w:rFonts w:ascii="宋体" w:hAnsi="宋体"/>
          <w:bCs/>
          <w:color w:val="auto"/>
          <w:szCs w:val="21"/>
          <w:highlight w:val="none"/>
        </w:rPr>
      </w:pPr>
      <w:r>
        <w:rPr>
          <w:rFonts w:hint="eastAsia" w:ascii="宋体" w:hAnsi="宋体"/>
          <w:bCs/>
          <w:color w:val="auto"/>
          <w:szCs w:val="21"/>
          <w:highlight w:val="none"/>
        </w:rPr>
        <w:t>8.4甲方违约：甲方有按合同约定及时支付乙方合同价款的义务，甲方逾期不支付乙方合同价款的，甲方应按每日0.1%的利率就未支付款项向乙方支付违约金，但最多不超过合同金额的5%。逾期付款超过30日的，乙方有权解除合同，由此造成的损失由甲方负责；但经过乙方同意的除外。</w:t>
      </w:r>
    </w:p>
    <w:p>
      <w:pPr>
        <w:ind w:firstLine="315" w:firstLineChars="150"/>
        <w:rPr>
          <w:rFonts w:ascii="宋体" w:hAnsi="宋体"/>
          <w:bCs/>
          <w:color w:val="auto"/>
          <w:szCs w:val="21"/>
          <w:highlight w:val="none"/>
        </w:rPr>
      </w:pPr>
      <w:r>
        <w:rPr>
          <w:rFonts w:hint="eastAsia" w:ascii="宋体" w:hAnsi="宋体"/>
          <w:bCs/>
          <w:color w:val="auto"/>
          <w:szCs w:val="21"/>
          <w:highlight w:val="none"/>
        </w:rPr>
        <w:t>8.5乙方违约：乙方违反磋商文件、磋商响应文件或本合同规定的，须向甲方承担违约金额；最多不超过合同金额的5%。乙方未按甲方要求整改的，甲方有权解除合同；并可以对未支付的合同价款终止付款；但经过甲方同意的除外。</w:t>
      </w:r>
    </w:p>
    <w:p>
      <w:pPr>
        <w:ind w:firstLine="315" w:firstLineChars="150"/>
        <w:rPr>
          <w:rFonts w:ascii="宋体" w:hAnsi="宋体"/>
          <w:bCs/>
          <w:color w:val="auto"/>
          <w:szCs w:val="21"/>
          <w:highlight w:val="none"/>
        </w:rPr>
      </w:pPr>
      <w:r>
        <w:rPr>
          <w:rFonts w:hint="eastAsia" w:ascii="宋体" w:hAnsi="宋体"/>
          <w:bCs/>
          <w:color w:val="auto"/>
          <w:szCs w:val="21"/>
          <w:highlight w:val="none"/>
        </w:rPr>
        <w:t>8.6乙方不履行或履行义务不符合本合同约定，甲方有权依本合同约定解除合同。</w:t>
      </w:r>
    </w:p>
    <w:p>
      <w:pPr>
        <w:ind w:firstLine="315" w:firstLineChars="150"/>
        <w:rPr>
          <w:rFonts w:ascii="宋体" w:hAnsi="宋体"/>
          <w:bCs/>
          <w:color w:val="auto"/>
          <w:szCs w:val="21"/>
          <w:highlight w:val="none"/>
        </w:rPr>
      </w:pPr>
      <w:r>
        <w:rPr>
          <w:rFonts w:hint="eastAsia" w:ascii="宋体" w:hAnsi="宋体"/>
          <w:bCs/>
          <w:color w:val="auto"/>
          <w:szCs w:val="21"/>
          <w:highlight w:val="none"/>
        </w:rPr>
        <w:t>8.7其它违约责任按《中华人民共和国民法典》处理。</w:t>
      </w:r>
    </w:p>
    <w:p>
      <w:pPr>
        <w:rPr>
          <w:rFonts w:ascii="宋体" w:hAnsi="宋体"/>
          <w:b/>
          <w:color w:val="auto"/>
          <w:szCs w:val="21"/>
          <w:highlight w:val="none"/>
        </w:rPr>
      </w:pPr>
      <w:r>
        <w:rPr>
          <w:rFonts w:hint="eastAsia" w:ascii="宋体" w:hAnsi="宋体"/>
          <w:b/>
          <w:color w:val="auto"/>
          <w:szCs w:val="21"/>
          <w:highlight w:val="none"/>
        </w:rPr>
        <w:t>九、争端的解决</w:t>
      </w:r>
    </w:p>
    <w:p>
      <w:pPr>
        <w:ind w:firstLine="315" w:firstLineChars="150"/>
        <w:rPr>
          <w:rFonts w:ascii="宋体" w:hAnsi="宋体"/>
          <w:bCs/>
          <w:color w:val="auto"/>
          <w:szCs w:val="21"/>
          <w:highlight w:val="none"/>
        </w:rPr>
      </w:pPr>
      <w:r>
        <w:rPr>
          <w:rFonts w:hint="eastAsia" w:ascii="宋体" w:hAnsi="宋体"/>
          <w:bCs/>
          <w:color w:val="auto"/>
          <w:szCs w:val="21"/>
          <w:highlight w:val="none"/>
        </w:rPr>
        <w:t>10</w:t>
      </w:r>
      <w:r>
        <w:rPr>
          <w:rFonts w:ascii="宋体" w:hAnsi="宋体"/>
          <w:bCs/>
          <w:color w:val="auto"/>
          <w:szCs w:val="21"/>
          <w:highlight w:val="none"/>
        </w:rPr>
        <w:t>.1</w:t>
      </w:r>
      <w:r>
        <w:rPr>
          <w:rFonts w:hint="eastAsia" w:ascii="宋体" w:hAnsi="宋体"/>
          <w:bCs/>
          <w:color w:val="auto"/>
          <w:szCs w:val="21"/>
          <w:highlight w:val="none"/>
        </w:rPr>
        <w:t>合同执行过程中发生的任何争议，如双方不能通过友好协商解决，甲、乙双方一致同意向</w:t>
      </w:r>
      <w:r>
        <w:rPr>
          <w:rFonts w:hint="eastAsia" w:ascii="宋体" w:hAnsi="宋体"/>
          <w:bCs/>
          <w:color w:val="auto"/>
          <w:szCs w:val="21"/>
          <w:highlight w:val="none"/>
          <w:u w:val="single"/>
        </w:rPr>
        <w:t>甲方所在地</w:t>
      </w:r>
      <w:r>
        <w:rPr>
          <w:rFonts w:hint="eastAsia" w:ascii="宋体" w:hAnsi="宋体"/>
          <w:bCs/>
          <w:color w:val="auto"/>
          <w:szCs w:val="21"/>
          <w:highlight w:val="none"/>
        </w:rPr>
        <w:t>人民法院提起诉讼。</w:t>
      </w:r>
    </w:p>
    <w:p>
      <w:pPr>
        <w:rPr>
          <w:rFonts w:ascii="宋体" w:hAnsi="宋体"/>
          <w:b/>
          <w:color w:val="auto"/>
          <w:szCs w:val="21"/>
          <w:highlight w:val="none"/>
        </w:rPr>
      </w:pPr>
      <w:r>
        <w:rPr>
          <w:rFonts w:hint="eastAsia" w:ascii="宋体" w:hAnsi="宋体"/>
          <w:b/>
          <w:color w:val="auto"/>
          <w:szCs w:val="21"/>
          <w:highlight w:val="none"/>
        </w:rPr>
        <w:t>十、不可抗力</w:t>
      </w:r>
    </w:p>
    <w:p>
      <w:pPr>
        <w:ind w:firstLine="315" w:firstLineChars="150"/>
        <w:rPr>
          <w:rFonts w:ascii="宋体" w:hAnsi="宋体"/>
          <w:bCs/>
          <w:color w:val="auto"/>
          <w:szCs w:val="21"/>
          <w:highlight w:val="none"/>
        </w:rPr>
      </w:pPr>
      <w:r>
        <w:rPr>
          <w:rFonts w:hint="eastAsia" w:ascii="宋体" w:hAnsi="宋体"/>
          <w:bCs/>
          <w:color w:val="auto"/>
          <w:szCs w:val="21"/>
          <w:highlight w:val="none"/>
        </w:rPr>
        <w:t>10</w:t>
      </w:r>
      <w:r>
        <w:rPr>
          <w:rFonts w:ascii="宋体" w:hAnsi="宋体"/>
          <w:bCs/>
          <w:color w:val="auto"/>
          <w:szCs w:val="21"/>
          <w:highlight w:val="none"/>
        </w:rPr>
        <w:t>.1</w:t>
      </w:r>
      <w:r>
        <w:rPr>
          <w:rFonts w:hint="eastAsia" w:ascii="宋体" w:hAnsi="宋体"/>
          <w:bCs/>
          <w:color w:val="auto"/>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rPr>
          <w:rFonts w:ascii="宋体" w:hAnsi="宋体"/>
          <w:b/>
          <w:color w:val="auto"/>
          <w:szCs w:val="21"/>
          <w:highlight w:val="none"/>
        </w:rPr>
      </w:pPr>
      <w:r>
        <w:rPr>
          <w:rFonts w:hint="eastAsia" w:ascii="宋体" w:hAnsi="宋体"/>
          <w:b/>
          <w:color w:val="auto"/>
          <w:szCs w:val="21"/>
          <w:highlight w:val="none"/>
        </w:rPr>
        <w:t>十一、其它</w:t>
      </w:r>
    </w:p>
    <w:p>
      <w:pPr>
        <w:ind w:firstLine="315" w:firstLineChars="150"/>
        <w:rPr>
          <w:rFonts w:ascii="宋体" w:hAnsi="宋体"/>
          <w:bCs/>
          <w:color w:val="auto"/>
          <w:szCs w:val="21"/>
          <w:highlight w:val="none"/>
        </w:rPr>
      </w:pPr>
      <w:r>
        <w:rPr>
          <w:rFonts w:hint="eastAsia" w:ascii="宋体" w:hAnsi="宋体"/>
          <w:bCs/>
          <w:color w:val="auto"/>
          <w:szCs w:val="21"/>
          <w:highlight w:val="none"/>
        </w:rPr>
        <w:t>11</w:t>
      </w:r>
      <w:r>
        <w:rPr>
          <w:rFonts w:ascii="宋体" w:hAnsi="宋体"/>
          <w:bCs/>
          <w:color w:val="auto"/>
          <w:szCs w:val="21"/>
          <w:highlight w:val="none"/>
        </w:rPr>
        <w:t>.1</w:t>
      </w:r>
      <w:r>
        <w:rPr>
          <w:rFonts w:hint="eastAsia" w:ascii="宋体" w:hAnsi="宋体"/>
          <w:bCs/>
          <w:color w:val="auto"/>
          <w:szCs w:val="21"/>
          <w:highlight w:val="none"/>
        </w:rPr>
        <w:t>本合同所有附件、磋商文件、磋商响应文件、成交通知书均为合同的有效组成部分，与本合同具有同等法律效力。</w:t>
      </w:r>
    </w:p>
    <w:p>
      <w:pPr>
        <w:ind w:firstLine="315" w:firstLineChars="15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1</w:t>
      </w:r>
      <w:r>
        <w:rPr>
          <w:rFonts w:ascii="宋体" w:hAnsi="宋体"/>
          <w:bCs/>
          <w:color w:val="auto"/>
          <w:szCs w:val="21"/>
          <w:highlight w:val="none"/>
        </w:rPr>
        <w:t>.2</w:t>
      </w:r>
      <w:r>
        <w:rPr>
          <w:rFonts w:hint="eastAsia" w:ascii="宋体" w:hAnsi="宋体"/>
          <w:bCs/>
          <w:color w:val="auto"/>
          <w:szCs w:val="21"/>
          <w:highlight w:val="none"/>
        </w:rPr>
        <w:t>在执行本合同的过程中，所有经双方签署确认的文件（包括会议纪要、补充协议、往来信函）即成为本合同的有效组成部分。</w:t>
      </w:r>
    </w:p>
    <w:p>
      <w:pPr>
        <w:ind w:firstLine="315" w:firstLineChars="15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 xml:space="preserve">如一方地址、电话、传真号码有变更，应在变更当日内书面通知对方，否则，应承担相应责任。 </w:t>
      </w:r>
    </w:p>
    <w:p>
      <w:pPr>
        <w:ind w:firstLine="315" w:firstLineChars="15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1</w:t>
      </w:r>
      <w:r>
        <w:rPr>
          <w:rFonts w:ascii="宋体" w:hAnsi="宋体"/>
          <w:bCs/>
          <w:color w:val="auto"/>
          <w:szCs w:val="21"/>
          <w:highlight w:val="none"/>
        </w:rPr>
        <w:t>.4</w:t>
      </w:r>
      <w:r>
        <w:rPr>
          <w:rFonts w:hint="eastAsia" w:ascii="宋体" w:hAnsi="宋体"/>
          <w:bCs/>
          <w:color w:val="auto"/>
          <w:szCs w:val="21"/>
          <w:highlight w:val="none"/>
        </w:rPr>
        <w:t>除甲方事先书面同意外，乙方不得部分或全部转让其应履行的合同项下的义务。</w:t>
      </w:r>
    </w:p>
    <w:p>
      <w:pPr>
        <w:rPr>
          <w:rFonts w:ascii="宋体" w:hAnsi="宋体"/>
          <w:b/>
          <w:color w:val="auto"/>
          <w:szCs w:val="21"/>
          <w:highlight w:val="none"/>
        </w:rPr>
      </w:pPr>
      <w:r>
        <w:rPr>
          <w:rFonts w:hint="eastAsia" w:ascii="宋体" w:hAnsi="宋体"/>
          <w:b/>
          <w:color w:val="auto"/>
          <w:szCs w:val="21"/>
          <w:highlight w:val="none"/>
        </w:rPr>
        <w:t>十二、合同生效</w:t>
      </w:r>
    </w:p>
    <w:p>
      <w:pPr>
        <w:ind w:firstLine="315" w:firstLineChars="150"/>
        <w:rPr>
          <w:rFonts w:ascii="宋体" w:hAnsi="宋体"/>
          <w:bCs/>
          <w:color w:val="auto"/>
          <w:szCs w:val="21"/>
          <w:highlight w:val="none"/>
        </w:rPr>
      </w:pPr>
      <w:r>
        <w:rPr>
          <w:rFonts w:hint="eastAsia" w:ascii="宋体" w:hAnsi="宋体"/>
          <w:bCs/>
          <w:color w:val="auto"/>
          <w:szCs w:val="21"/>
          <w:highlight w:val="none"/>
        </w:rPr>
        <w:t>12</w:t>
      </w:r>
      <w:r>
        <w:rPr>
          <w:rFonts w:ascii="宋体" w:hAnsi="宋体"/>
          <w:bCs/>
          <w:color w:val="auto"/>
          <w:szCs w:val="21"/>
          <w:highlight w:val="none"/>
        </w:rPr>
        <w:t>.1</w:t>
      </w:r>
      <w:r>
        <w:rPr>
          <w:rFonts w:hint="eastAsia" w:ascii="宋体" w:hAnsi="宋体"/>
          <w:bCs/>
          <w:color w:val="auto"/>
          <w:szCs w:val="21"/>
          <w:highlight w:val="none"/>
        </w:rPr>
        <w:t>合同自甲乙双方法人代表或其授权代表签字盖章之日起生效。</w:t>
      </w:r>
    </w:p>
    <w:p>
      <w:pPr>
        <w:ind w:firstLine="315" w:firstLineChars="15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2</w:t>
      </w:r>
      <w:r>
        <w:rPr>
          <w:rFonts w:ascii="宋体" w:hAnsi="宋体"/>
          <w:bCs/>
          <w:color w:val="auto"/>
          <w:szCs w:val="21"/>
          <w:highlight w:val="none"/>
        </w:rPr>
        <w:t>.2</w:t>
      </w:r>
      <w:r>
        <w:rPr>
          <w:rFonts w:hint="eastAsia" w:ascii="宋体" w:hAnsi="宋体"/>
          <w:bCs/>
          <w:color w:val="auto"/>
          <w:szCs w:val="21"/>
          <w:highlight w:val="none"/>
        </w:rPr>
        <w:t>合同壹式</w:t>
      </w:r>
      <w:r>
        <w:rPr>
          <w:rFonts w:hint="eastAsia" w:ascii="宋体" w:hAnsi="宋体"/>
          <w:bCs/>
          <w:color w:val="auto"/>
          <w:szCs w:val="21"/>
          <w:highlight w:val="none"/>
          <w:u w:val="single"/>
        </w:rPr>
        <w:t>肆</w:t>
      </w:r>
      <w:r>
        <w:rPr>
          <w:rFonts w:hint="eastAsia" w:ascii="宋体" w:hAnsi="宋体"/>
          <w:bCs/>
          <w:color w:val="auto"/>
          <w:szCs w:val="21"/>
          <w:highlight w:val="none"/>
        </w:rPr>
        <w:t>份，其中甲乙双方各执</w:t>
      </w:r>
      <w:r>
        <w:rPr>
          <w:rFonts w:hint="eastAsia" w:ascii="宋体" w:hAnsi="宋体"/>
          <w:bCs/>
          <w:color w:val="auto"/>
          <w:szCs w:val="21"/>
          <w:highlight w:val="none"/>
          <w:u w:val="single"/>
        </w:rPr>
        <w:t>贰</w:t>
      </w:r>
      <w:r>
        <w:rPr>
          <w:rFonts w:hint="eastAsia" w:ascii="宋体" w:hAnsi="宋体"/>
          <w:bCs/>
          <w:color w:val="auto"/>
          <w:szCs w:val="21"/>
          <w:highlight w:val="none"/>
        </w:rPr>
        <w:t>份。</w:t>
      </w:r>
    </w:p>
    <w:p>
      <w:pPr>
        <w:ind w:firstLine="210" w:firstLineChars="100"/>
        <w:rPr>
          <w:rFonts w:ascii="宋体" w:hAnsi="宋体"/>
          <w:bCs/>
          <w:color w:val="auto"/>
          <w:szCs w:val="21"/>
          <w:highlight w:val="none"/>
        </w:rPr>
      </w:pPr>
    </w:p>
    <w:p>
      <w:pPr>
        <w:ind w:firstLine="315" w:firstLineChars="150"/>
        <w:rPr>
          <w:rFonts w:ascii="宋体" w:hAnsi="宋体"/>
          <w:bCs/>
          <w:color w:val="auto"/>
          <w:szCs w:val="21"/>
          <w:highlight w:val="none"/>
        </w:rPr>
      </w:pPr>
      <w:r>
        <w:rPr>
          <w:rFonts w:hint="eastAsia" w:ascii="宋体" w:hAnsi="宋体"/>
          <w:bCs/>
          <w:color w:val="auto"/>
          <w:szCs w:val="21"/>
          <w:highlight w:val="none"/>
        </w:rPr>
        <w:t>合同附件</w:t>
      </w:r>
    </w:p>
    <w:p>
      <w:pPr>
        <w:ind w:firstLine="315" w:firstLineChars="150"/>
        <w:rPr>
          <w:rFonts w:ascii="宋体" w:hAnsi="宋体"/>
          <w:bCs/>
          <w:color w:val="auto"/>
          <w:szCs w:val="21"/>
          <w:highlight w:val="none"/>
        </w:rPr>
      </w:pPr>
      <w:r>
        <w:rPr>
          <w:rFonts w:hint="eastAsia" w:ascii="宋体" w:hAnsi="宋体"/>
          <w:bCs/>
          <w:color w:val="auto"/>
          <w:szCs w:val="21"/>
          <w:highlight w:val="none"/>
        </w:rPr>
        <w:t>附件1：阳光合作协议</w:t>
      </w:r>
    </w:p>
    <w:p>
      <w:pPr>
        <w:ind w:firstLine="315" w:firstLineChars="150"/>
        <w:rPr>
          <w:rFonts w:ascii="宋体" w:hAnsi="宋体"/>
          <w:bCs/>
          <w:color w:val="auto"/>
          <w:szCs w:val="21"/>
          <w:highlight w:val="none"/>
        </w:rPr>
      </w:pPr>
      <w:r>
        <w:rPr>
          <w:rFonts w:hint="eastAsia" w:ascii="宋体" w:hAnsi="宋体"/>
          <w:bCs/>
          <w:color w:val="auto"/>
          <w:szCs w:val="21"/>
          <w:highlight w:val="none"/>
        </w:rPr>
        <w:t>附件2：合同价格清单</w:t>
      </w:r>
    </w:p>
    <w:p>
      <w:pPr>
        <w:ind w:firstLine="210" w:firstLineChars="100"/>
        <w:rPr>
          <w:rFonts w:ascii="宋体" w:hAnsi="宋体"/>
          <w:bCs/>
          <w:color w:val="auto"/>
          <w:szCs w:val="21"/>
          <w:highlight w:val="none"/>
        </w:rPr>
      </w:pPr>
    </w:p>
    <w:p>
      <w:pPr>
        <w:adjustRightInd/>
        <w:snapToGrid/>
        <w:rPr>
          <w:rFonts w:ascii="宋体" w:hAnsi="宋体"/>
          <w:bCs/>
          <w:color w:val="auto"/>
          <w:szCs w:val="21"/>
          <w:highlight w:val="none"/>
        </w:rPr>
      </w:pPr>
    </w:p>
    <w:p>
      <w:pPr>
        <w:ind w:firstLine="210" w:firstLineChars="100"/>
        <w:rPr>
          <w:rFonts w:ascii="宋体" w:hAnsi="宋体"/>
          <w:bCs/>
          <w:color w:val="auto"/>
          <w:szCs w:val="21"/>
          <w:highlight w:val="none"/>
        </w:rPr>
      </w:pPr>
      <w:r>
        <w:rPr>
          <w:rFonts w:hint="eastAsia" w:ascii="宋体" w:hAnsi="宋体"/>
          <w:bCs/>
          <w:color w:val="auto"/>
          <w:szCs w:val="21"/>
          <w:highlight w:val="none"/>
        </w:rPr>
        <w:t>甲方：                                 乙方：</w:t>
      </w:r>
    </w:p>
    <w:p>
      <w:pPr>
        <w:ind w:firstLine="210" w:firstLineChars="100"/>
        <w:rPr>
          <w:rFonts w:ascii="宋体" w:hAnsi="宋体"/>
          <w:bCs/>
          <w:color w:val="auto"/>
          <w:szCs w:val="21"/>
          <w:highlight w:val="none"/>
        </w:rPr>
      </w:pPr>
      <w:r>
        <w:rPr>
          <w:rFonts w:hint="eastAsia" w:ascii="宋体" w:hAnsi="宋体"/>
          <w:bCs/>
          <w:color w:val="auto"/>
          <w:szCs w:val="21"/>
          <w:highlight w:val="none"/>
        </w:rPr>
        <w:t>法定代表人：                           法定代表人：</w:t>
      </w:r>
    </w:p>
    <w:p>
      <w:pPr>
        <w:ind w:firstLine="210" w:firstLineChars="100"/>
        <w:rPr>
          <w:rFonts w:ascii="宋体" w:hAnsi="宋体"/>
          <w:bCs/>
          <w:color w:val="auto"/>
          <w:szCs w:val="21"/>
          <w:highlight w:val="none"/>
        </w:rPr>
      </w:pPr>
      <w:r>
        <w:rPr>
          <w:rFonts w:hint="eastAsia" w:ascii="宋体" w:hAnsi="宋体"/>
          <w:bCs/>
          <w:color w:val="auto"/>
          <w:szCs w:val="21"/>
          <w:highlight w:val="none"/>
        </w:rPr>
        <w:t>委托代理人：                           委托代理人：</w:t>
      </w:r>
    </w:p>
    <w:p>
      <w:pPr>
        <w:ind w:firstLine="210" w:firstLineChars="100"/>
        <w:rPr>
          <w:rFonts w:ascii="宋体" w:hAnsi="宋体"/>
          <w:bCs/>
          <w:color w:val="auto"/>
          <w:szCs w:val="21"/>
          <w:highlight w:val="none"/>
        </w:rPr>
      </w:pPr>
      <w:r>
        <w:rPr>
          <w:rFonts w:hint="eastAsia" w:ascii="宋体" w:hAnsi="宋体"/>
          <w:bCs/>
          <w:color w:val="auto"/>
          <w:szCs w:val="21"/>
          <w:highlight w:val="none"/>
        </w:rPr>
        <w:t>电话：                                 电话：</w:t>
      </w:r>
    </w:p>
    <w:p>
      <w:pPr>
        <w:ind w:firstLine="210" w:firstLineChars="100"/>
        <w:rPr>
          <w:rFonts w:ascii="宋体" w:hAnsi="宋体"/>
          <w:bCs/>
          <w:color w:val="auto"/>
          <w:szCs w:val="21"/>
          <w:highlight w:val="none"/>
        </w:rPr>
      </w:pPr>
      <w:r>
        <w:rPr>
          <w:rFonts w:hint="eastAsia" w:ascii="宋体" w:hAnsi="宋体"/>
          <w:bCs/>
          <w:color w:val="auto"/>
          <w:szCs w:val="21"/>
          <w:highlight w:val="none"/>
        </w:rPr>
        <w:t>传真：                                 传真：</w:t>
      </w:r>
    </w:p>
    <w:p>
      <w:pPr>
        <w:ind w:firstLine="210" w:firstLineChars="100"/>
        <w:rPr>
          <w:rFonts w:ascii="宋体" w:hAnsi="宋体"/>
          <w:bCs/>
          <w:color w:val="auto"/>
          <w:szCs w:val="21"/>
          <w:highlight w:val="none"/>
        </w:rPr>
      </w:pPr>
      <w:r>
        <w:rPr>
          <w:rFonts w:hint="eastAsia" w:ascii="宋体" w:hAnsi="宋体"/>
          <w:bCs/>
          <w:color w:val="auto"/>
          <w:szCs w:val="21"/>
          <w:highlight w:val="none"/>
        </w:rPr>
        <w:t xml:space="preserve">开户名称：                             开户名称： </w:t>
      </w:r>
    </w:p>
    <w:p>
      <w:pPr>
        <w:ind w:firstLine="210" w:firstLineChars="100"/>
        <w:rPr>
          <w:rFonts w:ascii="宋体" w:hAnsi="宋体"/>
          <w:bCs/>
          <w:color w:val="auto"/>
          <w:szCs w:val="21"/>
          <w:highlight w:val="none"/>
        </w:rPr>
      </w:pPr>
      <w:r>
        <w:rPr>
          <w:rFonts w:hint="eastAsia" w:ascii="宋体" w:hAnsi="宋体"/>
          <w:bCs/>
          <w:color w:val="auto"/>
          <w:szCs w:val="21"/>
          <w:highlight w:val="none"/>
        </w:rPr>
        <w:t>开户银行：                             开户银行：</w:t>
      </w:r>
    </w:p>
    <w:p>
      <w:pPr>
        <w:ind w:firstLine="210" w:firstLineChars="100"/>
        <w:rPr>
          <w:rFonts w:ascii="宋体" w:hAnsi="宋体"/>
          <w:bCs/>
          <w:color w:val="auto"/>
          <w:szCs w:val="21"/>
          <w:highlight w:val="none"/>
        </w:rPr>
      </w:pPr>
      <w:r>
        <w:rPr>
          <w:rFonts w:hint="eastAsia" w:ascii="宋体" w:hAnsi="宋体"/>
          <w:bCs/>
          <w:color w:val="auto"/>
          <w:szCs w:val="21"/>
          <w:highlight w:val="none"/>
        </w:rPr>
        <w:t>账号：                                 账号：</w:t>
      </w:r>
    </w:p>
    <w:p>
      <w:pPr>
        <w:ind w:firstLine="210" w:firstLineChars="100"/>
        <w:rPr>
          <w:rFonts w:ascii="宋体" w:hAnsi="宋体"/>
          <w:bCs/>
          <w:color w:val="auto"/>
          <w:szCs w:val="21"/>
          <w:highlight w:val="none"/>
        </w:rPr>
      </w:pPr>
      <w:r>
        <w:rPr>
          <w:rFonts w:hint="eastAsia" w:ascii="宋体" w:hAnsi="宋体"/>
          <w:bCs/>
          <w:color w:val="auto"/>
          <w:szCs w:val="21"/>
          <w:highlight w:val="none"/>
        </w:rPr>
        <w:t>税号：                                 税号：</w:t>
      </w:r>
    </w:p>
    <w:p>
      <w:pPr>
        <w:ind w:firstLine="210" w:firstLineChars="100"/>
        <w:rPr>
          <w:rFonts w:ascii="宋体" w:hAnsi="宋体"/>
          <w:bCs/>
          <w:color w:val="auto"/>
          <w:szCs w:val="21"/>
          <w:highlight w:val="none"/>
        </w:rPr>
      </w:pPr>
      <w:r>
        <w:rPr>
          <w:rFonts w:hint="eastAsia" w:ascii="宋体" w:hAnsi="宋体"/>
          <w:bCs/>
          <w:color w:val="auto"/>
          <w:szCs w:val="21"/>
          <w:highlight w:val="none"/>
        </w:rPr>
        <w:t>邮政编码：                             邮政编码：</w:t>
      </w:r>
    </w:p>
    <w:p>
      <w:pPr>
        <w:pStyle w:val="2"/>
        <w:rPr>
          <w:bCs/>
          <w:color w:val="auto"/>
          <w:sz w:val="21"/>
          <w:szCs w:val="21"/>
          <w:highlight w:val="none"/>
          <w:lang w:val="en-US"/>
        </w:rPr>
      </w:pPr>
    </w:p>
    <w:p>
      <w:pPr>
        <w:rPr>
          <w:rFonts w:ascii="宋体" w:hAnsi="宋体" w:cs="宋体"/>
          <w:b/>
          <w:color w:val="auto"/>
          <w:sz w:val="18"/>
          <w:szCs w:val="18"/>
          <w:highlight w:val="none"/>
        </w:rPr>
      </w:pPr>
      <w:r>
        <w:rPr>
          <w:rFonts w:hint="eastAsia" w:ascii="宋体" w:hAnsi="宋体" w:cs="宋体"/>
          <w:b/>
          <w:color w:val="auto"/>
          <w:sz w:val="18"/>
          <w:szCs w:val="18"/>
          <w:highlight w:val="none"/>
        </w:rPr>
        <w:br w:type="page"/>
      </w:r>
    </w:p>
    <w:p>
      <w:pPr>
        <w:spacing w:line="400" w:lineRule="atLeast"/>
        <w:rPr>
          <w:rFonts w:ascii="宋体" w:hAnsi="宋体" w:cs="宋体"/>
          <w:color w:val="auto"/>
          <w:sz w:val="24"/>
          <w:highlight w:val="none"/>
        </w:rPr>
      </w:pPr>
      <w:r>
        <w:rPr>
          <w:rFonts w:hint="eastAsia" w:ascii="宋体" w:hAnsi="宋体" w:cs="宋体"/>
          <w:bCs/>
          <w:color w:val="auto"/>
          <w:sz w:val="28"/>
          <w:szCs w:val="28"/>
          <w:highlight w:val="none"/>
        </w:rPr>
        <w:t xml:space="preserve">附件 </w:t>
      </w:r>
    </w:p>
    <w:p>
      <w:pPr>
        <w:adjustRightInd/>
        <w:snapToGrid/>
        <w:ind w:firstLine="883" w:firstLineChars="200"/>
        <w:jc w:val="center"/>
        <w:rPr>
          <w:rFonts w:ascii="宋体" w:hAnsi="宋体" w:cs="宋体"/>
          <w:b/>
          <w:color w:val="auto"/>
          <w:sz w:val="28"/>
          <w:szCs w:val="28"/>
          <w:highlight w:val="none"/>
        </w:rPr>
      </w:pPr>
      <w:r>
        <w:rPr>
          <w:rFonts w:hint="eastAsia" w:ascii="宋体" w:hAnsi="宋体" w:cs="宋体"/>
          <w:b/>
          <w:color w:val="auto"/>
          <w:sz w:val="44"/>
          <w:szCs w:val="44"/>
          <w:highlight w:val="none"/>
        </w:rPr>
        <w:t>阳光合作协议</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 xml:space="preserve">甲方： </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 xml:space="preserve">乙方： </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 xml:space="preserve">    甲乙双方于      年      月      日签署了《……合同》（以下简称原合同），为加强双方阳光合作，保证职员职业安全，甲乙双方经协商签订本协议并作为双方共同遵守的阳光合作行为准则。</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一、甲方责任</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1.甲方有责任向乙方介绍本单位有关采购管理通用原则和本协议的规定。</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2.甲方有责任对本单位相关人员进行阳光合作教育。</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4.甲方人员如违反阳光合作管理制度及本协议规定，甲方视情节轻重、影响大小给予行政及经济处罚。</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5．对于乙方举报甲方人员违反阳光合作规定的情况，甲方应及时进行调查，根据调查情况进行处理，并将调查结果向乙方反馈。</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6.接受举报的一方应为举报方保密，不得对举报方进行报复，对举报属实和严格遵守《阳光合作协议》的合作方，在同等条件下给予后续合作的优先权。</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二、乙方责任</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1.乙方应保证乙方人员了解甲方有关采购管理通用原则和及本协议的规定，并遵照执行。</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2.乙方不得以任何形式给予甲方人员回扣、赠送实物、现金、有价证券、礼券等有价物品或提供旅游等其他可能影响职务行为公正履行的活动（以下统称“财物”）。</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3.乙方有责任接受甲方对乙方在合作期间阳光合作管理执行情况的监督，并对甲方相关调查工作主动配合。</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 xml:space="preserve">5．甲方接受乙方实名或匿名举报，保证为举报者的信息保密，常设举报部门及电话： </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举报受理部门：东莞实业投资控股集团有限公司法律合规部</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东实集团举报邮箱：dgsyxf@163.com</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东实集团举报电话：0769-28820703（周一至周五9:00-12:00和14:00-18:00）</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邮寄地址：东莞市东城区八一路1号机关二号大院9号楼，东莞实业投资控股集团有限公司法律合规部收，邮编523000。</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三、其他</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1.本协议是原合同的补充协议，与原合同有同等法律效力。</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2.本协议一式四份，甲方执贰份，乙方执贰份,具有同等法律效力。</w:t>
      </w: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3.本协议经双方签署后生效。</w:t>
      </w:r>
    </w:p>
    <w:p>
      <w:pPr>
        <w:adjustRightInd/>
        <w:snapToGrid/>
        <w:spacing w:before="180" w:beforeLines="50" w:after="180" w:afterLines="50"/>
        <w:ind w:firstLine="420" w:firstLineChars="200"/>
        <w:contextualSpacing/>
        <w:rPr>
          <w:rFonts w:ascii="宋体" w:hAnsi="宋体" w:cs="宋体"/>
          <w:color w:val="auto"/>
          <w:szCs w:val="21"/>
          <w:highlight w:val="none"/>
        </w:rPr>
      </w:pP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 xml:space="preserve">甲方（盖章）：                      乙方（盖章）： </w:t>
      </w:r>
    </w:p>
    <w:p>
      <w:pPr>
        <w:adjustRightInd/>
        <w:snapToGrid/>
        <w:spacing w:before="180" w:beforeLines="50" w:after="180" w:afterLines="50"/>
        <w:ind w:firstLine="420" w:firstLineChars="200"/>
        <w:contextualSpacing/>
        <w:rPr>
          <w:rFonts w:ascii="宋体" w:hAnsi="宋体" w:cs="宋体"/>
          <w:color w:val="auto"/>
          <w:szCs w:val="21"/>
          <w:highlight w:val="none"/>
        </w:rPr>
      </w:pP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法定代表人（授权代表）：</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法定代表人（授权代表）：</w:t>
      </w:r>
    </w:p>
    <w:p>
      <w:pPr>
        <w:adjustRightInd/>
        <w:snapToGrid/>
        <w:spacing w:before="180" w:beforeLines="50" w:after="180" w:afterLines="50"/>
        <w:ind w:firstLine="420" w:firstLineChars="200"/>
        <w:contextualSpacing/>
        <w:rPr>
          <w:rFonts w:ascii="宋体" w:hAnsi="宋体" w:cs="宋体"/>
          <w:color w:val="auto"/>
          <w:szCs w:val="21"/>
          <w:highlight w:val="none"/>
        </w:rPr>
      </w:pPr>
    </w:p>
    <w:p>
      <w:pPr>
        <w:adjustRightInd/>
        <w:snapToGrid/>
        <w:spacing w:before="180" w:beforeLines="50" w:after="180" w:afterLines="50"/>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签约日期：   年   月   日</w:t>
      </w:r>
      <w:r>
        <w:rPr>
          <w:rFonts w:hint="eastAsia" w:ascii="宋体" w:hAnsi="宋体" w:cs="宋体"/>
          <w:color w:val="auto"/>
          <w:szCs w:val="21"/>
          <w:highlight w:val="none"/>
        </w:rPr>
        <w:tab/>
      </w:r>
      <w:r>
        <w:rPr>
          <w:rFonts w:hint="eastAsia" w:ascii="宋体" w:hAnsi="宋体" w:cs="宋体"/>
          <w:color w:val="auto"/>
          <w:szCs w:val="21"/>
          <w:highlight w:val="none"/>
        </w:rPr>
        <w:t xml:space="preserve">       签约日期：   年   月   日</w:t>
      </w:r>
    </w:p>
    <w:p>
      <w:pPr>
        <w:pStyle w:val="6"/>
        <w:spacing w:before="0" w:after="0" w:line="240" w:lineRule="auto"/>
        <w:rPr>
          <w:color w:val="auto"/>
          <w:sz w:val="28"/>
          <w:szCs w:val="28"/>
          <w:highlight w:val="none"/>
        </w:rPr>
      </w:pPr>
      <w:bookmarkStart w:id="132" w:name="_Toc17124"/>
      <w:r>
        <w:rPr>
          <w:rFonts w:hint="eastAsia"/>
          <w:color w:val="auto"/>
          <w:sz w:val="28"/>
          <w:szCs w:val="28"/>
          <w:highlight w:val="none"/>
        </w:rPr>
        <w:t>第六部分附件－投标文件格式</w:t>
      </w:r>
      <w:bookmarkEnd w:id="132"/>
    </w:p>
    <w:p>
      <w:pPr>
        <w:rPr>
          <w:color w:val="auto"/>
          <w:highlight w:val="none"/>
        </w:rPr>
      </w:pPr>
    </w:p>
    <w:p>
      <w:pPr>
        <w:pStyle w:val="8"/>
        <w:widowControl w:val="0"/>
        <w:overflowPunct w:val="0"/>
        <w:spacing w:line="240" w:lineRule="auto"/>
        <w:rPr>
          <w:rFonts w:ascii="宋体" w:hAnsi="宋体"/>
          <w:color w:val="auto"/>
          <w:sz w:val="21"/>
          <w:szCs w:val="21"/>
          <w:highlight w:val="none"/>
        </w:rPr>
      </w:pPr>
      <w:bookmarkStart w:id="133" w:name="_Toc25786"/>
      <w:r>
        <w:rPr>
          <w:rFonts w:hint="eastAsia" w:ascii="宋体" w:hAnsi="宋体"/>
          <w:color w:val="auto"/>
          <w:sz w:val="21"/>
          <w:szCs w:val="21"/>
          <w:highlight w:val="none"/>
        </w:rPr>
        <w:t>投标文件目录</w:t>
      </w:r>
      <w:bookmarkEnd w:id="133"/>
    </w:p>
    <w:p>
      <w:pPr>
        <w:jc w:val="center"/>
        <w:rPr>
          <w:rFonts w:ascii="黑体" w:eastAsia="黑体"/>
          <w:color w:val="auto"/>
          <w:sz w:val="32"/>
          <w:szCs w:val="32"/>
          <w:highlight w:val="none"/>
        </w:rPr>
      </w:pPr>
    </w:p>
    <w:p>
      <w:pPr>
        <w:jc w:val="center"/>
        <w:outlineLvl w:val="0"/>
        <w:rPr>
          <w:rFonts w:ascii="黑体" w:eastAsia="黑体"/>
          <w:color w:val="auto"/>
          <w:sz w:val="32"/>
          <w:szCs w:val="32"/>
          <w:highlight w:val="none"/>
        </w:rPr>
      </w:pPr>
      <w:r>
        <w:rPr>
          <w:rFonts w:hint="eastAsia" w:ascii="黑体" w:eastAsia="黑体"/>
          <w:color w:val="auto"/>
          <w:sz w:val="32"/>
          <w:szCs w:val="32"/>
          <w:highlight w:val="none"/>
        </w:rPr>
        <w:t>目录</w:t>
      </w: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pPr>
        <w:adjustRightInd/>
        <w:snapToGrid/>
        <w:spacing w:line="276" w:lineRule="auto"/>
        <w:outlineLvl w:val="0"/>
        <w:rPr>
          <w:rFonts w:ascii="宋体" w:hAnsi="宋体"/>
          <w:color w:val="auto"/>
          <w:szCs w:val="21"/>
          <w:highlight w:val="none"/>
        </w:rPr>
      </w:pPr>
      <w:r>
        <w:rPr>
          <w:rFonts w:hint="eastAsia" w:ascii="宋体" w:hAnsi="宋体"/>
          <w:color w:val="auto"/>
          <w:szCs w:val="21"/>
          <w:highlight w:val="none"/>
        </w:rPr>
        <w:t>1、投标人制作的投标文件应当具备目录。</w:t>
      </w:r>
      <w:r>
        <w:rPr>
          <w:rFonts w:ascii="宋体" w:hAnsi="宋体"/>
          <w:color w:val="auto"/>
          <w:szCs w:val="21"/>
          <w:highlight w:val="none"/>
        </w:rPr>
        <w:br w:type="page"/>
      </w:r>
    </w:p>
    <w:p>
      <w:pPr>
        <w:pStyle w:val="8"/>
        <w:widowControl w:val="0"/>
        <w:overflowPunct w:val="0"/>
        <w:spacing w:line="240" w:lineRule="auto"/>
        <w:rPr>
          <w:rFonts w:ascii="宋体" w:hAnsi="宋体"/>
          <w:color w:val="auto"/>
          <w:sz w:val="21"/>
          <w:szCs w:val="21"/>
          <w:highlight w:val="none"/>
        </w:rPr>
      </w:pPr>
      <w:bookmarkStart w:id="134" w:name="_Toc18792"/>
      <w:r>
        <w:rPr>
          <w:rFonts w:hint="eastAsia" w:ascii="宋体" w:hAnsi="宋体"/>
          <w:color w:val="auto"/>
          <w:sz w:val="21"/>
          <w:szCs w:val="21"/>
          <w:highlight w:val="none"/>
        </w:rPr>
        <w:t>附件1.评分标准索引表</w:t>
      </w:r>
      <w:bookmarkEnd w:id="134"/>
    </w:p>
    <w:p>
      <w:pPr>
        <w:adjustRightInd/>
        <w:snapToGrid/>
        <w:spacing w:line="276" w:lineRule="auto"/>
        <w:rPr>
          <w:rFonts w:ascii="宋体" w:hAnsi="宋体"/>
          <w:color w:val="auto"/>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pP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pPr>
              <w:jc w:val="center"/>
              <w:rPr>
                <w:rFonts w:ascii="宋体" w:hAnsi="宋体" w:cs="宋体"/>
                <w:color w:val="auto"/>
                <w:highlight w:val="none"/>
              </w:rPr>
            </w:pPr>
            <w:r>
              <w:rPr>
                <w:rFonts w:hint="eastAsia" w:ascii="宋体" w:hAnsi="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rPr>
                <w:rFonts w:ascii="宋体" w:hAnsi="宋体" w:cs="宋体"/>
                <w:color w:val="auto"/>
                <w:highlight w:val="none"/>
              </w:rPr>
            </w:pPr>
            <w:r>
              <w:rPr>
                <w:rFonts w:hint="eastAsia" w:ascii="宋体" w:hAnsi="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rPr>
                <w:rFonts w:ascii="宋体" w:hAnsi="宋体" w:cs="宋体"/>
                <w:color w:val="auto"/>
                <w:highlight w:val="none"/>
              </w:rPr>
            </w:pPr>
            <w:r>
              <w:rPr>
                <w:rFonts w:hint="eastAsia" w:ascii="宋体" w:hAnsi="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p>
    <w:p>
      <w:pPr>
        <w:numPr>
          <w:ilvl w:val="0"/>
          <w:numId w:val="10"/>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该表格为参考格式，投标人可按实际情况自行制订评分标准索引表。</w:t>
      </w:r>
    </w:p>
    <w:p>
      <w:pPr>
        <w:pStyle w:val="2"/>
        <w:spacing w:before="0"/>
        <w:ind w:left="0"/>
        <w:rPr>
          <w:color w:val="auto"/>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pPr>
        <w:jc w:val="center"/>
        <w:rPr>
          <w:rFonts w:ascii="黑体" w:eastAsia="黑体"/>
          <w:color w:val="auto"/>
          <w:sz w:val="52"/>
          <w:szCs w:val="52"/>
          <w:highlight w:val="none"/>
        </w:rPr>
      </w:pPr>
      <w:bookmarkStart w:id="135" w:name="_Toc30918"/>
      <w:bookmarkStart w:id="136" w:name="_Toc18450"/>
      <w:bookmarkStart w:id="137" w:name="_Toc28154"/>
      <w:bookmarkStart w:id="138" w:name="_Toc20335"/>
      <w:bookmarkStart w:id="139" w:name="_Toc21746"/>
    </w:p>
    <w:p>
      <w:pPr>
        <w:pStyle w:val="6"/>
        <w:spacing w:before="0" w:after="0" w:line="360" w:lineRule="auto"/>
        <w:jc w:val="center"/>
        <w:rPr>
          <w:color w:val="auto"/>
          <w:sz w:val="72"/>
          <w:szCs w:val="72"/>
          <w:highlight w:val="none"/>
        </w:rPr>
      </w:pPr>
      <w:bookmarkStart w:id="140" w:name="_Toc9213"/>
      <w:r>
        <w:rPr>
          <w:rFonts w:hint="eastAsia"/>
          <w:color w:val="auto"/>
          <w:sz w:val="72"/>
          <w:szCs w:val="72"/>
          <w:highlight w:val="none"/>
        </w:rPr>
        <w:t>价格文件</w:t>
      </w:r>
      <w:bookmarkEnd w:id="135"/>
      <w:bookmarkEnd w:id="136"/>
      <w:bookmarkEnd w:id="140"/>
      <w:bookmarkStart w:id="141" w:name="_Hlt10519799"/>
      <w:bookmarkEnd w:id="141"/>
      <w:bookmarkStart w:id="142" w:name="_Hlt10456397"/>
      <w:bookmarkEnd w:id="142"/>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37"/>
      <w:bookmarkEnd w:id="138"/>
      <w:bookmarkEnd w:id="139"/>
    </w:p>
    <w:p>
      <w:pPr>
        <w:rPr>
          <w:color w:val="auto"/>
          <w:highlight w:val="none"/>
        </w:rPr>
      </w:pPr>
    </w:p>
    <w:p>
      <w:pPr>
        <w:pStyle w:val="2"/>
        <w:rPr>
          <w:color w:val="auto"/>
          <w:highlight w:val="none"/>
        </w:rPr>
      </w:pPr>
    </w:p>
    <w:p>
      <w:pPr>
        <w:pStyle w:val="3"/>
        <w:spacing w:before="0" w:after="0"/>
        <w:ind w:left="0"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1883717649"/>
        </w:rPr>
        <w:t>项目名</w:t>
      </w:r>
      <w:r>
        <w:rPr>
          <w:rFonts w:hint="eastAsia" w:ascii="宋体" w:hAnsi="宋体" w:cs="宋体"/>
          <w:b/>
          <w:bCs/>
          <w:color w:val="auto"/>
          <w:spacing w:val="1"/>
          <w:kern w:val="0"/>
          <w:sz w:val="32"/>
          <w:szCs w:val="32"/>
          <w:highlight w:val="none"/>
          <w:fitText w:val="1600" w:id="1883717649"/>
        </w:rPr>
        <w:t>称</w:t>
      </w:r>
      <w:r>
        <w:rPr>
          <w:rFonts w:hint="eastAsia" w:ascii="宋体" w:hAnsi="宋体" w:cs="宋体"/>
          <w:b/>
          <w:bCs/>
          <w:color w:val="auto"/>
          <w:spacing w:val="-6"/>
          <w:sz w:val="32"/>
          <w:szCs w:val="32"/>
          <w:highlight w:val="none"/>
        </w:rPr>
        <w:t>：</w:t>
      </w:r>
    </w:p>
    <w:p>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1"/>
        </w:rPr>
        <w:t>项目编</w:t>
      </w:r>
      <w:r>
        <w:rPr>
          <w:rFonts w:hint="eastAsia" w:ascii="宋体" w:hAnsi="宋体" w:cs="宋体"/>
          <w:b/>
          <w:bCs/>
          <w:color w:val="auto"/>
          <w:spacing w:val="1"/>
          <w:kern w:val="0"/>
          <w:sz w:val="32"/>
          <w:szCs w:val="32"/>
          <w:highlight w:val="none"/>
          <w:fitText w:val="1600" w:id="1"/>
        </w:rPr>
        <w:t>号</w:t>
      </w:r>
      <w:r>
        <w:rPr>
          <w:rFonts w:hint="eastAsia" w:ascii="宋体" w:hAnsi="宋体" w:cs="宋体"/>
          <w:b/>
          <w:bCs/>
          <w:color w:val="auto"/>
          <w:sz w:val="32"/>
          <w:szCs w:val="32"/>
          <w:highlight w:val="none"/>
        </w:rPr>
        <w:t>：</w:t>
      </w:r>
    </w:p>
    <w:p>
      <w:pPr>
        <w:pStyle w:val="27"/>
        <w:widowControl/>
        <w:adjustRightInd w:val="0"/>
        <w:snapToGrid w:val="0"/>
        <w:jc w:val="left"/>
        <w:rPr>
          <w:rFonts w:ascii="宋体" w:hAnsi="宋体" w:cs="宋体"/>
          <w:b/>
          <w:color w:val="auto"/>
          <w:spacing w:val="1280"/>
          <w:kern w:val="0"/>
          <w:sz w:val="32"/>
          <w:szCs w:val="32"/>
          <w:highlight w:val="none"/>
        </w:rPr>
      </w:pPr>
      <w:r>
        <w:rPr>
          <w:rFonts w:hint="eastAsia" w:ascii="宋体" w:hAnsi="宋体" w:cs="宋体"/>
          <w:b/>
          <w:color w:val="auto"/>
          <w:spacing w:val="106"/>
          <w:kern w:val="0"/>
          <w:sz w:val="32"/>
          <w:szCs w:val="32"/>
          <w:highlight w:val="none"/>
          <w:lang w:bidi="ar"/>
        </w:rPr>
        <w:t>包组号（如有）：</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
        </w:rPr>
        <w:t>投标人名称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3"/>
        </w:rPr>
        <w:t xml:space="preserve">日    </w:t>
      </w:r>
      <w:r>
        <w:rPr>
          <w:rFonts w:hint="eastAsia" w:ascii="宋体" w:hAnsi="宋体" w:cs="宋体"/>
          <w:b/>
          <w:color w:val="auto"/>
          <w:spacing w:val="0"/>
          <w:kern w:val="0"/>
          <w:sz w:val="32"/>
          <w:szCs w:val="32"/>
          <w:highlight w:val="none"/>
          <w:fitText w:val="1600" w:id="3"/>
        </w:rPr>
        <w:t>期</w:t>
      </w:r>
      <w:r>
        <w:rPr>
          <w:rFonts w:hint="eastAsia" w:ascii="宋体" w:hAnsi="宋体" w:cs="宋体"/>
          <w:b/>
          <w:color w:val="auto"/>
          <w:sz w:val="32"/>
          <w:szCs w:val="32"/>
          <w:highlight w:val="none"/>
        </w:rPr>
        <w:t>：</w:t>
      </w:r>
    </w:p>
    <w:p>
      <w:pPr>
        <w:rPr>
          <w:color w:val="auto"/>
          <w:highlight w:val="none"/>
        </w:rPr>
      </w:pPr>
    </w:p>
    <w:p>
      <w:pPr>
        <w:pStyle w:val="2"/>
        <w:rPr>
          <w:color w:val="auto"/>
          <w:highlight w:val="none"/>
        </w:rPr>
      </w:pPr>
    </w:p>
    <w:p>
      <w:pPr>
        <w:pStyle w:val="3"/>
        <w:ind w:firstLine="240"/>
        <w:rPr>
          <w:color w:val="auto"/>
          <w:highlight w:val="none"/>
        </w:rPr>
      </w:pPr>
    </w:p>
    <w:p>
      <w:pPr>
        <w:pStyle w:val="4"/>
        <w:rPr>
          <w:color w:val="auto"/>
          <w:highlight w:val="none"/>
        </w:rPr>
      </w:pPr>
    </w:p>
    <w:p>
      <w:pPr>
        <w:rPr>
          <w:color w:val="auto"/>
          <w:highlight w:val="none"/>
        </w:rPr>
      </w:pPr>
    </w:p>
    <w:p>
      <w:pPr>
        <w:pStyle w:val="2"/>
        <w:rPr>
          <w:color w:val="auto"/>
          <w:highlight w:val="none"/>
        </w:rPr>
      </w:pPr>
    </w:p>
    <w:p>
      <w:pPr>
        <w:pStyle w:val="3"/>
        <w:ind w:firstLine="240"/>
        <w:rPr>
          <w:color w:val="auto"/>
          <w:highlight w:val="none"/>
        </w:rPr>
      </w:pPr>
    </w:p>
    <w:p>
      <w:pPr>
        <w:pStyle w:val="4"/>
        <w:rPr>
          <w:color w:val="auto"/>
          <w:highlight w:val="none"/>
        </w:rPr>
      </w:pPr>
    </w:p>
    <w:p>
      <w:pPr>
        <w:pStyle w:val="4"/>
        <w:ind w:left="0"/>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pStyle w:val="8"/>
        <w:widowControl w:val="0"/>
        <w:overflowPunct w:val="0"/>
        <w:spacing w:line="240" w:lineRule="auto"/>
        <w:rPr>
          <w:rFonts w:ascii="宋体" w:hAnsi="宋体"/>
          <w:color w:val="auto"/>
          <w:sz w:val="21"/>
          <w:szCs w:val="21"/>
          <w:highlight w:val="none"/>
        </w:rPr>
      </w:pPr>
      <w:bookmarkStart w:id="143" w:name="_Toc1232"/>
      <w:r>
        <w:rPr>
          <w:rFonts w:hint="eastAsia" w:ascii="宋体" w:hAnsi="宋体"/>
          <w:color w:val="auto"/>
          <w:sz w:val="21"/>
          <w:szCs w:val="21"/>
          <w:highlight w:val="none"/>
        </w:rPr>
        <w:t>附件2.开标一览表格式</w:t>
      </w:r>
      <w:bookmarkEnd w:id="143"/>
    </w:p>
    <w:p>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t>投标人名称：</w:t>
      </w:r>
    </w:p>
    <w:p>
      <w:pPr>
        <w:rPr>
          <w:color w:val="auto"/>
          <w:highlight w:val="none"/>
        </w:rPr>
      </w:pPr>
      <w:r>
        <w:rPr>
          <w:rFonts w:hint="eastAsia" w:ascii="宋体" w:hAnsi="宋体"/>
          <w:color w:val="auto"/>
          <w:szCs w:val="21"/>
          <w:highlight w:val="none"/>
        </w:rPr>
        <w:t>采购项目编号：</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1671"/>
        <w:gridCol w:w="1799"/>
        <w:gridCol w:w="2694"/>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445" w:type="dxa"/>
            <w:vAlign w:val="center"/>
          </w:tcPr>
          <w:p>
            <w:pPr>
              <w:spacing w:line="24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1671" w:type="dxa"/>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含税投标总价（元）</w:t>
            </w:r>
          </w:p>
        </w:tc>
        <w:tc>
          <w:tcPr>
            <w:tcW w:w="1799" w:type="dxa"/>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专项服务投标下浮率</w:t>
            </w:r>
          </w:p>
        </w:tc>
        <w:tc>
          <w:tcPr>
            <w:tcW w:w="2694" w:type="dxa"/>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专项服务</w:t>
            </w:r>
          </w:p>
        </w:tc>
        <w:tc>
          <w:tcPr>
            <w:tcW w:w="910" w:type="dxa"/>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45" w:type="dxa"/>
            <w:vMerge w:val="restart"/>
            <w:vAlign w:val="center"/>
          </w:tcPr>
          <w:p>
            <w:pPr>
              <w:spacing w:line="240" w:lineRule="auto"/>
              <w:jc w:val="center"/>
              <w:rPr>
                <w:rFonts w:ascii="宋体" w:hAnsi="宋体" w:cs="宋体"/>
                <w:color w:val="auto"/>
                <w:szCs w:val="21"/>
                <w:highlight w:val="none"/>
              </w:rPr>
            </w:pPr>
          </w:p>
        </w:tc>
        <w:tc>
          <w:tcPr>
            <w:tcW w:w="1671" w:type="dxa"/>
            <w:vMerge w:val="restart"/>
            <w:vAlign w:val="center"/>
          </w:tcPr>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小写：</w:t>
            </w:r>
          </w:p>
          <w:p>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大写：</w:t>
            </w:r>
          </w:p>
        </w:tc>
        <w:tc>
          <w:tcPr>
            <w:tcW w:w="1799" w:type="dxa"/>
            <w:vMerge w:val="restart"/>
            <w:vAlign w:val="center"/>
          </w:tcPr>
          <w:p>
            <w:pPr>
              <w:pStyle w:val="65"/>
              <w:jc w:val="center"/>
              <w:rPr>
                <w:rFonts w:hAnsi="宋体"/>
                <w:color w:val="auto"/>
                <w:sz w:val="21"/>
                <w:szCs w:val="21"/>
                <w:highlight w:val="none"/>
              </w:rPr>
            </w:pPr>
            <w:r>
              <w:rPr>
                <w:rFonts w:hint="eastAsia" w:hAnsi="宋体"/>
                <w:color w:val="auto"/>
                <w:sz w:val="21"/>
                <w:szCs w:val="21"/>
                <w:highlight w:val="none"/>
                <w:u w:val="single"/>
              </w:rPr>
              <w:t xml:space="preserve">    %</w:t>
            </w:r>
          </w:p>
        </w:tc>
        <w:tc>
          <w:tcPr>
            <w:tcW w:w="2694" w:type="dxa"/>
            <w:vAlign w:val="center"/>
          </w:tcPr>
          <w:p>
            <w:pPr>
              <w:pStyle w:val="65"/>
              <w:jc w:val="center"/>
              <w:rPr>
                <w:rFonts w:hAnsi="宋体"/>
                <w:color w:val="auto"/>
                <w:sz w:val="21"/>
                <w:szCs w:val="21"/>
                <w:highlight w:val="none"/>
              </w:rPr>
            </w:pPr>
            <w:r>
              <w:rPr>
                <w:rFonts w:hint="eastAsia" w:hAnsi="宋体"/>
                <w:color w:val="auto"/>
                <w:sz w:val="21"/>
                <w:szCs w:val="21"/>
                <w:highlight w:val="none"/>
              </w:rPr>
              <w:t>外墙清洗</w:t>
            </w:r>
            <w:r>
              <w:rPr>
                <w:rFonts w:hint="eastAsia" w:hAnsi="宋体"/>
                <w:color w:val="auto"/>
                <w:sz w:val="21"/>
                <w:szCs w:val="21"/>
                <w:highlight w:val="none"/>
                <w:u w:val="single"/>
              </w:rPr>
              <w:t xml:space="preserve">   </w:t>
            </w:r>
            <w:r>
              <w:rPr>
                <w:rFonts w:hint="eastAsia" w:hAnsi="宋体"/>
                <w:color w:val="auto"/>
                <w:sz w:val="21"/>
                <w:szCs w:val="21"/>
                <w:highlight w:val="none"/>
              </w:rPr>
              <w:t>元/m2</w:t>
            </w:r>
          </w:p>
        </w:tc>
        <w:tc>
          <w:tcPr>
            <w:tcW w:w="910" w:type="dxa"/>
            <w:vMerge w:val="restart"/>
            <w:vAlign w:val="center"/>
          </w:tcPr>
          <w:p>
            <w:pPr>
              <w:pStyle w:val="65"/>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45" w:type="dxa"/>
            <w:vMerge w:val="continue"/>
            <w:vAlign w:val="center"/>
          </w:tcPr>
          <w:p>
            <w:pPr>
              <w:pStyle w:val="65"/>
              <w:jc w:val="center"/>
              <w:rPr>
                <w:color w:val="auto"/>
                <w:highlight w:val="none"/>
              </w:rPr>
            </w:pPr>
          </w:p>
        </w:tc>
        <w:tc>
          <w:tcPr>
            <w:tcW w:w="1671" w:type="dxa"/>
            <w:vMerge w:val="continue"/>
            <w:vAlign w:val="center"/>
          </w:tcPr>
          <w:p>
            <w:pPr>
              <w:pStyle w:val="65"/>
              <w:jc w:val="center"/>
              <w:rPr>
                <w:color w:val="auto"/>
                <w:highlight w:val="none"/>
              </w:rPr>
            </w:pPr>
          </w:p>
        </w:tc>
        <w:tc>
          <w:tcPr>
            <w:tcW w:w="1799" w:type="dxa"/>
            <w:vMerge w:val="continue"/>
            <w:vAlign w:val="center"/>
          </w:tcPr>
          <w:p>
            <w:pPr>
              <w:pStyle w:val="65"/>
              <w:jc w:val="center"/>
              <w:rPr>
                <w:color w:val="auto"/>
                <w:highlight w:val="none"/>
              </w:rPr>
            </w:pPr>
          </w:p>
        </w:tc>
        <w:tc>
          <w:tcPr>
            <w:tcW w:w="2694" w:type="dxa"/>
            <w:vAlign w:val="center"/>
          </w:tcPr>
          <w:p>
            <w:pPr>
              <w:pStyle w:val="65"/>
              <w:jc w:val="center"/>
              <w:rPr>
                <w:rFonts w:hAnsi="宋体"/>
                <w:color w:val="auto"/>
                <w:sz w:val="21"/>
                <w:szCs w:val="21"/>
                <w:highlight w:val="none"/>
              </w:rPr>
            </w:pPr>
            <w:r>
              <w:rPr>
                <w:rFonts w:hint="eastAsia" w:hAnsi="宋体"/>
                <w:color w:val="auto"/>
                <w:sz w:val="21"/>
                <w:szCs w:val="21"/>
                <w:highlight w:val="none"/>
              </w:rPr>
              <w:t>公寓室内保洁</w:t>
            </w:r>
            <w:r>
              <w:rPr>
                <w:rFonts w:hint="eastAsia" w:hAnsi="宋体"/>
                <w:color w:val="auto"/>
                <w:sz w:val="21"/>
                <w:szCs w:val="21"/>
                <w:highlight w:val="none"/>
                <w:u w:val="single"/>
              </w:rPr>
              <w:t xml:space="preserve">  </w:t>
            </w:r>
            <w:r>
              <w:rPr>
                <w:rFonts w:hint="eastAsia" w:hAnsi="宋体"/>
                <w:color w:val="auto"/>
                <w:sz w:val="21"/>
                <w:szCs w:val="21"/>
                <w:highlight w:val="none"/>
              </w:rPr>
              <w:t>元/套/次。</w:t>
            </w:r>
          </w:p>
        </w:tc>
        <w:tc>
          <w:tcPr>
            <w:tcW w:w="910" w:type="dxa"/>
            <w:vMerge w:val="continue"/>
            <w:vAlign w:val="center"/>
          </w:tcPr>
          <w:p>
            <w:pPr>
              <w:pStyle w:val="65"/>
              <w:jc w:val="center"/>
              <w:rPr>
                <w:rFonts w:hAnsi="宋体"/>
                <w:color w:val="auto"/>
                <w:sz w:val="21"/>
                <w:szCs w:val="21"/>
                <w:highlight w:val="none"/>
              </w:rPr>
            </w:pPr>
          </w:p>
        </w:tc>
      </w:tr>
    </w:tbl>
    <w:p>
      <w:pPr>
        <w:rPr>
          <w:rFonts w:ascii="宋体" w:hAnsi="宋体"/>
          <w:color w:val="auto"/>
          <w:szCs w:val="21"/>
          <w:highlight w:val="none"/>
        </w:rPr>
      </w:pPr>
    </w:p>
    <w:p>
      <w:pPr>
        <w:ind w:firstLine="359" w:firstLineChars="171"/>
        <w:rPr>
          <w:rFonts w:ascii="宋体" w:hAnsi="宋体"/>
          <w:color w:val="auto"/>
          <w:szCs w:val="21"/>
          <w:highlight w:val="none"/>
        </w:rPr>
      </w:pPr>
    </w:p>
    <w:p>
      <w:pP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pPr>
        <w:ind w:firstLine="359" w:firstLineChars="171"/>
        <w:rPr>
          <w:rFonts w:ascii="宋体" w:hAnsi="宋体"/>
          <w:color w:val="auto"/>
          <w:szCs w:val="21"/>
          <w:highlight w:val="none"/>
        </w:rPr>
      </w:pPr>
      <w:r>
        <w:rPr>
          <w:rFonts w:hint="eastAsia" w:ascii="宋体" w:hAnsi="宋体"/>
          <w:color w:val="auto"/>
          <w:szCs w:val="21"/>
          <w:highlight w:val="none"/>
        </w:rPr>
        <w:t>投标人盖章：</w:t>
      </w:r>
    </w:p>
    <w:p>
      <w:pPr>
        <w:ind w:firstLine="359" w:firstLineChars="171"/>
        <w:rPr>
          <w:rFonts w:ascii="宋体" w:hAnsi="宋体"/>
          <w:color w:val="auto"/>
          <w:szCs w:val="21"/>
          <w:highlight w:val="none"/>
        </w:rPr>
      </w:pPr>
      <w:r>
        <w:rPr>
          <w:rFonts w:hint="eastAsia" w:ascii="宋体" w:hAnsi="宋体"/>
          <w:color w:val="auto"/>
          <w:szCs w:val="21"/>
          <w:highlight w:val="none"/>
        </w:rPr>
        <w:t>日期：</w:t>
      </w:r>
    </w:p>
    <w:p>
      <w:pPr>
        <w:ind w:firstLine="359" w:firstLineChars="171"/>
        <w:rPr>
          <w:rFonts w:ascii="宋体" w:hAnsi="宋体"/>
          <w:color w:val="auto"/>
          <w:szCs w:val="21"/>
          <w:highlight w:val="none"/>
        </w:rPr>
      </w:pPr>
    </w:p>
    <w:p>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pPr>
        <w:ind w:firstLine="420" w:firstLineChars="200"/>
        <w:rPr>
          <w:rFonts w:ascii="宋体" w:hAnsi="宋体"/>
          <w:color w:val="auto"/>
          <w:szCs w:val="21"/>
          <w:highlight w:val="none"/>
        </w:rPr>
      </w:pPr>
      <w:r>
        <w:rPr>
          <w:rFonts w:hint="eastAsia" w:ascii="宋体" w:hAnsi="宋体"/>
          <w:color w:val="auto"/>
          <w:szCs w:val="21"/>
          <w:highlight w:val="none"/>
        </w:rPr>
        <w:t>1、投标总价栏须</w:t>
      </w:r>
      <w:r>
        <w:rPr>
          <w:rFonts w:ascii="宋体" w:hAnsi="宋体"/>
          <w:color w:val="auto"/>
          <w:szCs w:val="21"/>
          <w:highlight w:val="none"/>
        </w:rPr>
        <w:t>用</w:t>
      </w:r>
      <w:r>
        <w:rPr>
          <w:rFonts w:hint="eastAsia" w:ascii="宋体" w:hAnsi="宋体"/>
          <w:color w:val="auto"/>
          <w:szCs w:val="21"/>
          <w:highlight w:val="none"/>
        </w:rPr>
        <w:t>大写金额和小写金额两种方式</w:t>
      </w:r>
      <w:r>
        <w:rPr>
          <w:rFonts w:ascii="宋体" w:hAnsi="宋体"/>
          <w:color w:val="auto"/>
          <w:szCs w:val="21"/>
          <w:highlight w:val="none"/>
        </w:rPr>
        <w:t>表示的投标总价</w:t>
      </w:r>
      <w:r>
        <w:rPr>
          <w:rFonts w:hint="eastAsia" w:ascii="宋体" w:hAnsi="宋体"/>
          <w:color w:val="auto"/>
          <w:szCs w:val="21"/>
          <w:highlight w:val="none"/>
        </w:rPr>
        <w:t>，报价保留小数点后两位。投标总价大小写不一致，以大写为准。投标总价必须准确唯一且应包含采购文件要求的所有费用。</w:t>
      </w:r>
    </w:p>
    <w:p>
      <w:pPr>
        <w:ind w:firstLine="420" w:firstLineChars="200"/>
        <w:rPr>
          <w:rFonts w:ascii="宋体" w:hAnsi="宋体"/>
          <w:color w:val="auto"/>
          <w:szCs w:val="21"/>
          <w:highlight w:val="none"/>
        </w:rPr>
      </w:pPr>
      <w:r>
        <w:rPr>
          <w:rFonts w:hint="eastAsia" w:ascii="宋体" w:hAnsi="宋体"/>
          <w:color w:val="auto"/>
          <w:szCs w:val="21"/>
          <w:highlight w:val="none"/>
        </w:rPr>
        <w:t>2、温馨提示：未按采购文件要求报价、填写开标一览表是导致投标人废标的常见问题，请投标人仔细填写，认真核对。</w:t>
      </w:r>
    </w:p>
    <w:p>
      <w:pPr>
        <w:rPr>
          <w:rFonts w:ascii="宋体" w:hAnsi="宋体"/>
          <w:color w:val="auto"/>
          <w:szCs w:val="21"/>
          <w:highlight w:val="none"/>
        </w:rPr>
      </w:pPr>
      <w:r>
        <w:rPr>
          <w:rFonts w:hint="eastAsia" w:ascii="宋体" w:hAnsi="宋体"/>
          <w:color w:val="auto"/>
          <w:szCs w:val="21"/>
          <w:highlight w:val="none"/>
        </w:rPr>
        <w:br w:type="page"/>
      </w:r>
    </w:p>
    <w:p>
      <w:pPr>
        <w:rPr>
          <w:rFonts w:ascii="宋体" w:hAnsi="宋体"/>
          <w:color w:val="auto"/>
          <w:szCs w:val="21"/>
          <w:highlight w:val="none"/>
        </w:rPr>
      </w:pPr>
      <w:bookmarkStart w:id="144" w:name="_Toc12412"/>
      <w:r>
        <w:rPr>
          <w:rFonts w:hint="eastAsia" w:ascii="宋体" w:hAnsi="宋体"/>
          <w:color w:val="auto"/>
          <w:szCs w:val="21"/>
          <w:highlight w:val="none"/>
        </w:rPr>
        <w:br w:type="page"/>
      </w:r>
    </w:p>
    <w:bookmarkEnd w:id="144"/>
    <w:p>
      <w:pPr>
        <w:rPr>
          <w:color w:val="auto"/>
          <w:sz w:val="52"/>
          <w:szCs w:val="52"/>
          <w:highlight w:val="none"/>
        </w:rPr>
      </w:pPr>
    </w:p>
    <w:p>
      <w:pPr>
        <w:pStyle w:val="6"/>
        <w:spacing w:before="0" w:after="0" w:line="360" w:lineRule="auto"/>
        <w:jc w:val="center"/>
        <w:rPr>
          <w:color w:val="auto"/>
          <w:sz w:val="72"/>
          <w:szCs w:val="72"/>
          <w:highlight w:val="none"/>
        </w:rPr>
      </w:pPr>
      <w:bookmarkStart w:id="145" w:name="_Toc7358"/>
      <w:r>
        <w:rPr>
          <w:rFonts w:hint="eastAsia"/>
          <w:color w:val="auto"/>
          <w:sz w:val="72"/>
          <w:szCs w:val="72"/>
          <w:highlight w:val="none"/>
        </w:rPr>
        <w:t>商务文件</w:t>
      </w:r>
      <w:bookmarkEnd w:id="145"/>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rPr>
          <w:color w:val="auto"/>
          <w:highlight w:val="none"/>
        </w:rPr>
      </w:pPr>
    </w:p>
    <w:p>
      <w:pPr>
        <w:pStyle w:val="2"/>
        <w:rPr>
          <w:color w:val="auto"/>
          <w:highlight w:val="none"/>
        </w:rPr>
      </w:pPr>
    </w:p>
    <w:p>
      <w:pPr>
        <w:pStyle w:val="3"/>
        <w:ind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4"/>
        </w:rPr>
        <w:t>项目名</w:t>
      </w:r>
      <w:r>
        <w:rPr>
          <w:rFonts w:hint="eastAsia" w:ascii="宋体" w:hAnsi="宋体" w:cs="宋体"/>
          <w:b/>
          <w:bCs/>
          <w:color w:val="auto"/>
          <w:spacing w:val="1"/>
          <w:kern w:val="0"/>
          <w:sz w:val="32"/>
          <w:szCs w:val="32"/>
          <w:highlight w:val="none"/>
          <w:fitText w:val="1600" w:id="4"/>
        </w:rPr>
        <w:t>称</w:t>
      </w:r>
      <w:r>
        <w:rPr>
          <w:rFonts w:hint="eastAsia" w:ascii="宋体" w:hAnsi="宋体" w:cs="宋体"/>
          <w:b/>
          <w:bCs/>
          <w:color w:val="auto"/>
          <w:spacing w:val="-6"/>
          <w:sz w:val="32"/>
          <w:szCs w:val="32"/>
          <w:highlight w:val="none"/>
        </w:rPr>
        <w:t>：</w:t>
      </w:r>
    </w:p>
    <w:p>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5"/>
        </w:rPr>
        <w:t>项目编</w:t>
      </w:r>
      <w:r>
        <w:rPr>
          <w:rFonts w:hint="eastAsia" w:ascii="宋体" w:hAnsi="宋体" w:cs="宋体"/>
          <w:b/>
          <w:bCs/>
          <w:color w:val="auto"/>
          <w:spacing w:val="1"/>
          <w:kern w:val="0"/>
          <w:sz w:val="32"/>
          <w:szCs w:val="32"/>
          <w:highlight w:val="none"/>
          <w:fitText w:val="1600" w:id="5"/>
        </w:rPr>
        <w:t>号</w:t>
      </w:r>
      <w:r>
        <w:rPr>
          <w:rFonts w:hint="eastAsia" w:ascii="宋体" w:hAnsi="宋体" w:cs="宋体"/>
          <w:b/>
          <w:bCs/>
          <w:color w:val="auto"/>
          <w:sz w:val="32"/>
          <w:szCs w:val="32"/>
          <w:highlight w:val="none"/>
        </w:rPr>
        <w:t>：</w:t>
      </w:r>
    </w:p>
    <w:p>
      <w:pPr>
        <w:pStyle w:val="2"/>
        <w:ind w:left="0"/>
        <w:rPr>
          <w:b/>
          <w:color w:val="auto"/>
          <w:spacing w:val="1280"/>
          <w:sz w:val="32"/>
          <w:szCs w:val="32"/>
          <w:highlight w:val="none"/>
        </w:rPr>
      </w:pPr>
      <w:r>
        <w:rPr>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6"/>
        </w:rPr>
        <w:t>投标人名称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7"/>
        </w:rPr>
        <w:t xml:space="preserve">日    </w:t>
      </w:r>
      <w:r>
        <w:rPr>
          <w:rFonts w:hint="eastAsia" w:ascii="宋体" w:hAnsi="宋体" w:cs="宋体"/>
          <w:b/>
          <w:color w:val="auto"/>
          <w:spacing w:val="0"/>
          <w:kern w:val="0"/>
          <w:sz w:val="32"/>
          <w:szCs w:val="32"/>
          <w:highlight w:val="none"/>
          <w:fitText w:val="1600" w:id="7"/>
        </w:rPr>
        <w:t>期</w:t>
      </w:r>
      <w:r>
        <w:rPr>
          <w:rFonts w:hint="eastAsia" w:ascii="宋体" w:hAnsi="宋体" w:cs="宋体"/>
          <w:b/>
          <w:color w:val="auto"/>
          <w:sz w:val="32"/>
          <w:szCs w:val="32"/>
          <w:highlight w:val="none"/>
        </w:rPr>
        <w:t>：</w:t>
      </w:r>
    </w:p>
    <w:p>
      <w:pPr>
        <w:pStyle w:val="2"/>
        <w:rPr>
          <w:b/>
          <w:color w:val="auto"/>
          <w:sz w:val="32"/>
          <w:szCs w:val="32"/>
          <w:highlight w:val="none"/>
        </w:rPr>
      </w:pPr>
    </w:p>
    <w:p>
      <w:pPr>
        <w:pStyle w:val="3"/>
        <w:ind w:firstLine="321"/>
        <w:rPr>
          <w:b/>
          <w:color w:val="auto"/>
          <w:sz w:val="32"/>
          <w:szCs w:val="32"/>
          <w:highlight w:val="none"/>
        </w:rPr>
      </w:pPr>
    </w:p>
    <w:p>
      <w:pPr>
        <w:pStyle w:val="4"/>
        <w:rPr>
          <w:rFonts w:ascii="宋体" w:hAnsi="宋体" w:cs="宋体"/>
          <w:b/>
          <w:color w:val="auto"/>
          <w:sz w:val="32"/>
          <w:szCs w:val="32"/>
          <w:highlight w:val="none"/>
        </w:rPr>
      </w:pPr>
    </w:p>
    <w:p>
      <w:pPr>
        <w:rPr>
          <w:rFonts w:ascii="宋体" w:hAnsi="宋体" w:cs="宋体"/>
          <w:b/>
          <w:color w:val="auto"/>
          <w:sz w:val="32"/>
          <w:szCs w:val="32"/>
          <w:highlight w:val="none"/>
        </w:rPr>
      </w:pPr>
    </w:p>
    <w:p>
      <w:pPr>
        <w:pStyle w:val="2"/>
        <w:rPr>
          <w:b/>
          <w:color w:val="auto"/>
          <w:sz w:val="32"/>
          <w:szCs w:val="32"/>
          <w:highlight w:val="none"/>
        </w:rPr>
      </w:pPr>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pStyle w:val="8"/>
        <w:widowControl w:val="0"/>
        <w:overflowPunct w:val="0"/>
        <w:spacing w:line="240" w:lineRule="auto"/>
        <w:rPr>
          <w:color w:val="auto"/>
          <w:highlight w:val="none"/>
        </w:rPr>
      </w:pPr>
      <w:bookmarkStart w:id="146" w:name="_Toc1173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.投标书格式</w:t>
      </w:r>
      <w:bookmarkEnd w:id="146"/>
    </w:p>
    <w:p>
      <w:pPr>
        <w:jc w:val="center"/>
        <w:rPr>
          <w:rFonts w:ascii="宋体" w:hAnsi="宋体"/>
          <w:color w:val="auto"/>
          <w:szCs w:val="21"/>
          <w:highlight w:val="none"/>
        </w:rPr>
      </w:pPr>
      <w:r>
        <w:rPr>
          <w:rFonts w:hint="eastAsia" w:ascii="黑体" w:eastAsia="黑体"/>
          <w:color w:val="auto"/>
          <w:sz w:val="32"/>
          <w:szCs w:val="32"/>
          <w:highlight w:val="none"/>
        </w:rPr>
        <w:t>投标书</w:t>
      </w:r>
    </w:p>
    <w:p>
      <w:pPr>
        <w:rPr>
          <w:rFonts w:ascii="宋体" w:hAnsi="宋体"/>
          <w:color w:val="auto"/>
          <w:szCs w:val="21"/>
          <w:highlight w:val="none"/>
        </w:rPr>
      </w:pPr>
      <w:r>
        <w:rPr>
          <w:rFonts w:hint="eastAsia" w:ascii="宋体" w:hAnsi="宋体"/>
          <w:color w:val="auto"/>
          <w:szCs w:val="21"/>
          <w:highlight w:val="none"/>
        </w:rPr>
        <w:t>致：广东泰通伟业工程咨询有限公司：</w:t>
      </w:r>
    </w:p>
    <w:p>
      <w:pPr>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pPr>
        <w:widowControl w:val="0"/>
        <w:numPr>
          <w:ilvl w:val="0"/>
          <w:numId w:val="11"/>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pPr>
        <w:widowControl w:val="0"/>
        <w:numPr>
          <w:ilvl w:val="0"/>
          <w:numId w:val="11"/>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pPr>
        <w:widowControl w:val="0"/>
        <w:numPr>
          <w:ilvl w:val="0"/>
          <w:numId w:val="11"/>
        </w:numPr>
        <w:adjustRightInd/>
        <w:snapToGrid/>
        <w:jc w:val="both"/>
        <w:rPr>
          <w:rFonts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pPr>
        <w:widowControl w:val="0"/>
        <w:numPr>
          <w:ilvl w:val="0"/>
          <w:numId w:val="11"/>
        </w:numPr>
        <w:adjustRightInd/>
        <w:snapToGrid/>
        <w:jc w:val="both"/>
        <w:rPr>
          <w:rFonts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pPr>
        <w:widowControl w:val="0"/>
        <w:numPr>
          <w:ilvl w:val="0"/>
          <w:numId w:val="11"/>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pPr>
        <w:widowControl w:val="0"/>
        <w:numPr>
          <w:ilvl w:val="0"/>
          <w:numId w:val="11"/>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pPr>
        <w:widowControl w:val="0"/>
        <w:numPr>
          <w:ilvl w:val="0"/>
          <w:numId w:val="11"/>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pPr>
        <w:widowControl w:val="0"/>
        <w:numPr>
          <w:ilvl w:val="0"/>
          <w:numId w:val="11"/>
        </w:numPr>
        <w:adjustRightInd/>
        <w:snapToGrid/>
        <w:jc w:val="both"/>
        <w:rPr>
          <w:rFonts w:ascii="宋体" w:hAnsi="宋体"/>
          <w:color w:val="auto"/>
          <w:szCs w:val="21"/>
          <w:highlight w:val="none"/>
        </w:rPr>
      </w:pPr>
      <w:r>
        <w:rPr>
          <w:rFonts w:hint="eastAsia" w:ascii="宋体" w:hAnsi="宋体"/>
          <w:color w:val="auto"/>
          <w:szCs w:val="21"/>
          <w:highlight w:val="none"/>
        </w:rPr>
        <w:t>与本投标有关的一切正式信函请寄：</w:t>
      </w:r>
    </w:p>
    <w:p>
      <w:pPr>
        <w:rPr>
          <w:rFonts w:ascii="宋体" w:hAnsi="宋体"/>
          <w:color w:val="auto"/>
          <w:szCs w:val="21"/>
          <w:highlight w:val="none"/>
        </w:rPr>
      </w:pPr>
      <w:r>
        <w:rPr>
          <w:rFonts w:hint="eastAsia" w:ascii="宋体" w:hAnsi="宋体"/>
          <w:color w:val="auto"/>
          <w:szCs w:val="21"/>
          <w:highlight w:val="none"/>
        </w:rPr>
        <w:t>地址：　　　　　　　　　　　　　　　　　　　 电子邮箱：</w:t>
      </w:r>
    </w:p>
    <w:p>
      <w:pPr>
        <w:rPr>
          <w:rFonts w:ascii="宋体" w:hAnsi="宋体"/>
          <w:color w:val="auto"/>
          <w:szCs w:val="21"/>
          <w:highlight w:val="none"/>
        </w:rPr>
      </w:pPr>
      <w:r>
        <w:rPr>
          <w:rFonts w:hint="eastAsia" w:ascii="宋体" w:hAnsi="宋体"/>
          <w:color w:val="auto"/>
          <w:szCs w:val="21"/>
          <w:highlight w:val="none"/>
        </w:rPr>
        <w:t>电话/移动电话：　　　　　　　　　　　　　　　</w:t>
      </w:r>
    </w:p>
    <w:p>
      <w:pPr>
        <w:rPr>
          <w:rFonts w:ascii="宋体" w:hAnsi="宋体"/>
          <w:color w:val="auto"/>
          <w:szCs w:val="21"/>
          <w:highlight w:val="none"/>
        </w:rPr>
      </w:pPr>
      <w:r>
        <w:rPr>
          <w:rFonts w:hint="eastAsia" w:ascii="宋体" w:hAnsi="宋体"/>
          <w:color w:val="auto"/>
          <w:szCs w:val="21"/>
          <w:highlight w:val="none"/>
        </w:rPr>
        <w:t xml:space="preserve">投标人法定代表人（或其授权代表）签字： </w:t>
      </w:r>
    </w:p>
    <w:p>
      <w:pPr>
        <w:rPr>
          <w:rFonts w:ascii="宋体" w:hAnsi="宋体"/>
          <w:color w:val="auto"/>
          <w:szCs w:val="21"/>
          <w:highlight w:val="none"/>
        </w:rPr>
      </w:pPr>
      <w:r>
        <w:rPr>
          <w:rFonts w:hint="eastAsia" w:ascii="宋体" w:hAnsi="宋体"/>
          <w:color w:val="auto"/>
          <w:szCs w:val="21"/>
          <w:highlight w:val="none"/>
        </w:rPr>
        <w:t xml:space="preserve">投标人名称（全称）： </w:t>
      </w:r>
    </w:p>
    <w:p>
      <w:pPr>
        <w:rPr>
          <w:rFonts w:ascii="宋体" w:hAnsi="宋体"/>
          <w:color w:val="auto"/>
          <w:szCs w:val="21"/>
          <w:highlight w:val="none"/>
        </w:rPr>
      </w:pPr>
      <w:r>
        <w:rPr>
          <w:rFonts w:hint="eastAsia" w:ascii="宋体" w:hAnsi="宋体"/>
          <w:color w:val="auto"/>
          <w:szCs w:val="21"/>
          <w:highlight w:val="none"/>
        </w:rPr>
        <w:t xml:space="preserve">投标人盖章： </w:t>
      </w:r>
    </w:p>
    <w:p>
      <w:pPr>
        <w:rPr>
          <w:color w:val="auto"/>
          <w:highlight w:val="none"/>
        </w:rPr>
      </w:pPr>
      <w:r>
        <w:rPr>
          <w:rFonts w:hint="eastAsia" w:ascii="宋体" w:hAnsi="宋体"/>
          <w:color w:val="auto"/>
          <w:szCs w:val="21"/>
          <w:highlight w:val="none"/>
        </w:rPr>
        <w:t>日期：</w:t>
      </w:r>
      <w:r>
        <w:rPr>
          <w:color w:val="auto"/>
          <w:highlight w:val="none"/>
        </w:rPr>
        <w:br w:type="page"/>
      </w:r>
    </w:p>
    <w:p>
      <w:pPr>
        <w:pStyle w:val="8"/>
        <w:widowControl w:val="0"/>
        <w:overflowPunct w:val="0"/>
        <w:spacing w:line="240" w:lineRule="auto"/>
        <w:rPr>
          <w:rFonts w:ascii="宋体" w:hAnsi="宋体"/>
          <w:color w:val="auto"/>
          <w:sz w:val="21"/>
          <w:szCs w:val="21"/>
          <w:highlight w:val="none"/>
        </w:rPr>
      </w:pPr>
      <w:bookmarkStart w:id="147" w:name="_Toc1997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法定代表人证明书格式</w:t>
      </w:r>
      <w:bookmarkEnd w:id="147"/>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pPr>
        <w:pStyle w:val="44"/>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致：广东泰通伟业工程咨询有限公司</w:t>
      </w:r>
    </w:p>
    <w:p>
      <w:pPr>
        <w:pStyle w:val="44"/>
        <w:spacing w:line="420" w:lineRule="atLeast"/>
        <w:ind w:firstLine="433"/>
        <w:rPr>
          <w:rFonts w:ascii="宋体" w:eastAsia="宋体"/>
          <w:color w:val="auto"/>
          <w:sz w:val="21"/>
          <w:szCs w:val="21"/>
          <w:highlight w:val="none"/>
        </w:rPr>
      </w:pPr>
    </w:p>
    <w:p>
      <w:pPr>
        <w:pStyle w:val="44"/>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pPr>
        <w:pStyle w:val="44"/>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pPr>
        <w:pStyle w:val="44"/>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pPr>
        <w:pStyle w:val="44"/>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44"/>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44"/>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44"/>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系（投标人名称）的法定代表人。</w:t>
      </w:r>
    </w:p>
    <w:p>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pPr>
        <w:pStyle w:val="44"/>
        <w:spacing w:line="500" w:lineRule="atLeast"/>
        <w:ind w:firstLine="3517" w:firstLineChars="1675"/>
        <w:rPr>
          <w:rFonts w:ascii="宋体" w:eastAsia="宋体"/>
          <w:color w:val="auto"/>
          <w:sz w:val="21"/>
          <w:szCs w:val="21"/>
          <w:highlight w:val="none"/>
        </w:rPr>
      </w:pPr>
    </w:p>
    <w:p>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pPr>
        <w:pStyle w:val="44"/>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44"/>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29"/>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44"/>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pPr>
              <w:pStyle w:val="44"/>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rPr>
          <w:color w:val="auto"/>
          <w:highlight w:val="none"/>
        </w:rPr>
      </w:pPr>
    </w:p>
    <w:p>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pPr>
        <w:pStyle w:val="8"/>
        <w:widowControl w:val="0"/>
        <w:overflowPunct w:val="0"/>
        <w:spacing w:line="240" w:lineRule="auto"/>
        <w:rPr>
          <w:color w:val="auto"/>
          <w:highlight w:val="none"/>
        </w:rPr>
      </w:pPr>
      <w:bookmarkStart w:id="148" w:name="_Toc1914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.法定代表人授权书格式</w:t>
      </w:r>
      <w:bookmarkEnd w:id="148"/>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pPr>
        <w:pStyle w:val="44"/>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致：广东泰通伟业工程咨询有限公司</w:t>
      </w:r>
    </w:p>
    <w:p>
      <w:pPr>
        <w:pStyle w:val="44"/>
        <w:spacing w:line="420" w:lineRule="atLeast"/>
        <w:ind w:firstLine="433"/>
        <w:rPr>
          <w:rFonts w:ascii="宋体" w:eastAsia="宋体"/>
          <w:color w:val="auto"/>
          <w:sz w:val="21"/>
          <w:szCs w:val="21"/>
          <w:highlight w:val="none"/>
        </w:rPr>
      </w:pPr>
    </w:p>
    <w:p>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w:t>
      </w:r>
    </w:p>
    <w:p>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pPr>
        <w:pStyle w:val="44"/>
        <w:spacing w:line="500" w:lineRule="atLeast"/>
        <w:ind w:firstLine="3517" w:firstLineChars="1675"/>
        <w:rPr>
          <w:rFonts w:ascii="宋体" w:eastAsia="宋体"/>
          <w:color w:val="auto"/>
          <w:sz w:val="21"/>
          <w:szCs w:val="21"/>
          <w:highlight w:val="none"/>
        </w:rPr>
      </w:pPr>
    </w:p>
    <w:p>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4"/>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pPr>
        <w:pStyle w:val="44"/>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pPr>
        <w:pStyle w:val="44"/>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pStyle w:val="44"/>
        <w:spacing w:line="460" w:lineRule="exact"/>
        <w:ind w:firstLine="433"/>
        <w:rPr>
          <w:rFonts w:ascii="宋体" w:eastAsia="宋体"/>
          <w:color w:val="auto"/>
          <w:sz w:val="21"/>
          <w:szCs w:val="21"/>
          <w:highlight w:val="none"/>
        </w:rPr>
      </w:pPr>
    </w:p>
    <w:p>
      <w:pPr>
        <w:ind w:firstLine="420" w:firstLineChars="200"/>
        <w:rPr>
          <w:color w:val="auto"/>
          <w:highlight w:val="none"/>
        </w:rPr>
      </w:pPr>
      <w:r>
        <w:rPr>
          <w:rFonts w:hint="eastAsia" w:ascii="宋体" w:hAnsi="宋体"/>
          <w:color w:val="auto"/>
          <w:szCs w:val="21"/>
          <w:highlight w:val="none"/>
        </w:rPr>
        <w:t>须附：被授权人身份证复印件。</w:t>
      </w:r>
    </w:p>
    <w:tbl>
      <w:tblPr>
        <w:tblStyle w:val="29"/>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44"/>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pPr>
              <w:pStyle w:val="44"/>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adjustRightInd/>
        <w:snapToGrid/>
        <w:spacing w:line="276" w:lineRule="auto"/>
        <w:rPr>
          <w:color w:val="auto"/>
          <w:highlight w:val="none"/>
        </w:rPr>
      </w:pPr>
      <w:bookmarkStart w:id="149" w:name="_Toc22486"/>
      <w:r>
        <w:rPr>
          <w:rFonts w:hint="eastAsia" w:ascii="宋体" w:hAnsi="宋体"/>
          <w:color w:val="auto"/>
          <w:szCs w:val="21"/>
          <w:highlight w:val="none"/>
        </w:rPr>
        <w:br w:type="page"/>
      </w:r>
    </w:p>
    <w:p>
      <w:pPr>
        <w:pStyle w:val="8"/>
        <w:widowControl w:val="0"/>
        <w:overflowPunct w:val="0"/>
        <w:spacing w:line="240" w:lineRule="auto"/>
        <w:rPr>
          <w:rFonts w:ascii="宋体" w:hAnsi="宋体"/>
          <w:color w:val="auto"/>
          <w:sz w:val="21"/>
          <w:szCs w:val="21"/>
          <w:highlight w:val="none"/>
        </w:rPr>
      </w:pPr>
      <w:bookmarkStart w:id="150" w:name="_Toc3003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.资格申明</w:t>
      </w:r>
      <w:bookmarkEnd w:id="150"/>
    </w:p>
    <w:p>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pPr>
        <w:pStyle w:val="44"/>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u w:val="single"/>
        </w:rPr>
        <w:t xml:space="preserve">  xxx   </w:t>
      </w:r>
      <w:r>
        <w:rPr>
          <w:rFonts w:hint="eastAsia" w:ascii="宋体" w:eastAsia="宋体"/>
          <w:color w:val="auto"/>
          <w:sz w:val="21"/>
          <w:szCs w:val="21"/>
          <w:highlight w:val="none"/>
        </w:rPr>
        <w:t>公司：</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pP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pPr>
        <w:pStyle w:val="44"/>
        <w:spacing w:line="500" w:lineRule="atLeast"/>
        <w:ind w:firstLine="3517" w:firstLineChars="1675"/>
        <w:rPr>
          <w:rFonts w:ascii="宋体" w:eastAsia="宋体"/>
          <w:color w:val="auto"/>
          <w:sz w:val="21"/>
          <w:szCs w:val="21"/>
          <w:highlight w:val="none"/>
        </w:rPr>
      </w:pPr>
    </w:p>
    <w:p>
      <w:pPr>
        <w:pStyle w:val="44"/>
        <w:spacing w:line="500" w:lineRule="atLeast"/>
        <w:ind w:firstLine="3517" w:firstLineChars="1675"/>
        <w:rPr>
          <w:rFonts w:ascii="宋体" w:eastAsia="宋体"/>
          <w:color w:val="auto"/>
          <w:sz w:val="21"/>
          <w:szCs w:val="21"/>
          <w:highlight w:val="none"/>
        </w:rPr>
      </w:pPr>
    </w:p>
    <w:p>
      <w:pPr>
        <w:pStyle w:val="44"/>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4"/>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pPr>
        <w:pStyle w:val="44"/>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44"/>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pPr>
        <w:pStyle w:val="8"/>
        <w:widowControl w:val="0"/>
        <w:overflowPunct w:val="0"/>
        <w:spacing w:line="240" w:lineRule="auto"/>
        <w:rPr>
          <w:rFonts w:ascii="宋体" w:hAnsi="宋体"/>
          <w:color w:val="auto"/>
          <w:sz w:val="21"/>
          <w:szCs w:val="21"/>
          <w:highlight w:val="none"/>
        </w:rPr>
      </w:pPr>
      <w:bookmarkStart w:id="151" w:name="_Toc1030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.营业执照</w:t>
      </w:r>
      <w:bookmarkEnd w:id="151"/>
    </w:p>
    <w:p>
      <w:pPr>
        <w:jc w:val="center"/>
        <w:rPr>
          <w:rFonts w:ascii="黑体" w:eastAsia="黑体"/>
          <w:color w:val="auto"/>
          <w:sz w:val="28"/>
          <w:szCs w:val="28"/>
          <w:highlight w:val="none"/>
        </w:rPr>
      </w:pPr>
      <w:bookmarkStart w:id="152" w:name="_Toc1511"/>
      <w:bookmarkStart w:id="153" w:name="_Toc5919"/>
      <w:bookmarkStart w:id="154" w:name="_Toc17470"/>
      <w:bookmarkStart w:id="155" w:name="_Toc24210"/>
      <w:bookmarkStart w:id="156" w:name="_Toc4926"/>
      <w:r>
        <w:rPr>
          <w:rFonts w:hint="eastAsia" w:ascii="黑体" w:eastAsia="黑体"/>
          <w:color w:val="auto"/>
          <w:sz w:val="28"/>
          <w:szCs w:val="28"/>
          <w:highlight w:val="none"/>
        </w:rPr>
        <w:t>营业执照</w:t>
      </w:r>
      <w:bookmarkEnd w:id="152"/>
      <w:bookmarkEnd w:id="153"/>
      <w:bookmarkEnd w:id="154"/>
      <w:bookmarkEnd w:id="155"/>
      <w:bookmarkEnd w:id="156"/>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8"/>
        <w:widowControl w:val="0"/>
        <w:overflowPunct w:val="0"/>
        <w:spacing w:line="240" w:lineRule="auto"/>
        <w:rPr>
          <w:rFonts w:ascii="宋体" w:hAnsi="宋体"/>
          <w:color w:val="auto"/>
          <w:sz w:val="21"/>
          <w:szCs w:val="21"/>
          <w:highlight w:val="none"/>
        </w:rPr>
      </w:pPr>
      <w:bookmarkStart w:id="157" w:name="_Toc3081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.相关资质证明文件</w:t>
      </w:r>
      <w:bookmarkEnd w:id="157"/>
    </w:p>
    <w:p>
      <w:pPr>
        <w:rPr>
          <w:color w:val="auto"/>
          <w:highlight w:val="none"/>
        </w:rPr>
      </w:pPr>
    </w:p>
    <w:p>
      <w:pPr>
        <w:jc w:val="center"/>
        <w:rPr>
          <w:rFonts w:ascii="黑体" w:eastAsia="黑体"/>
          <w:color w:val="auto"/>
          <w:sz w:val="28"/>
          <w:szCs w:val="28"/>
          <w:highlight w:val="none"/>
        </w:rPr>
      </w:pPr>
      <w:bookmarkStart w:id="158" w:name="_Toc30307"/>
      <w:bookmarkStart w:id="159" w:name="_Toc16698"/>
      <w:bookmarkStart w:id="160" w:name="_Toc13458"/>
      <w:bookmarkStart w:id="161" w:name="_Toc9592"/>
      <w:bookmarkStart w:id="162" w:name="_Toc16233"/>
      <w:r>
        <w:rPr>
          <w:rFonts w:hint="eastAsia" w:ascii="黑体" w:eastAsia="黑体"/>
          <w:color w:val="auto"/>
          <w:sz w:val="28"/>
          <w:szCs w:val="28"/>
          <w:highlight w:val="none"/>
        </w:rPr>
        <w:t>相关资质证明文件</w:t>
      </w:r>
      <w:bookmarkEnd w:id="149"/>
      <w:bookmarkEnd w:id="158"/>
      <w:bookmarkEnd w:id="159"/>
      <w:bookmarkEnd w:id="160"/>
      <w:bookmarkEnd w:id="161"/>
      <w:bookmarkEnd w:id="162"/>
    </w:p>
    <w:p>
      <w:pPr>
        <w:numPr>
          <w:ilvl w:val="0"/>
          <w:numId w:val="12"/>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pPr>
        <w:numPr>
          <w:ilvl w:val="0"/>
          <w:numId w:val="12"/>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pPr>
        <w:pStyle w:val="8"/>
        <w:widowControl w:val="0"/>
        <w:overflowPunct w:val="0"/>
        <w:spacing w:line="240" w:lineRule="auto"/>
        <w:rPr>
          <w:rFonts w:ascii="楷体_GB2312" w:eastAsia="楷体_GB2312"/>
          <w:color w:val="auto"/>
          <w:highlight w:val="none"/>
        </w:rPr>
      </w:pPr>
      <w:bookmarkStart w:id="163" w:name="_Toc309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.在经营活动中没有重大违法记录的书面声明格式</w:t>
      </w:r>
      <w:bookmarkEnd w:id="163"/>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pPr>
        <w:ind w:firstLine="420" w:firstLineChars="200"/>
        <w:rPr>
          <w:rFonts w:ascii="宋体" w:hAnsi="宋体" w:cs="宋体"/>
          <w:color w:val="auto"/>
          <w:szCs w:val="21"/>
          <w:highlight w:val="none"/>
        </w:rPr>
      </w:pP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广东泰通伟业工程咨询有限公司：</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pPr>
        <w:ind w:firstLine="420" w:firstLineChars="200"/>
        <w:rPr>
          <w:rFonts w:ascii="宋体" w:hAnsi="宋体" w:cs="宋体"/>
          <w:color w:val="auto"/>
          <w:szCs w:val="21"/>
          <w:highlight w:val="none"/>
        </w:rPr>
      </w:pPr>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pPr>
        <w:rPr>
          <w:color w:val="auto"/>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color w:val="auto"/>
          <w:highlight w:val="none"/>
        </w:rPr>
      </w:pPr>
    </w:p>
    <w:p>
      <w:pPr>
        <w:pStyle w:val="8"/>
        <w:widowControl w:val="0"/>
        <w:overflowPunct w:val="0"/>
        <w:spacing w:line="240" w:lineRule="auto"/>
        <w:rPr>
          <w:rFonts w:ascii="楷体_GB2312" w:eastAsia="楷体_GB2312"/>
          <w:color w:val="auto"/>
          <w:highlight w:val="none"/>
        </w:rPr>
      </w:pPr>
      <w:bookmarkStart w:id="164" w:name="_Toc1861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.承诺书格式</w:t>
      </w:r>
      <w:bookmarkEnd w:id="164"/>
    </w:p>
    <w:p>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pPr>
        <w:pStyle w:val="44"/>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致广东泰通伟业工程咨询有限公司：</w:t>
      </w:r>
    </w:p>
    <w:p>
      <w:pPr>
        <w:jc w:val="center"/>
        <w:rPr>
          <w:rFonts w:ascii="宋体" w:hAnsi="宋体" w:cs="宋体"/>
          <w:color w:val="auto"/>
          <w:szCs w:val="21"/>
          <w:highlight w:val="none"/>
        </w:rPr>
      </w:pPr>
    </w:p>
    <w:p>
      <w:pPr>
        <w:pStyle w:val="44"/>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pPr>
        <w:pStyle w:val="44"/>
        <w:spacing w:line="420" w:lineRule="exact"/>
        <w:ind w:firstLine="433"/>
        <w:rPr>
          <w:rFonts w:ascii="宋体" w:eastAsia="宋体" w:cs="宋体"/>
          <w:color w:val="auto"/>
          <w:sz w:val="21"/>
          <w:szCs w:val="21"/>
          <w:highlight w:val="none"/>
        </w:rPr>
      </w:pP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pPr>
        <w:rPr>
          <w:color w:val="auto"/>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color w:val="auto"/>
          <w:highlight w:val="none"/>
        </w:rPr>
      </w:pPr>
    </w:p>
    <w:p>
      <w:pPr>
        <w:pStyle w:val="8"/>
        <w:widowControl w:val="0"/>
        <w:overflowPunct w:val="0"/>
        <w:spacing w:line="240" w:lineRule="auto"/>
        <w:rPr>
          <w:rFonts w:ascii="宋体" w:hAnsi="宋体"/>
          <w:color w:val="auto"/>
          <w:sz w:val="21"/>
          <w:szCs w:val="21"/>
          <w:highlight w:val="none"/>
        </w:rPr>
      </w:pPr>
      <w:bookmarkStart w:id="165" w:name="_Toc2450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.商务需求条款偏离表格式</w:t>
      </w:r>
      <w:bookmarkEnd w:id="165"/>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29"/>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投标人代表签字：</w:t>
      </w:r>
    </w:p>
    <w:p>
      <w:pPr>
        <w:rPr>
          <w:rFonts w:ascii="宋体" w:hAnsi="宋体"/>
          <w:color w:val="auto"/>
          <w:szCs w:val="21"/>
          <w:highlight w:val="none"/>
        </w:rPr>
      </w:pPr>
      <w:r>
        <w:rPr>
          <w:rFonts w:hint="eastAsia" w:ascii="宋体" w:hAnsi="宋体"/>
          <w:color w:val="auto"/>
          <w:szCs w:val="21"/>
          <w:highlight w:val="none"/>
        </w:rPr>
        <w:t>投标人盖章：</w:t>
      </w:r>
    </w:p>
    <w:p>
      <w:pPr>
        <w:rPr>
          <w:rFonts w:ascii="宋体" w:hAnsi="宋体"/>
          <w:color w:val="auto"/>
          <w:szCs w:val="21"/>
          <w:highlight w:val="none"/>
        </w:rPr>
      </w:pPr>
    </w:p>
    <w:p>
      <w:pPr>
        <w:ind w:left="718" w:hanging="718" w:hangingChars="342"/>
        <w:rPr>
          <w:rFonts w:ascii="宋体" w:hAnsi="宋体"/>
          <w:color w:val="auto"/>
          <w:szCs w:val="21"/>
          <w:highlight w:val="none"/>
        </w:rPr>
      </w:pPr>
      <w:r>
        <w:rPr>
          <w:rFonts w:hint="eastAsia" w:ascii="宋体" w:hAnsi="宋体"/>
          <w:color w:val="auto"/>
          <w:szCs w:val="21"/>
          <w:highlight w:val="none"/>
        </w:rPr>
        <w:t>注：</w:t>
      </w:r>
    </w:p>
    <w:p>
      <w:pP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pPr>
        <w:rPr>
          <w:rFonts w:ascii="宋体" w:hAnsi="宋体"/>
          <w:color w:val="auto"/>
          <w:szCs w:val="21"/>
          <w:highlight w:val="none"/>
        </w:rPr>
      </w:pPr>
      <w:r>
        <w:rPr>
          <w:rFonts w:hint="eastAsia" w:ascii="宋体" w:hAnsi="宋体"/>
          <w:color w:val="auto"/>
          <w:szCs w:val="21"/>
          <w:highlight w:val="none"/>
        </w:rPr>
        <w:br w:type="page"/>
      </w:r>
    </w:p>
    <w:p>
      <w:pPr>
        <w:pStyle w:val="8"/>
        <w:widowControl w:val="0"/>
        <w:overflowPunct w:val="0"/>
        <w:spacing w:line="240" w:lineRule="auto"/>
        <w:rPr>
          <w:rFonts w:ascii="宋体" w:hAnsi="宋体"/>
          <w:color w:val="auto"/>
          <w:sz w:val="30"/>
          <w:szCs w:val="30"/>
          <w:highlight w:val="none"/>
        </w:rPr>
      </w:pPr>
      <w:bookmarkStart w:id="166" w:name="_Toc2234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.业绩表</w:t>
      </w:r>
      <w:bookmarkEnd w:id="166"/>
    </w:p>
    <w:p>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0"/>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项目合同签订时间</w:t>
            </w:r>
          </w:p>
        </w:tc>
        <w:tc>
          <w:tcPr>
            <w:tcW w:w="1697"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ascii="宋体" w:hAnsi="宋体"/>
                <w:color w:val="auto"/>
                <w:szCs w:val="21"/>
                <w:highlight w:val="none"/>
              </w:rPr>
            </w:pPr>
          </w:p>
        </w:tc>
        <w:tc>
          <w:tcPr>
            <w:tcW w:w="1705" w:type="dxa"/>
            <w:vAlign w:val="center"/>
          </w:tcPr>
          <w:p>
            <w:pPr>
              <w:adjustRightInd/>
              <w:snapToGrid/>
              <w:jc w:val="center"/>
              <w:rPr>
                <w:rFonts w:ascii="宋体" w:hAnsi="宋体"/>
                <w:color w:val="auto"/>
                <w:szCs w:val="21"/>
                <w:highlight w:val="none"/>
              </w:rPr>
            </w:pPr>
          </w:p>
        </w:tc>
        <w:tc>
          <w:tcPr>
            <w:tcW w:w="1706" w:type="dxa"/>
            <w:vAlign w:val="center"/>
          </w:tcPr>
          <w:p>
            <w:pPr>
              <w:adjustRightInd/>
              <w:snapToGrid/>
              <w:jc w:val="center"/>
              <w:rPr>
                <w:rFonts w:ascii="宋体" w:hAnsi="宋体"/>
                <w:color w:val="auto"/>
                <w:szCs w:val="21"/>
                <w:highlight w:val="none"/>
              </w:rPr>
            </w:pPr>
          </w:p>
        </w:tc>
        <w:tc>
          <w:tcPr>
            <w:tcW w:w="1705" w:type="dxa"/>
            <w:vAlign w:val="center"/>
          </w:tcPr>
          <w:p>
            <w:pPr>
              <w:adjustRightInd/>
              <w:snapToGrid/>
              <w:jc w:val="center"/>
              <w:rPr>
                <w:rFonts w:ascii="宋体" w:hAnsi="宋体"/>
                <w:color w:val="auto"/>
                <w:szCs w:val="21"/>
                <w:highlight w:val="none"/>
              </w:rPr>
            </w:pPr>
          </w:p>
        </w:tc>
        <w:tc>
          <w:tcPr>
            <w:tcW w:w="1697" w:type="dxa"/>
            <w:vAlign w:val="center"/>
          </w:tcPr>
          <w:p>
            <w:pPr>
              <w:adjustRightInd/>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bl>
    <w:p>
      <w:pPr>
        <w:pStyle w:val="41"/>
        <w:rPr>
          <w:rFonts w:ascii="宋体" w:hAnsi="宋体"/>
          <w:color w:val="auto"/>
          <w:szCs w:val="21"/>
          <w:highlight w:val="none"/>
        </w:rPr>
      </w:pPr>
    </w:p>
    <w:p>
      <w:pPr>
        <w:pStyle w:val="41"/>
        <w:rPr>
          <w:rFonts w:ascii="宋体" w:hAnsi="宋体"/>
          <w:color w:val="auto"/>
          <w:szCs w:val="21"/>
          <w:highlight w:val="none"/>
        </w:rPr>
      </w:pPr>
      <w:r>
        <w:rPr>
          <w:rFonts w:hint="eastAsia" w:ascii="宋体" w:hAnsi="宋体"/>
          <w:color w:val="auto"/>
          <w:szCs w:val="21"/>
          <w:highlight w:val="none"/>
        </w:rPr>
        <w:t>注：</w:t>
      </w:r>
    </w:p>
    <w:p>
      <w:pPr>
        <w:pStyle w:val="41"/>
        <w:numPr>
          <w:ilvl w:val="0"/>
          <w:numId w:val="13"/>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w:t>
      </w:r>
    </w:p>
    <w:p>
      <w:pPr>
        <w:pStyle w:val="41"/>
        <w:numPr>
          <w:ilvl w:val="0"/>
          <w:numId w:val="13"/>
        </w:numP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pPr>
        <w:rPr>
          <w:rFonts w:ascii="宋体" w:hAnsi="宋体"/>
          <w:color w:val="auto"/>
          <w:szCs w:val="21"/>
          <w:highlight w:val="none"/>
        </w:rPr>
      </w:pPr>
      <w:r>
        <w:rPr>
          <w:rFonts w:hint="eastAsia" w:ascii="宋体" w:hAnsi="宋体"/>
          <w:color w:val="auto"/>
          <w:szCs w:val="21"/>
          <w:highlight w:val="none"/>
        </w:rPr>
        <w:br w:type="page"/>
      </w:r>
    </w:p>
    <w:p>
      <w:pPr>
        <w:pStyle w:val="2"/>
        <w:rPr>
          <w:color w:val="auto"/>
          <w:szCs w:val="21"/>
          <w:highlight w:val="none"/>
        </w:rPr>
        <w:sectPr>
          <w:headerReference r:id="rId11" w:type="first"/>
          <w:footerReference r:id="rId13" w:type="first"/>
          <w:headerReference r:id="rId9" w:type="default"/>
          <w:footerReference r:id="rId12" w:type="default"/>
          <w:headerReference r:id="rId10" w:type="even"/>
          <w:pgSz w:w="11906" w:h="16838"/>
          <w:pgMar w:top="1440" w:right="1800" w:bottom="1440" w:left="1800" w:header="708" w:footer="708" w:gutter="0"/>
          <w:cols w:space="708" w:num="1"/>
          <w:titlePg/>
          <w:docGrid w:type="lines" w:linePitch="360" w:charSpace="0"/>
        </w:sectPr>
      </w:pPr>
    </w:p>
    <w:p>
      <w:pPr>
        <w:pStyle w:val="8"/>
        <w:widowControl w:val="0"/>
        <w:overflowPunct w:val="0"/>
        <w:spacing w:line="240" w:lineRule="auto"/>
        <w:rPr>
          <w:color w:val="auto"/>
          <w:highlight w:val="none"/>
        </w:rPr>
      </w:pPr>
      <w:bookmarkStart w:id="167" w:name="_Toc422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.联合体协议书</w:t>
      </w:r>
      <w:r>
        <w:rPr>
          <w:rFonts w:hint="eastAsia"/>
          <w:color w:val="auto"/>
          <w:highlight w:val="none"/>
        </w:rPr>
        <w:t>（如有）</w:t>
      </w:r>
      <w:bookmarkEnd w:id="167"/>
    </w:p>
    <w:p>
      <w:pPr>
        <w:rPr>
          <w:color w:val="auto"/>
          <w:highlight w:val="none"/>
        </w:rPr>
      </w:pPr>
    </w:p>
    <w:p>
      <w:pPr>
        <w:jc w:val="center"/>
        <w:rPr>
          <w:rFonts w:hAnsi="宋体" w:cs="宋体"/>
          <w:color w:val="auto"/>
          <w:highlight w:val="none"/>
        </w:rPr>
      </w:pPr>
      <w:r>
        <w:rPr>
          <w:rFonts w:hint="eastAsia" w:hAnsi="宋体" w:cs="宋体"/>
          <w:b/>
          <w:bCs/>
          <w:color w:val="auto"/>
          <w:highlight w:val="none"/>
        </w:rPr>
        <w:t>联合体共同投标协议书</w:t>
      </w:r>
    </w:p>
    <w:p>
      <w:pPr>
        <w:jc w:val="center"/>
        <w:rPr>
          <w:rFonts w:hAnsi="宋体" w:cs="宋体"/>
          <w:color w:val="auto"/>
          <w:highlight w:val="none"/>
        </w:rPr>
      </w:pPr>
    </w:p>
    <w:p>
      <w:pPr>
        <w:rPr>
          <w:rFonts w:hAnsi="宋体" w:cs="宋体"/>
          <w:color w:val="auto"/>
          <w:szCs w:val="21"/>
          <w:highlight w:val="none"/>
        </w:rPr>
      </w:pPr>
      <w:r>
        <w:rPr>
          <w:rFonts w:hint="eastAsia" w:hAnsi="宋体" w:cs="宋体"/>
          <w:color w:val="auto"/>
          <w:szCs w:val="21"/>
          <w:highlight w:val="none"/>
        </w:rPr>
        <w:t>立约方：（甲公司全称）</w:t>
      </w:r>
    </w:p>
    <w:p>
      <w:pPr>
        <w:rPr>
          <w:rFonts w:hAnsi="宋体" w:cs="宋体"/>
          <w:color w:val="auto"/>
          <w:szCs w:val="21"/>
          <w:highlight w:val="none"/>
        </w:rPr>
      </w:pPr>
      <w:r>
        <w:rPr>
          <w:rFonts w:hint="eastAsia" w:hAnsi="宋体" w:cs="宋体"/>
          <w:color w:val="auto"/>
          <w:szCs w:val="21"/>
          <w:highlight w:val="none"/>
        </w:rPr>
        <w:t>（乙公司全称）</w:t>
      </w:r>
    </w:p>
    <w:p>
      <w:pPr>
        <w:rPr>
          <w:rFonts w:hAnsi="宋体" w:cs="宋体"/>
          <w:color w:val="auto"/>
          <w:szCs w:val="21"/>
          <w:highlight w:val="none"/>
        </w:rPr>
      </w:pPr>
      <w:r>
        <w:rPr>
          <w:rFonts w:hint="eastAsia" w:hAnsi="宋体" w:cs="宋体"/>
          <w:color w:val="auto"/>
          <w:szCs w:val="21"/>
          <w:highlight w:val="none"/>
        </w:rPr>
        <w:t>（……公司全称）</w:t>
      </w:r>
    </w:p>
    <w:p>
      <w:pPr>
        <w:rPr>
          <w:rFonts w:hAnsi="宋体" w:cs="宋体"/>
          <w:color w:val="auto"/>
          <w:szCs w:val="21"/>
          <w:highlight w:val="none"/>
        </w:rPr>
      </w:pP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自愿组成联合体，以一个投标人的身份共同参加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的招标活动。经各方充分协商一致，就项目的投标和合同实施阶段的有关事务协商一致订立协议如下：</w:t>
      </w:r>
    </w:p>
    <w:p>
      <w:pPr>
        <w:rPr>
          <w:rFonts w:hAnsi="宋体" w:cs="宋体"/>
          <w:color w:val="auto"/>
          <w:szCs w:val="21"/>
          <w:highlight w:val="none"/>
        </w:rPr>
      </w:pPr>
      <w:r>
        <w:rPr>
          <w:rFonts w:hint="eastAsia" w:hAnsi="宋体" w:cs="宋体"/>
          <w:color w:val="auto"/>
          <w:szCs w:val="21"/>
          <w:highlight w:val="none"/>
        </w:rPr>
        <w:t>一、联合体各方关系</w:t>
      </w:r>
    </w:p>
    <w:p>
      <w:pPr>
        <w:rPr>
          <w:rFonts w:hAnsi="宋体" w:cs="宋体"/>
          <w:color w:val="auto"/>
          <w:szCs w:val="21"/>
          <w:highlight w:val="none"/>
        </w:rPr>
      </w:pPr>
      <w:r>
        <w:rPr>
          <w:rFonts w:hint="eastAsia" w:hAnsi="宋体" w:cs="宋体"/>
          <w:color w:val="auto"/>
          <w:szCs w:val="21"/>
          <w:highlight w:val="none"/>
          <w:u w:val="single"/>
        </w:rPr>
        <w:t>1.（甲公司全称）、（乙公司全称）、（……公司全称）</w:t>
      </w:r>
      <w:r>
        <w:rPr>
          <w:rFonts w:hint="eastAsia" w:hAnsi="宋体" w:cs="宋体"/>
          <w:color w:val="auto"/>
          <w:szCs w:val="21"/>
          <w:highlight w:val="none"/>
        </w:rPr>
        <w:t>共同组成一个联合体，以一个投标人的身份共同参加本项目的投标。</w:t>
      </w: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作为联合体成员，若中标，联合体各方共同与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pPr>
        <w:rPr>
          <w:rFonts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pPr>
        <w:rPr>
          <w:rFonts w:hAnsi="宋体" w:cs="宋体"/>
          <w:color w:val="auto"/>
          <w:szCs w:val="21"/>
          <w:highlight w:val="none"/>
        </w:rPr>
      </w:pPr>
      <w:r>
        <w:rPr>
          <w:rFonts w:hint="eastAsia" w:hAnsi="宋体" w:cs="宋体"/>
          <w:color w:val="auto"/>
          <w:szCs w:val="21"/>
          <w:highlight w:val="none"/>
        </w:rPr>
        <w:t>二、联合体内部有关事项约定如下：</w:t>
      </w:r>
    </w:p>
    <w:p>
      <w:pPr>
        <w:rPr>
          <w:rFonts w:hAnsi="宋体" w:cs="宋体"/>
          <w:color w:val="auto"/>
          <w:szCs w:val="21"/>
          <w:highlight w:val="none"/>
        </w:rPr>
      </w:pPr>
      <w:r>
        <w:rPr>
          <w:rFonts w:hint="eastAsia" w:hAnsi="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pPr>
        <w:rPr>
          <w:rFonts w:hAnsi="宋体" w:cs="宋体"/>
          <w:color w:val="auto"/>
          <w:szCs w:val="21"/>
          <w:highlight w:val="none"/>
        </w:rPr>
      </w:pPr>
      <w:r>
        <w:rPr>
          <w:rFonts w:hint="eastAsia"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pPr>
        <w:rPr>
          <w:rFonts w:hAnsi="宋体" w:cs="宋体"/>
          <w:color w:val="auto"/>
          <w:szCs w:val="21"/>
          <w:highlight w:val="none"/>
        </w:rPr>
      </w:pPr>
      <w:r>
        <w:rPr>
          <w:rFonts w:hint="eastAsia" w:hAnsi="宋体" w:cs="宋体"/>
          <w:color w:val="auto"/>
          <w:szCs w:val="21"/>
          <w:highlight w:val="none"/>
        </w:rPr>
        <w:t>3.如中标，联合体各方共同与（采购人）签订合同书，并就中标项目向采购人负有连带的和各自的法律责任；</w:t>
      </w:r>
    </w:p>
    <w:p>
      <w:pPr>
        <w:rPr>
          <w:rFonts w:hAnsi="宋体" w:cs="宋体"/>
          <w:color w:val="auto"/>
          <w:szCs w:val="21"/>
          <w:highlight w:val="none"/>
        </w:rPr>
      </w:pPr>
      <w:r>
        <w:rPr>
          <w:rFonts w:hint="eastAsia" w:hAnsi="宋体" w:cs="宋体"/>
          <w:color w:val="auto"/>
          <w:szCs w:val="21"/>
          <w:highlight w:val="none"/>
        </w:rPr>
        <w:t>4.联合体各成员单位内部的职责分工如下：</w:t>
      </w:r>
    </w:p>
    <w:p>
      <w:pPr>
        <w:rPr>
          <w:rFonts w:hAnsi="宋体" w:cs="宋体"/>
          <w:color w:val="auto"/>
          <w:szCs w:val="21"/>
          <w:highlight w:val="none"/>
        </w:rPr>
      </w:pPr>
      <w:r>
        <w:rPr>
          <w:rFonts w:hint="eastAsia" w:hAnsi="宋体" w:cs="宋体"/>
          <w:color w:val="auto"/>
          <w:szCs w:val="21"/>
          <w:highlight w:val="none"/>
        </w:rPr>
        <w:t>（1）</w:t>
      </w:r>
    </w:p>
    <w:p>
      <w:pPr>
        <w:rPr>
          <w:color w:val="auto"/>
          <w:highlight w:val="none"/>
        </w:rPr>
      </w:pPr>
      <w:r>
        <w:rPr>
          <w:rFonts w:hint="eastAsia" w:hAnsi="宋体" w:cs="宋体"/>
          <w:color w:val="auto"/>
          <w:szCs w:val="21"/>
          <w:highlight w:val="none"/>
        </w:rPr>
        <w:t>（2）</w:t>
      </w:r>
    </w:p>
    <w:p>
      <w:pPr>
        <w:rPr>
          <w:rFonts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rPr>
          <w:rFonts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pPr>
        <w:rPr>
          <w:rFonts w:hAnsi="宋体" w:cs="宋体"/>
          <w:color w:val="auto"/>
          <w:szCs w:val="21"/>
          <w:highlight w:val="none"/>
        </w:rPr>
      </w:pPr>
      <w:r>
        <w:rPr>
          <w:rFonts w:hint="eastAsia"/>
          <w:color w:val="auto"/>
          <w:szCs w:val="21"/>
          <w:highlight w:val="none"/>
        </w:rPr>
        <w:t>五、联合体中标后，本联合体协议是合同的附件，对联合体各成员单位有合同约束力。</w:t>
      </w:r>
    </w:p>
    <w:p>
      <w:pPr>
        <w:rPr>
          <w:rFonts w:hAnsi="宋体" w:cs="宋体"/>
          <w:color w:val="auto"/>
          <w:szCs w:val="21"/>
          <w:highlight w:val="none"/>
        </w:rPr>
      </w:pPr>
      <w:r>
        <w:rPr>
          <w:rFonts w:hint="eastAsia" w:hAnsi="宋体" w:cs="宋体"/>
          <w:color w:val="auto"/>
          <w:szCs w:val="21"/>
          <w:highlight w:val="none"/>
        </w:rPr>
        <w:t>六、本协议在自签署之日起生效，投标有效期内有效，如获中标资格，本协议有效期延续至合同履行完毕之日。</w:t>
      </w:r>
    </w:p>
    <w:p>
      <w:pPr>
        <w:rPr>
          <w:rFonts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pPr>
        <w:rPr>
          <w:rFonts w:hAnsi="宋体" w:cs="宋体"/>
          <w:color w:val="auto"/>
          <w:szCs w:val="21"/>
          <w:highlight w:val="none"/>
        </w:rPr>
      </w:pPr>
    </w:p>
    <w:p>
      <w:pPr>
        <w:pStyle w:val="2"/>
        <w:rPr>
          <w:color w:val="auto"/>
          <w:sz w:val="21"/>
          <w:szCs w:val="21"/>
          <w:highlight w:val="none"/>
        </w:rPr>
      </w:pPr>
      <w:r>
        <w:rPr>
          <w:rFonts w:hint="eastAsia"/>
          <w:color w:val="auto"/>
          <w:sz w:val="21"/>
          <w:szCs w:val="21"/>
          <w:highlight w:val="none"/>
        </w:rPr>
        <w:t>注：本协议书由委托人签字的，应附法定代表人签字的授权委托书。</w:t>
      </w:r>
    </w:p>
    <w:p>
      <w:pPr>
        <w:pStyle w:val="2"/>
        <w:rPr>
          <w:color w:val="auto"/>
          <w:sz w:val="21"/>
          <w:szCs w:val="21"/>
          <w:highlight w:val="none"/>
        </w:rPr>
      </w:pPr>
      <w:r>
        <w:rPr>
          <w:rFonts w:hint="eastAsia"/>
          <w:color w:val="auto"/>
          <w:sz w:val="21"/>
          <w:szCs w:val="21"/>
          <w:highlight w:val="none"/>
        </w:rPr>
        <w:t>牵头人名称：_______________________（盖单位公章）</w:t>
      </w:r>
    </w:p>
    <w:p>
      <w:pPr>
        <w:pStyle w:val="2"/>
        <w:rPr>
          <w:color w:val="auto"/>
          <w:sz w:val="21"/>
          <w:szCs w:val="21"/>
          <w:highlight w:val="none"/>
        </w:rPr>
      </w:pPr>
      <w:r>
        <w:rPr>
          <w:rFonts w:hint="eastAsia"/>
          <w:color w:val="auto"/>
          <w:sz w:val="21"/>
          <w:szCs w:val="21"/>
          <w:highlight w:val="none"/>
        </w:rPr>
        <w:t>法定代表人或其委托代理人：_____________（签字）</w:t>
      </w:r>
    </w:p>
    <w:p>
      <w:pPr>
        <w:pStyle w:val="2"/>
        <w:rPr>
          <w:color w:val="auto"/>
          <w:sz w:val="21"/>
          <w:szCs w:val="21"/>
          <w:highlight w:val="none"/>
        </w:rPr>
      </w:pPr>
    </w:p>
    <w:p>
      <w:pPr>
        <w:pStyle w:val="2"/>
        <w:rPr>
          <w:color w:val="auto"/>
          <w:sz w:val="21"/>
          <w:szCs w:val="21"/>
          <w:highlight w:val="none"/>
        </w:rPr>
      </w:pPr>
      <w:r>
        <w:rPr>
          <w:rFonts w:hint="eastAsia"/>
          <w:color w:val="auto"/>
          <w:sz w:val="21"/>
          <w:szCs w:val="21"/>
          <w:highlight w:val="none"/>
        </w:rPr>
        <w:t>成员一名称：_______________________（盖单位公章）</w:t>
      </w:r>
    </w:p>
    <w:p>
      <w:pPr>
        <w:pStyle w:val="2"/>
        <w:rPr>
          <w:color w:val="auto"/>
          <w:sz w:val="21"/>
          <w:szCs w:val="21"/>
          <w:highlight w:val="none"/>
        </w:rPr>
      </w:pPr>
      <w:r>
        <w:rPr>
          <w:rFonts w:hint="eastAsia"/>
          <w:color w:val="auto"/>
          <w:sz w:val="21"/>
          <w:szCs w:val="21"/>
          <w:highlight w:val="none"/>
        </w:rPr>
        <w:t>法定代表人或其委托代理人：_____________（签字）</w:t>
      </w:r>
    </w:p>
    <w:p>
      <w:pPr>
        <w:pStyle w:val="2"/>
        <w:rPr>
          <w:color w:val="auto"/>
          <w:sz w:val="21"/>
          <w:szCs w:val="21"/>
          <w:highlight w:val="none"/>
        </w:rPr>
      </w:pPr>
    </w:p>
    <w:p>
      <w:pPr>
        <w:pStyle w:val="2"/>
        <w:rPr>
          <w:color w:val="auto"/>
          <w:sz w:val="21"/>
          <w:szCs w:val="21"/>
          <w:highlight w:val="none"/>
        </w:rPr>
      </w:pPr>
      <w:r>
        <w:rPr>
          <w:rFonts w:hint="eastAsia"/>
          <w:color w:val="auto"/>
          <w:sz w:val="21"/>
          <w:szCs w:val="21"/>
          <w:highlight w:val="none"/>
        </w:rPr>
        <w:t>成员二名称：_______________________（盖单位公章）</w:t>
      </w:r>
    </w:p>
    <w:p>
      <w:pPr>
        <w:pStyle w:val="2"/>
        <w:rPr>
          <w:color w:val="auto"/>
          <w:sz w:val="21"/>
          <w:szCs w:val="21"/>
          <w:highlight w:val="none"/>
        </w:rPr>
      </w:pPr>
      <w:r>
        <w:rPr>
          <w:rFonts w:hint="eastAsia"/>
          <w:color w:val="auto"/>
          <w:sz w:val="21"/>
          <w:szCs w:val="21"/>
          <w:highlight w:val="none"/>
        </w:rPr>
        <w:t>法定代表人或其委托代理人：_____________（签字）</w:t>
      </w:r>
    </w:p>
    <w:p>
      <w:pPr>
        <w:pStyle w:val="2"/>
        <w:ind w:firstLine="210" w:firstLineChars="100"/>
        <w:jc w:val="both"/>
        <w:rPr>
          <w:color w:val="auto"/>
          <w:sz w:val="21"/>
          <w:szCs w:val="21"/>
          <w:highlight w:val="none"/>
        </w:rPr>
      </w:pPr>
      <w:r>
        <w:rPr>
          <w:rFonts w:hint="eastAsia"/>
          <w:color w:val="auto"/>
          <w:sz w:val="21"/>
          <w:szCs w:val="21"/>
          <w:highlight w:val="none"/>
        </w:rPr>
        <w:t>……</w:t>
      </w:r>
    </w:p>
    <w:p>
      <w:pPr>
        <w:pStyle w:val="2"/>
        <w:rPr>
          <w:color w:val="auto"/>
          <w:highlight w:val="none"/>
          <w:lang w:val="en-US"/>
        </w:rPr>
        <w:sectPr>
          <w:pgSz w:w="11906" w:h="16838"/>
          <w:pgMar w:top="1440" w:right="1800" w:bottom="1440" w:left="1800" w:header="708" w:footer="708" w:gutter="0"/>
          <w:cols w:space="708" w:num="1"/>
          <w:titlePg/>
          <w:docGrid w:type="lines" w:linePitch="360" w:charSpace="0"/>
        </w:sectPr>
      </w:pPr>
      <w:r>
        <w:rPr>
          <w:rFonts w:hint="eastAsia"/>
          <w:color w:val="auto"/>
          <w:sz w:val="21"/>
          <w:szCs w:val="21"/>
          <w:highlight w:val="none"/>
        </w:rPr>
        <w:t xml:space="preserve">        年     月     日</w:t>
      </w:r>
    </w:p>
    <w:p>
      <w:pPr>
        <w:pStyle w:val="2"/>
        <w:rPr>
          <w:color w:val="auto"/>
          <w:highlight w:val="none"/>
        </w:rPr>
      </w:pPr>
    </w:p>
    <w:p>
      <w:pPr>
        <w:pStyle w:val="6"/>
        <w:spacing w:before="0" w:after="0" w:line="360" w:lineRule="auto"/>
        <w:jc w:val="center"/>
        <w:rPr>
          <w:color w:val="auto"/>
          <w:sz w:val="72"/>
          <w:szCs w:val="72"/>
          <w:highlight w:val="none"/>
        </w:rPr>
      </w:pPr>
      <w:bookmarkStart w:id="168" w:name="_Toc17454"/>
      <w:r>
        <w:rPr>
          <w:rFonts w:hint="eastAsia"/>
          <w:color w:val="auto"/>
          <w:sz w:val="72"/>
          <w:szCs w:val="72"/>
          <w:highlight w:val="none"/>
        </w:rPr>
        <w:t>技术文件</w:t>
      </w:r>
      <w:bookmarkEnd w:id="168"/>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rPr>
          <w:color w:val="auto"/>
          <w:highlight w:val="none"/>
        </w:rPr>
      </w:pPr>
    </w:p>
    <w:p>
      <w:pPr>
        <w:pStyle w:val="2"/>
        <w:rPr>
          <w:color w:val="auto"/>
          <w:highlight w:val="none"/>
        </w:rPr>
      </w:pPr>
    </w:p>
    <w:p>
      <w:pPr>
        <w:pStyle w:val="3"/>
        <w:ind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8"/>
        </w:rPr>
        <w:t>项目名</w:t>
      </w:r>
      <w:r>
        <w:rPr>
          <w:rFonts w:hint="eastAsia" w:ascii="宋体" w:hAnsi="宋体" w:cs="宋体"/>
          <w:b/>
          <w:bCs/>
          <w:color w:val="auto"/>
          <w:spacing w:val="1"/>
          <w:kern w:val="0"/>
          <w:sz w:val="32"/>
          <w:szCs w:val="32"/>
          <w:highlight w:val="none"/>
          <w:fitText w:val="1600" w:id="8"/>
        </w:rPr>
        <w:t>称</w:t>
      </w:r>
      <w:r>
        <w:rPr>
          <w:rFonts w:hint="eastAsia" w:ascii="宋体" w:hAnsi="宋体" w:cs="宋体"/>
          <w:b/>
          <w:bCs/>
          <w:color w:val="auto"/>
          <w:spacing w:val="-6"/>
          <w:sz w:val="32"/>
          <w:szCs w:val="32"/>
          <w:highlight w:val="none"/>
        </w:rPr>
        <w:t>：</w:t>
      </w:r>
    </w:p>
    <w:p>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9"/>
        </w:rPr>
        <w:t>项目编</w:t>
      </w:r>
      <w:r>
        <w:rPr>
          <w:rFonts w:hint="eastAsia" w:ascii="宋体" w:hAnsi="宋体" w:cs="宋体"/>
          <w:b/>
          <w:bCs/>
          <w:color w:val="auto"/>
          <w:spacing w:val="1"/>
          <w:kern w:val="0"/>
          <w:sz w:val="32"/>
          <w:szCs w:val="32"/>
          <w:highlight w:val="none"/>
          <w:fitText w:val="1600" w:id="9"/>
        </w:rPr>
        <w:t>号</w:t>
      </w:r>
      <w:r>
        <w:rPr>
          <w:rFonts w:hint="eastAsia" w:ascii="宋体" w:hAnsi="宋体" w:cs="宋体"/>
          <w:b/>
          <w:bCs/>
          <w:color w:val="auto"/>
          <w:sz w:val="32"/>
          <w:szCs w:val="32"/>
          <w:highlight w:val="none"/>
        </w:rPr>
        <w:t>：</w:t>
      </w:r>
    </w:p>
    <w:p>
      <w:pPr>
        <w:pStyle w:val="2"/>
        <w:ind w:left="0"/>
        <w:rPr>
          <w:b/>
          <w:color w:val="auto"/>
          <w:spacing w:val="1280"/>
          <w:sz w:val="32"/>
          <w:szCs w:val="32"/>
          <w:highlight w:val="none"/>
        </w:rPr>
      </w:pPr>
      <w:r>
        <w:rPr>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0"/>
        </w:rPr>
        <w:t>投标人名称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11"/>
        </w:rPr>
        <w:t xml:space="preserve">日    </w:t>
      </w:r>
      <w:r>
        <w:rPr>
          <w:rFonts w:hint="eastAsia" w:ascii="宋体" w:hAnsi="宋体" w:cs="宋体"/>
          <w:b/>
          <w:color w:val="auto"/>
          <w:spacing w:val="0"/>
          <w:kern w:val="0"/>
          <w:sz w:val="32"/>
          <w:szCs w:val="32"/>
          <w:highlight w:val="none"/>
          <w:fitText w:val="1600" w:id="11"/>
        </w:rPr>
        <w:t>期</w:t>
      </w:r>
      <w:r>
        <w:rPr>
          <w:rFonts w:hint="eastAsia" w:ascii="宋体" w:hAnsi="宋体" w:cs="宋体"/>
          <w:b/>
          <w:color w:val="auto"/>
          <w:sz w:val="32"/>
          <w:szCs w:val="32"/>
          <w:highlight w:val="none"/>
        </w:rPr>
        <w:t>：</w:t>
      </w:r>
    </w:p>
    <w:p>
      <w:pPr>
        <w:rPr>
          <w:rFonts w:ascii="宋体" w:hAnsi="宋体"/>
          <w:color w:val="auto"/>
          <w:szCs w:val="21"/>
          <w:highlight w:val="none"/>
        </w:rPr>
      </w:pPr>
      <w:r>
        <w:rPr>
          <w:rFonts w:hint="eastAsia" w:ascii="宋体" w:hAnsi="宋体"/>
          <w:color w:val="auto"/>
          <w:szCs w:val="21"/>
          <w:highlight w:val="none"/>
        </w:rPr>
        <w:br w:type="page"/>
      </w:r>
    </w:p>
    <w:p>
      <w:pPr>
        <w:pStyle w:val="8"/>
        <w:widowControl w:val="0"/>
        <w:overflowPunct w:val="0"/>
        <w:spacing w:line="240" w:lineRule="auto"/>
        <w:rPr>
          <w:rFonts w:ascii="宋体" w:hAnsi="宋体"/>
          <w:color w:val="auto"/>
          <w:sz w:val="21"/>
          <w:szCs w:val="21"/>
          <w:highlight w:val="none"/>
        </w:rPr>
      </w:pPr>
      <w:bookmarkStart w:id="169" w:name="_Toc3704"/>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技术规格偏离表格式</w:t>
      </w:r>
      <w:bookmarkEnd w:id="169"/>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vAlign w:val="center"/>
          </w:tcPr>
          <w:p>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投标人代表签字：</w:t>
      </w:r>
    </w:p>
    <w:p>
      <w:pPr>
        <w:rPr>
          <w:rFonts w:ascii="宋体" w:hAnsi="宋体"/>
          <w:color w:val="auto"/>
          <w:szCs w:val="21"/>
          <w:highlight w:val="none"/>
        </w:rPr>
      </w:pPr>
      <w:r>
        <w:rPr>
          <w:rFonts w:hint="eastAsia" w:ascii="宋体" w:hAnsi="宋体"/>
          <w:color w:val="auto"/>
          <w:szCs w:val="21"/>
          <w:highlight w:val="none"/>
        </w:rPr>
        <w:t>投标人盖章：</w:t>
      </w:r>
    </w:p>
    <w:p>
      <w:pPr>
        <w:ind w:firstLine="178" w:firstLineChars="85"/>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p>
    <w:p>
      <w:pPr>
        <w:rPr>
          <w:rFonts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pPr>
        <w:adjustRightInd/>
        <w:snapToGrid/>
        <w:spacing w:line="276" w:lineRule="auto"/>
        <w:rPr>
          <w:color w:val="auto"/>
          <w:highlight w:val="none"/>
        </w:rPr>
      </w:pPr>
    </w:p>
    <w:p>
      <w:pPr>
        <w:adjustRightInd/>
        <w:snapToGrid/>
        <w:spacing w:line="276" w:lineRule="auto"/>
        <w:rPr>
          <w:color w:val="auto"/>
          <w:highlight w:val="none"/>
        </w:rPr>
      </w:pPr>
    </w:p>
    <w:p>
      <w:pPr>
        <w:rPr>
          <w:rFonts w:ascii="宋体" w:hAnsi="宋体"/>
          <w:color w:val="auto"/>
          <w:szCs w:val="21"/>
          <w:highlight w:val="none"/>
        </w:rPr>
      </w:pPr>
      <w:bookmarkStart w:id="170" w:name="_Toc17691"/>
      <w:r>
        <w:rPr>
          <w:rFonts w:hint="eastAsia" w:ascii="宋体" w:hAnsi="宋体"/>
          <w:color w:val="auto"/>
          <w:szCs w:val="21"/>
          <w:highlight w:val="none"/>
        </w:rPr>
        <w:br w:type="page"/>
      </w:r>
    </w:p>
    <w:bookmarkEnd w:id="170"/>
    <w:p>
      <w:pPr>
        <w:pStyle w:val="8"/>
        <w:widowControl w:val="0"/>
        <w:overflowPunct w:val="0"/>
        <w:spacing w:line="240" w:lineRule="auto"/>
        <w:rPr>
          <w:rFonts w:ascii="宋体" w:hAnsi="宋体"/>
          <w:color w:val="auto"/>
          <w:sz w:val="21"/>
          <w:szCs w:val="21"/>
          <w:highlight w:val="none"/>
        </w:rPr>
      </w:pPr>
      <w:bookmarkStart w:id="171" w:name="_Toc13819"/>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.项目实施方案格式</w:t>
      </w:r>
      <w:bookmarkEnd w:id="171"/>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pPr>
        <w:jc w:val="center"/>
        <w:rPr>
          <w:rFonts w:ascii="黑体" w:eastAsia="黑体"/>
          <w:color w:val="auto"/>
          <w:sz w:val="32"/>
          <w:szCs w:val="32"/>
          <w:highlight w:val="none"/>
        </w:rPr>
      </w:pP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1、为完成本项目投标人临时投入的设备</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2、为完成本项目投标人投入的人员以及具体工作安排</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pP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自行编写。</w:t>
      </w:r>
    </w:p>
    <w:p>
      <w:pPr>
        <w:ind w:left="718" w:leftChars="200" w:hanging="298" w:hangingChars="142"/>
        <w:rPr>
          <w:rFonts w:ascii="宋体" w:hAnsi="宋体"/>
          <w:color w:val="auto"/>
          <w:szCs w:val="21"/>
          <w:highlight w:val="none"/>
        </w:rPr>
      </w:pPr>
    </w:p>
    <w:p>
      <w:pPr>
        <w:ind w:left="718" w:leftChars="200" w:hanging="298" w:hangingChars="142"/>
        <w:rPr>
          <w:rFonts w:ascii="宋体" w:hAnsi="宋体"/>
          <w:color w:val="auto"/>
          <w:szCs w:val="21"/>
          <w:highlight w:val="none"/>
        </w:rPr>
      </w:pPr>
    </w:p>
    <w:p>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pPr>
        <w:pStyle w:val="8"/>
        <w:widowControl w:val="0"/>
        <w:overflowPunct w:val="0"/>
        <w:spacing w:line="240" w:lineRule="auto"/>
        <w:rPr>
          <w:rFonts w:ascii="宋体" w:hAnsi="宋体"/>
          <w:color w:val="auto"/>
          <w:sz w:val="21"/>
          <w:szCs w:val="21"/>
          <w:highlight w:val="none"/>
        </w:rPr>
      </w:pPr>
      <w:bookmarkStart w:id="172" w:name="_Toc2384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.实施本项目的有关人员资料表格式</w:t>
      </w:r>
      <w:bookmarkEnd w:id="172"/>
    </w:p>
    <w:p>
      <w:pPr>
        <w:jc w:val="center"/>
        <w:rPr>
          <w:rFonts w:ascii="宋体" w:hAnsi="宋体"/>
          <w:color w:val="auto"/>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2" w:type="dxa"/>
            <w:vAlign w:val="center"/>
          </w:tcPr>
          <w:p>
            <w:pPr>
              <w:jc w:val="center"/>
              <w:rPr>
                <w:rFonts w:ascii="宋体" w:hAnsi="宋体"/>
                <w:color w:val="auto"/>
                <w:szCs w:val="21"/>
                <w:highlight w:val="none"/>
              </w:rPr>
            </w:pPr>
            <w:r>
              <w:rPr>
                <w:rFonts w:hint="eastAsia" w:ascii="宋体" w:hAnsi="宋体"/>
                <w:color w:val="auto"/>
                <w:szCs w:val="21"/>
                <w:highlight w:val="none"/>
              </w:rPr>
              <w:t>姓名</w:t>
            </w:r>
          </w:p>
        </w:tc>
        <w:tc>
          <w:tcPr>
            <w:tcW w:w="1861" w:type="dxa"/>
            <w:vAlign w:val="center"/>
          </w:tcPr>
          <w:p>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vAlign w:val="center"/>
          </w:tcPr>
          <w:p>
            <w:pPr>
              <w:jc w:val="center"/>
              <w:rPr>
                <w:rFonts w:ascii="宋体" w:hAnsi="宋体"/>
                <w:color w:val="auto"/>
                <w:szCs w:val="21"/>
                <w:highlight w:val="none"/>
              </w:rPr>
            </w:pPr>
            <w:r>
              <w:rPr>
                <w:rFonts w:hint="eastAsia" w:ascii="宋体" w:hAnsi="宋体"/>
                <w:color w:val="auto"/>
                <w:szCs w:val="21"/>
                <w:highlight w:val="none"/>
              </w:rPr>
              <w:t>性别</w:t>
            </w:r>
          </w:p>
        </w:tc>
        <w:tc>
          <w:tcPr>
            <w:tcW w:w="702" w:type="dxa"/>
            <w:vAlign w:val="center"/>
          </w:tcPr>
          <w:p>
            <w:pPr>
              <w:jc w:val="center"/>
              <w:rPr>
                <w:rFonts w:ascii="宋体" w:hAnsi="宋体"/>
                <w:color w:val="auto"/>
                <w:szCs w:val="21"/>
                <w:highlight w:val="none"/>
              </w:rPr>
            </w:pPr>
            <w:r>
              <w:rPr>
                <w:rFonts w:hint="eastAsia" w:ascii="宋体" w:hAnsi="宋体"/>
                <w:color w:val="auto"/>
                <w:szCs w:val="21"/>
                <w:highlight w:val="none"/>
              </w:rPr>
              <w:t>年龄</w:t>
            </w:r>
          </w:p>
        </w:tc>
        <w:tc>
          <w:tcPr>
            <w:tcW w:w="1164" w:type="dxa"/>
            <w:vAlign w:val="center"/>
          </w:tcPr>
          <w:p>
            <w:pP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vAlign w:val="center"/>
          </w:tcPr>
          <w:p>
            <w:pPr>
              <w:jc w:val="center"/>
              <w:rPr>
                <w:rFonts w:ascii="宋体" w:hAnsi="宋体"/>
                <w:color w:val="auto"/>
                <w:szCs w:val="21"/>
                <w:highlight w:val="none"/>
              </w:rPr>
            </w:pPr>
            <w:r>
              <w:rPr>
                <w:rFonts w:hint="eastAsia" w:ascii="宋体" w:hAnsi="宋体"/>
                <w:color w:val="auto"/>
                <w:szCs w:val="21"/>
                <w:highlight w:val="none"/>
              </w:rPr>
              <w:t>专 业</w:t>
            </w:r>
          </w:p>
        </w:tc>
        <w:tc>
          <w:tcPr>
            <w:tcW w:w="1165" w:type="dxa"/>
            <w:vAlign w:val="center"/>
          </w:tcPr>
          <w:p>
            <w:pP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bl>
    <w:p>
      <w:pPr>
        <w:ind w:firstLine="178" w:firstLineChars="85"/>
        <w:rPr>
          <w:rFonts w:ascii="宋体" w:hAnsi="宋体"/>
          <w:color w:val="auto"/>
          <w:szCs w:val="21"/>
          <w:highlight w:val="none"/>
        </w:rPr>
      </w:pPr>
    </w:p>
    <w:p>
      <w:pP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pPr>
        <w:ind w:firstLine="178" w:firstLineChars="85"/>
        <w:rPr>
          <w:rFonts w:ascii="宋体" w:hAnsi="宋体"/>
          <w:color w:val="auto"/>
          <w:szCs w:val="21"/>
          <w:highlight w:val="none"/>
        </w:rPr>
      </w:pPr>
      <w:r>
        <w:rPr>
          <w:rFonts w:hint="eastAsia" w:ascii="宋体" w:hAnsi="宋体"/>
          <w:color w:val="auto"/>
          <w:szCs w:val="21"/>
          <w:highlight w:val="none"/>
        </w:rPr>
        <w:t>投标人代表签字：</w:t>
      </w:r>
    </w:p>
    <w:p>
      <w:pPr>
        <w:ind w:firstLine="178" w:firstLineChars="85"/>
        <w:rPr>
          <w:rFonts w:ascii="宋体" w:hAnsi="宋体"/>
          <w:color w:val="auto"/>
          <w:szCs w:val="21"/>
          <w:highlight w:val="none"/>
        </w:rPr>
      </w:pPr>
      <w:r>
        <w:rPr>
          <w:rFonts w:hint="eastAsia" w:ascii="宋体" w:hAnsi="宋体"/>
          <w:color w:val="auto"/>
          <w:szCs w:val="21"/>
          <w:highlight w:val="none"/>
        </w:rPr>
        <w:t>投标人盖章：</w:t>
      </w:r>
    </w:p>
    <w:p>
      <w:pPr>
        <w:rPr>
          <w:rFonts w:ascii="宋体" w:hAnsi="宋体"/>
          <w:color w:val="auto"/>
          <w:szCs w:val="21"/>
          <w:highlight w:val="none"/>
        </w:rPr>
      </w:pPr>
      <w:r>
        <w:rPr>
          <w:rFonts w:hint="eastAsia" w:ascii="宋体" w:hAnsi="宋体"/>
          <w:color w:val="auto"/>
          <w:szCs w:val="21"/>
          <w:highlight w:val="none"/>
        </w:rPr>
        <w:t>注：</w:t>
      </w:r>
    </w:p>
    <w:p>
      <w:pPr>
        <w:pStyle w:val="41"/>
        <w:numPr>
          <w:ilvl w:val="0"/>
          <w:numId w:val="14"/>
        </w:numPr>
        <w:ind w:firstLineChars="0"/>
        <w:rPr>
          <w:rFonts w:ascii="宋体" w:hAnsi="宋体"/>
          <w:color w:val="auto"/>
          <w:szCs w:val="21"/>
          <w:highlight w:val="none"/>
        </w:rPr>
      </w:pPr>
      <w:r>
        <w:rPr>
          <w:rFonts w:hint="eastAsia" w:ascii="宋体" w:hAnsi="宋体"/>
          <w:color w:val="auto"/>
          <w:szCs w:val="21"/>
          <w:highlight w:val="none"/>
        </w:rPr>
        <w:t>投标人可按项目的实际需要提供本表格。</w:t>
      </w:r>
    </w:p>
    <w:p>
      <w:pPr>
        <w:pStyle w:val="41"/>
        <w:numPr>
          <w:ilvl w:val="0"/>
          <w:numId w:val="14"/>
        </w:numPr>
        <w:ind w:firstLineChars="0"/>
        <w:rPr>
          <w:rFonts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pPr>
        <w:rPr>
          <w:rFonts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pPr>
        <w:pStyle w:val="41"/>
        <w:numPr>
          <w:ilvl w:val="0"/>
          <w:numId w:val="14"/>
        </w:numPr>
        <w:ind w:firstLineChars="0"/>
        <w:rPr>
          <w:rFonts w:ascii="宋体" w:hAnsi="宋体" w:cs="Times New Roman"/>
          <w:color w:val="auto"/>
          <w:szCs w:val="21"/>
          <w:highlight w:val="none"/>
        </w:rPr>
      </w:pPr>
      <w:r>
        <w:rPr>
          <w:rFonts w:hint="eastAsia" w:ascii="宋体" w:hAnsi="宋体"/>
          <w:color w:val="auto"/>
          <w:szCs w:val="21"/>
          <w:highlight w:val="none"/>
        </w:rPr>
        <w:br w:type="page"/>
      </w:r>
    </w:p>
    <w:p>
      <w:pPr>
        <w:pStyle w:val="8"/>
        <w:widowControl w:val="0"/>
        <w:overflowPunct w:val="0"/>
        <w:spacing w:line="240" w:lineRule="auto"/>
        <w:rPr>
          <w:color w:val="auto"/>
          <w:highlight w:val="none"/>
        </w:rPr>
      </w:pPr>
      <w:bookmarkStart w:id="173" w:name="_Toc1516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.投标保证金汇入情况说明格式</w:t>
      </w:r>
      <w:bookmarkEnd w:id="173"/>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pPr>
        <w:spacing w:line="480" w:lineRule="auto"/>
        <w:rPr>
          <w:rFonts w:ascii="宋体" w:hAnsi="宋体"/>
          <w:color w:val="auto"/>
          <w:szCs w:val="21"/>
          <w:highlight w:val="none"/>
        </w:rPr>
      </w:pPr>
      <w:r>
        <w:rPr>
          <w:rFonts w:hint="eastAsia" w:ascii="宋体" w:hAnsi="宋体"/>
          <w:color w:val="auto"/>
          <w:szCs w:val="21"/>
          <w:highlight w:val="none"/>
        </w:rPr>
        <w:t>致：广东泰通伟业工程咨询有限公司：</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项目（采购项目编号：）的采购文件要求，于年月日前以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本单位投标保证金的汇款情况：（详见附件－投标保证金进帐单）</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（必须是投标时使用的帐户名）   </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（必须是投标时使用的帐号）        </w:t>
      </w:r>
    </w:p>
    <w:p>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pPr>
        <w:spacing w:line="480" w:lineRule="auto"/>
        <w:rPr>
          <w:rFonts w:ascii="宋体" w:hAnsi="宋体"/>
          <w:color w:val="auto"/>
          <w:szCs w:val="21"/>
          <w:highlight w:val="none"/>
        </w:rPr>
      </w:pPr>
      <w:r>
        <w:rPr>
          <w:rFonts w:hint="eastAsia" w:ascii="宋体" w:hAnsi="宋体"/>
          <w:color w:val="auto"/>
          <w:szCs w:val="21"/>
          <w:highlight w:val="none"/>
        </w:rPr>
        <w:t>单位名称：</w:t>
      </w:r>
    </w:p>
    <w:p>
      <w:pPr>
        <w:spacing w:line="480" w:lineRule="auto"/>
        <w:rPr>
          <w:rFonts w:ascii="宋体" w:hAnsi="宋体"/>
          <w:color w:val="auto"/>
          <w:szCs w:val="21"/>
          <w:highlight w:val="none"/>
        </w:rPr>
      </w:pPr>
      <w:r>
        <w:rPr>
          <w:rFonts w:hint="eastAsia" w:ascii="宋体" w:hAnsi="宋体"/>
          <w:color w:val="auto"/>
          <w:szCs w:val="21"/>
          <w:highlight w:val="none"/>
        </w:rPr>
        <w:t>单位地址：</w:t>
      </w:r>
    </w:p>
    <w:p>
      <w:pPr>
        <w:spacing w:line="480" w:lineRule="auto"/>
        <w:rPr>
          <w:rFonts w:ascii="宋体" w:hAnsi="宋体"/>
          <w:color w:val="auto"/>
          <w:szCs w:val="21"/>
          <w:highlight w:val="none"/>
        </w:rPr>
      </w:pPr>
      <w:r>
        <w:rPr>
          <w:rFonts w:hint="eastAsia" w:ascii="宋体" w:hAnsi="宋体"/>
          <w:color w:val="auto"/>
          <w:szCs w:val="21"/>
          <w:highlight w:val="none"/>
        </w:rPr>
        <w:t>联系人：</w:t>
      </w:r>
    </w:p>
    <w:p>
      <w:pPr>
        <w:spacing w:line="480" w:lineRule="auto"/>
        <w:rPr>
          <w:rFonts w:ascii="宋体" w:hAnsi="宋体"/>
          <w:color w:val="auto"/>
          <w:szCs w:val="21"/>
          <w:highlight w:val="none"/>
        </w:rPr>
      </w:pPr>
      <w:r>
        <w:rPr>
          <w:rFonts w:hint="eastAsia" w:ascii="宋体" w:hAnsi="宋体"/>
          <w:color w:val="auto"/>
          <w:szCs w:val="21"/>
          <w:highlight w:val="none"/>
        </w:rPr>
        <w:t>单位电话： 联系人手机：</w:t>
      </w:r>
    </w:p>
    <w:p>
      <w:pPr>
        <w:rPr>
          <w:rFonts w:ascii="宋体" w:hAnsi="宋体"/>
          <w:color w:val="auto"/>
          <w:szCs w:val="21"/>
          <w:highlight w:val="none"/>
        </w:rPr>
      </w:pP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29"/>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8"/>
        <w:numPr>
          <w:ilvl w:val="255"/>
          <w:numId w:val="0"/>
        </w:numPr>
        <w:tabs>
          <w:tab w:val="left" w:pos="720"/>
          <w:tab w:val="left" w:pos="3840"/>
        </w:tabs>
        <w:ind w:left="283"/>
        <w:jc w:val="both"/>
        <w:rPr>
          <w:rFonts w:ascii="宋体" w:hAnsi="宋体"/>
          <w:color w:val="auto"/>
          <w:sz w:val="21"/>
          <w:szCs w:val="21"/>
          <w:highlight w:val="none"/>
        </w:rPr>
      </w:pPr>
      <w:bookmarkStart w:id="174" w:name="_Toc18296"/>
      <w:bookmarkStart w:id="175" w:name="_Toc2801"/>
      <w:bookmarkStart w:id="176" w:name="_Toc4866"/>
      <w:bookmarkStart w:id="177" w:name="_Toc29855"/>
      <w:bookmarkStart w:id="178" w:name="_Toc25861"/>
      <w:bookmarkStart w:id="179" w:name="_Toc2144"/>
      <w:bookmarkStart w:id="180" w:name="_Toc19947"/>
      <w:bookmarkStart w:id="181" w:name="_Toc17028"/>
      <w:bookmarkStart w:id="182" w:name="_Toc14605"/>
      <w:bookmarkStart w:id="183" w:name="_Toc28623"/>
      <w:bookmarkStart w:id="184" w:name="_Toc156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.不可撤销履约保函</w:t>
      </w:r>
      <w:bookmarkEnd w:id="174"/>
      <w:bookmarkEnd w:id="175"/>
      <w:bookmarkEnd w:id="176"/>
      <w:bookmarkEnd w:id="177"/>
      <w:bookmarkEnd w:id="178"/>
      <w:bookmarkEnd w:id="179"/>
      <w:bookmarkEnd w:id="180"/>
      <w:bookmarkEnd w:id="181"/>
      <w:bookmarkEnd w:id="182"/>
      <w:bookmarkEnd w:id="183"/>
      <w:bookmarkEnd w:id="184"/>
    </w:p>
    <w:p>
      <w:pPr>
        <w:jc w:val="center"/>
        <w:rPr>
          <w:rFonts w:ascii="宋体" w:hAnsi="宋体"/>
          <w:color w:val="auto"/>
          <w:highlight w:val="none"/>
        </w:rPr>
      </w:pPr>
      <w:r>
        <w:rPr>
          <w:rFonts w:hint="eastAsia" w:ascii="宋体" w:hAnsi="宋体"/>
          <w:color w:val="auto"/>
          <w:highlight w:val="none"/>
        </w:rPr>
        <w:t>银行编号：</w:t>
      </w:r>
    </w:p>
    <w:p>
      <w:pPr>
        <w:rPr>
          <w:rFonts w:ascii="宋体" w:hAnsi="宋体"/>
          <w:color w:val="auto"/>
          <w:highlight w:val="none"/>
        </w:rPr>
      </w:pPr>
      <w:r>
        <w:rPr>
          <w:rFonts w:ascii="宋体" w:hAnsi="宋体"/>
          <w:color w:val="auto"/>
          <w:highlight w:val="none"/>
        </w:rPr>
        <w:t>致：</w:t>
      </w:r>
      <w:r>
        <w:rPr>
          <w:rFonts w:hint="eastAsia" w:ascii="宋体" w:hAnsi="宋体"/>
          <w:color w:val="auto"/>
          <w:highlight w:val="none"/>
          <w:u w:val="single"/>
        </w:rPr>
        <w:t xml:space="preserve">                        </w:t>
      </w:r>
      <w:r>
        <w:rPr>
          <w:rFonts w:hint="eastAsia" w:ascii="宋体" w:hAnsi="宋体"/>
          <w:color w:val="auto"/>
          <w:highlight w:val="none"/>
        </w:rPr>
        <w:t>（</w:t>
      </w:r>
      <w:r>
        <w:rPr>
          <w:rFonts w:hint="eastAsia"/>
          <w:color w:val="auto"/>
          <w:highlight w:val="none"/>
        </w:rPr>
        <w:t>甲方</w:t>
      </w:r>
      <w:r>
        <w:rPr>
          <w:rFonts w:hint="eastAsia" w:ascii="宋体" w:hAnsi="宋体"/>
          <w:color w:val="auto"/>
          <w:highlight w:val="none"/>
        </w:rPr>
        <w:t>）</w:t>
      </w:r>
    </w:p>
    <w:p>
      <w:pPr>
        <w:ind w:firstLine="420" w:firstLineChars="200"/>
        <w:rPr>
          <w:rFonts w:ascii="宋体" w:hAnsi="宋体"/>
          <w:color w:val="auto"/>
          <w:highlight w:val="none"/>
        </w:rPr>
      </w:pPr>
      <w:r>
        <w:rPr>
          <w:rFonts w:hint="eastAsia" w:ascii="宋体" w:hAnsi="宋体"/>
          <w:color w:val="auto"/>
          <w:highlight w:val="none"/>
        </w:rPr>
        <w:t>鉴于</w:t>
      </w:r>
      <w:r>
        <w:rPr>
          <w:rFonts w:hint="eastAsia" w:ascii="宋体" w:hAnsi="宋体"/>
          <w:color w:val="auto"/>
          <w:highlight w:val="none"/>
          <w:u w:val="single"/>
        </w:rPr>
        <w:t xml:space="preserve">         （地址：          ，下称 “乙方” ）</w:t>
      </w:r>
      <w:r>
        <w:rPr>
          <w:rFonts w:hint="eastAsia" w:ascii="宋体" w:hAnsi="宋体"/>
          <w:color w:val="auto"/>
          <w:highlight w:val="none"/>
        </w:rPr>
        <w:t>已保证按</w:t>
      </w:r>
      <w:r>
        <w:rPr>
          <w:rFonts w:hint="eastAsia" w:ascii="宋体" w:hAnsi="宋体"/>
          <w:color w:val="auto"/>
          <w:highlight w:val="none"/>
          <w:u w:val="single"/>
        </w:rPr>
        <w:t xml:space="preserve">        承包合同书（合同编号：    ）</w:t>
      </w:r>
      <w:r>
        <w:rPr>
          <w:rFonts w:hint="eastAsia" w:ascii="宋体" w:hAnsi="宋体"/>
          <w:color w:val="auto"/>
          <w:highlight w:val="none"/>
        </w:rPr>
        <w:t>中规定的义务履行合同。</w:t>
      </w:r>
    </w:p>
    <w:p>
      <w:pPr>
        <w:ind w:firstLine="420" w:firstLineChars="200"/>
        <w:rPr>
          <w:rFonts w:ascii="宋体" w:hAnsi="宋体"/>
          <w:color w:val="auto"/>
          <w:highlight w:val="none"/>
        </w:rPr>
      </w:pPr>
      <w:r>
        <w:rPr>
          <w:rFonts w:hint="eastAsia" w:ascii="宋体" w:hAnsi="宋体"/>
          <w:color w:val="auto"/>
          <w:highlight w:val="none"/>
        </w:rPr>
        <w:t>根据上述合同约定，乙方应向</w:t>
      </w:r>
      <w:r>
        <w:rPr>
          <w:rFonts w:hint="eastAsia"/>
          <w:color w:val="auto"/>
          <w:highlight w:val="none"/>
        </w:rPr>
        <w:t>甲方</w:t>
      </w:r>
      <w:r>
        <w:rPr>
          <w:rFonts w:hint="eastAsia" w:ascii="宋体" w:hAnsi="宋体"/>
          <w:color w:val="auto"/>
          <w:highlight w:val="none"/>
        </w:rPr>
        <w:t>提供一份金额为合同总价的10%即</w:t>
      </w:r>
      <w:r>
        <w:rPr>
          <w:rFonts w:hint="eastAsia" w:ascii="宋体" w:hAnsi="宋体"/>
          <w:color w:val="auto"/>
          <w:highlight w:val="none"/>
          <w:u w:val="single"/>
        </w:rPr>
        <w:t>人民币      （RMB    元）</w:t>
      </w:r>
      <w:r>
        <w:rPr>
          <w:rFonts w:hint="eastAsia" w:ascii="宋体" w:hAnsi="宋体"/>
          <w:color w:val="auto"/>
          <w:highlight w:val="none"/>
        </w:rPr>
        <w:t>的</w:t>
      </w:r>
      <w:r>
        <w:rPr>
          <w:rFonts w:hint="eastAsia" w:ascii="宋体" w:hAnsi="宋体"/>
          <w:bCs/>
          <w:color w:val="auto"/>
          <w:highlight w:val="none"/>
        </w:rPr>
        <w:t>不可撤销</w:t>
      </w:r>
      <w:r>
        <w:rPr>
          <w:rFonts w:hint="eastAsia" w:ascii="宋体" w:hAnsi="宋体"/>
          <w:color w:val="auto"/>
          <w:highlight w:val="none"/>
        </w:rPr>
        <w:t>银行履约保函，作为乙方履行上述合同的担保。</w:t>
      </w:r>
    </w:p>
    <w:p>
      <w:pPr>
        <w:ind w:firstLine="420" w:firstLineChars="200"/>
        <w:rPr>
          <w:rFonts w:ascii="宋体" w:hAnsi="宋体"/>
          <w:color w:val="auto"/>
          <w:highlight w:val="none"/>
        </w:rPr>
      </w:pPr>
      <w:r>
        <w:rPr>
          <w:rFonts w:hint="eastAsia" w:ascii="宋体" w:hAnsi="宋体"/>
          <w:color w:val="auto"/>
          <w:highlight w:val="none"/>
        </w:rPr>
        <w:t>我方</w:t>
      </w:r>
      <w:r>
        <w:rPr>
          <w:rFonts w:hint="eastAsia" w:ascii="宋体" w:hAnsi="宋体"/>
          <w:color w:val="auto"/>
          <w:highlight w:val="none"/>
          <w:u w:val="single"/>
        </w:rPr>
        <w:t xml:space="preserve">            （银行名称）</w:t>
      </w:r>
      <w:r>
        <w:rPr>
          <w:rFonts w:hint="eastAsia" w:ascii="宋体" w:hAnsi="宋体"/>
          <w:color w:val="auto"/>
          <w:highlight w:val="none"/>
        </w:rPr>
        <w:t>，受乙方的委托，不仅作为连带责任保证人而且作为主要的责任人，无条件和不可撤销地同意在</w:t>
      </w:r>
      <w:r>
        <w:rPr>
          <w:rFonts w:hint="eastAsia"/>
          <w:color w:val="auto"/>
          <w:highlight w:val="none"/>
        </w:rPr>
        <w:t>甲方</w:t>
      </w:r>
      <w:r>
        <w:rPr>
          <w:rFonts w:hint="eastAsia" w:ascii="宋体" w:hAnsi="宋体"/>
          <w:color w:val="auto"/>
          <w:highlight w:val="none"/>
        </w:rPr>
        <w:t>提出因乙方没有履行上述合同规定，而要求扣划保证金的书面要求后，7个工作日内为</w:t>
      </w:r>
      <w:r>
        <w:rPr>
          <w:rFonts w:hint="eastAsia"/>
          <w:color w:val="auto"/>
          <w:highlight w:val="none"/>
        </w:rPr>
        <w:t>甲方</w:t>
      </w:r>
      <w:r>
        <w:rPr>
          <w:rFonts w:hint="eastAsia" w:ascii="宋体" w:hAnsi="宋体"/>
          <w:color w:val="auto"/>
          <w:highlight w:val="none"/>
        </w:rPr>
        <w:t>扣划金额不超过</w:t>
      </w:r>
      <w:r>
        <w:rPr>
          <w:rFonts w:hint="eastAsia" w:ascii="宋体" w:hAnsi="宋体"/>
          <w:color w:val="auto"/>
          <w:highlight w:val="none"/>
          <w:u w:val="single"/>
        </w:rPr>
        <w:t>人民币          （RMB       元）</w:t>
      </w:r>
      <w:r>
        <w:rPr>
          <w:rFonts w:hint="eastAsia" w:ascii="宋体" w:hAnsi="宋体"/>
          <w:color w:val="auto"/>
          <w:highlight w:val="none"/>
        </w:rPr>
        <w:t>的保证金。</w:t>
      </w:r>
    </w:p>
    <w:p>
      <w:pPr>
        <w:ind w:firstLine="420" w:firstLineChars="200"/>
        <w:rPr>
          <w:color w:val="auto"/>
          <w:highlight w:val="none"/>
        </w:rPr>
      </w:pPr>
      <w:r>
        <w:rPr>
          <w:rFonts w:hint="eastAsia" w:ascii="宋体" w:hAnsi="宋体"/>
          <w:color w:val="auto"/>
          <w:highlight w:val="none"/>
        </w:rPr>
        <w:t>我</w:t>
      </w:r>
      <w:r>
        <w:rPr>
          <w:rFonts w:hint="eastAsia"/>
          <w:color w:val="auto"/>
          <w:highlight w:val="none"/>
        </w:rPr>
        <w:t>方还同意，任何甲方与乙方之间可能对合同条款的修改、规范或其他合同文件的变动补充，都不能免除我方按本保函所承担的责任。因此，有关上述变动、补充和修改无须通知我方。</w:t>
      </w:r>
    </w:p>
    <w:p>
      <w:pPr>
        <w:ind w:firstLine="420" w:firstLineChars="200"/>
        <w:rPr>
          <w:color w:val="auto"/>
          <w:highlight w:val="none"/>
        </w:rPr>
      </w:pPr>
      <w:r>
        <w:rPr>
          <w:rFonts w:hint="eastAsia"/>
          <w:color w:val="auto"/>
          <w:highlight w:val="none"/>
        </w:rPr>
        <w:t>本保函从上述合同签订之日起至项目服务期结束验收合格并完成结算后，双方签字之日起7天内保持有效。</w:t>
      </w:r>
    </w:p>
    <w:p>
      <w:pPr>
        <w:ind w:firstLine="2824" w:firstLineChars="1345"/>
        <w:rPr>
          <w:rFonts w:ascii="宋体" w:hAnsi="宋体"/>
          <w:color w:val="auto"/>
          <w:highlight w:val="none"/>
        </w:rPr>
      </w:pPr>
    </w:p>
    <w:p>
      <w:pPr>
        <w:ind w:firstLine="5040" w:firstLineChars="2400"/>
        <w:rPr>
          <w:rFonts w:ascii="宋体" w:hAnsi="宋体"/>
          <w:color w:val="auto"/>
          <w:highlight w:val="none"/>
        </w:rPr>
      </w:pPr>
      <w:r>
        <w:rPr>
          <w:rFonts w:hint="eastAsia" w:ascii="宋体" w:hAnsi="宋体"/>
          <w:color w:val="auto"/>
          <w:highlight w:val="none"/>
        </w:rPr>
        <w:t>保证人：（盖章）</w:t>
      </w:r>
      <w:r>
        <w:rPr>
          <w:rFonts w:hint="eastAsia" w:ascii="宋体" w:hAnsi="宋体"/>
          <w:color w:val="auto"/>
          <w:highlight w:val="none"/>
          <w:u w:val="single"/>
        </w:rPr>
        <w:t xml:space="preserve">                        </w:t>
      </w:r>
    </w:p>
    <w:p>
      <w:pPr>
        <w:ind w:firstLine="5040" w:firstLineChars="2400"/>
        <w:rPr>
          <w:rFonts w:ascii="宋体" w:hAnsi="宋体"/>
          <w:color w:val="auto"/>
          <w:highlight w:val="none"/>
        </w:rPr>
      </w:pPr>
      <w:r>
        <w:rPr>
          <w:rFonts w:hint="eastAsia" w:ascii="宋体" w:hAnsi="宋体"/>
          <w:color w:val="auto"/>
          <w:highlight w:val="none"/>
        </w:rPr>
        <w:t>负责人：（签字）</w:t>
      </w:r>
      <w:r>
        <w:rPr>
          <w:rFonts w:hint="eastAsia" w:ascii="宋体" w:hAnsi="宋体"/>
          <w:color w:val="auto"/>
          <w:highlight w:val="none"/>
          <w:u w:val="single"/>
        </w:rPr>
        <w:t xml:space="preserve">                        </w:t>
      </w:r>
    </w:p>
    <w:p>
      <w:pPr>
        <w:ind w:firstLine="5040" w:firstLineChars="2400"/>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u w:val="single"/>
        </w:rPr>
        <w:t xml:space="preserve">                               </w:t>
      </w:r>
      <w:r>
        <w:rPr>
          <w:rFonts w:hint="eastAsia" w:ascii="宋体" w:hAnsi="宋体"/>
          <w:color w:val="auto"/>
          <w:highlight w:val="none"/>
        </w:rPr>
        <w:t xml:space="preserve">   </w:t>
      </w:r>
    </w:p>
    <w:p>
      <w:pPr>
        <w:ind w:firstLine="5040" w:firstLineChars="2400"/>
        <w:rPr>
          <w:rFonts w:ascii="宋体" w:hAnsi="宋体"/>
          <w:color w:val="auto"/>
          <w:highlight w:val="none"/>
        </w:rPr>
      </w:pPr>
      <w:r>
        <w:rPr>
          <w:rFonts w:hint="eastAsia" w:ascii="宋体" w:hAnsi="宋体"/>
          <w:color w:val="auto"/>
          <w:highlight w:val="none"/>
        </w:rPr>
        <w:t>联系电话：</w:t>
      </w:r>
      <w:r>
        <w:rPr>
          <w:rFonts w:hint="eastAsia" w:ascii="宋体" w:hAnsi="宋体"/>
          <w:color w:val="auto"/>
          <w:highlight w:val="none"/>
          <w:u w:val="single"/>
        </w:rPr>
        <w:t xml:space="preserve">                             </w:t>
      </w:r>
    </w:p>
    <w:p>
      <w:pPr>
        <w:ind w:firstLine="5040" w:firstLineChars="2400"/>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p>
    <w:p>
      <w:pPr>
        <w:pStyle w:val="13"/>
        <w:rPr>
          <w:color w:val="auto"/>
          <w:szCs w:val="24"/>
          <w:highlight w:val="none"/>
        </w:rPr>
      </w:pPr>
      <w:r>
        <w:rPr>
          <w:rFonts w:hint="eastAsia"/>
          <w:color w:val="auto"/>
          <w:szCs w:val="24"/>
          <w:highlight w:val="none"/>
        </w:rPr>
        <w:t>说明：投标人在投标时不需提交正式保函，在投标文件中盖投标人公章确认保函格式即可，乙方</w:t>
      </w:r>
      <w:r>
        <w:rPr>
          <w:rFonts w:hint="eastAsia"/>
          <w:color w:val="auto"/>
          <w:highlight w:val="none"/>
        </w:rPr>
        <w:t>在签订合同时</w:t>
      </w:r>
      <w:r>
        <w:rPr>
          <w:rFonts w:hint="eastAsia"/>
          <w:color w:val="auto"/>
          <w:szCs w:val="24"/>
          <w:highlight w:val="none"/>
        </w:rPr>
        <w:t>提交正式保函。</w:t>
      </w:r>
    </w:p>
    <w:p>
      <w:pPr>
        <w:rPr>
          <w:rFonts w:ascii="宋体" w:hAnsi="宋体"/>
          <w:color w:val="auto"/>
          <w:szCs w:val="21"/>
          <w:highlight w:val="none"/>
        </w:rPr>
      </w:pPr>
    </w:p>
    <w:p>
      <w:pPr>
        <w:rPr>
          <w:rFonts w:ascii="宋体" w:hAnsi="宋体"/>
          <w:color w:val="auto"/>
          <w:szCs w:val="21"/>
          <w:highlight w:val="none"/>
        </w:rPr>
        <w:sectPr>
          <w:pgSz w:w="11906" w:h="16838"/>
          <w:pgMar w:top="1440" w:right="1800" w:bottom="1440" w:left="1800" w:header="708" w:footer="708" w:gutter="0"/>
          <w:cols w:space="708" w:num="1"/>
          <w:titlePg/>
          <w:docGrid w:type="lines" w:linePitch="360" w:charSpace="0"/>
        </w:sectPr>
      </w:pPr>
    </w:p>
    <w:p>
      <w:pPr>
        <w:pStyle w:val="8"/>
        <w:numPr>
          <w:ilvl w:val="255"/>
          <w:numId w:val="0"/>
        </w:numPr>
        <w:tabs>
          <w:tab w:val="left" w:pos="720"/>
          <w:tab w:val="left" w:pos="3840"/>
        </w:tabs>
        <w:ind w:left="283"/>
        <w:jc w:val="both"/>
        <w:rPr>
          <w:rFonts w:ascii="宋体" w:hAnsi="宋体"/>
          <w:color w:val="auto"/>
          <w:sz w:val="21"/>
          <w:szCs w:val="21"/>
          <w:highlight w:val="none"/>
        </w:rPr>
      </w:pPr>
      <w:bookmarkStart w:id="185" w:name="_Toc2909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19</w:t>
      </w:r>
      <w:r>
        <w:rPr>
          <w:rFonts w:hint="eastAsia" w:ascii="宋体" w:hAnsi="宋体"/>
          <w:color w:val="auto"/>
          <w:sz w:val="21"/>
          <w:szCs w:val="21"/>
          <w:highlight w:val="none"/>
        </w:rPr>
        <w:t>.预付款保函（适用于预付款支付）</w:t>
      </w:r>
      <w:bookmarkEnd w:id="185"/>
    </w:p>
    <w:p>
      <w:pPr>
        <w:pStyle w:val="13"/>
        <w:rPr>
          <w:color w:val="auto"/>
          <w:szCs w:val="24"/>
          <w:highlight w:val="none"/>
        </w:rPr>
      </w:pPr>
    </w:p>
    <w:p>
      <w:pPr>
        <w:jc w:val="center"/>
        <w:rPr>
          <w:rFonts w:ascii="黑体" w:eastAsia="黑体"/>
          <w:color w:val="auto"/>
          <w:sz w:val="28"/>
          <w:szCs w:val="28"/>
          <w:highlight w:val="none"/>
        </w:rPr>
      </w:pPr>
      <w:bookmarkStart w:id="186" w:name="_Toc7374"/>
      <w:bookmarkStart w:id="187" w:name="_Toc6877"/>
      <w:bookmarkStart w:id="188" w:name="_Toc20669"/>
      <w:bookmarkStart w:id="189" w:name="_Toc10315"/>
      <w:bookmarkStart w:id="190" w:name="_Toc5034"/>
      <w:bookmarkStart w:id="191" w:name="_Toc1039"/>
      <w:bookmarkStart w:id="192" w:name="_Toc31418"/>
      <w:bookmarkStart w:id="193" w:name="_Toc29054"/>
      <w:bookmarkStart w:id="194" w:name="_Toc27545"/>
      <w:bookmarkStart w:id="195" w:name="_Toc29728"/>
      <w:bookmarkStart w:id="196" w:name="_Toc25494"/>
      <w:bookmarkStart w:id="197" w:name="_Toc3295"/>
      <w:r>
        <w:rPr>
          <w:rFonts w:hint="eastAsia" w:ascii="黑体" w:eastAsia="黑体"/>
          <w:color w:val="auto"/>
          <w:sz w:val="28"/>
          <w:szCs w:val="28"/>
          <w:highlight w:val="none"/>
        </w:rPr>
        <w:t>不可撤销预付款保函</w:t>
      </w:r>
      <w:bookmarkEnd w:id="186"/>
      <w:bookmarkEnd w:id="187"/>
      <w:bookmarkEnd w:id="188"/>
      <w:bookmarkEnd w:id="189"/>
      <w:bookmarkEnd w:id="190"/>
      <w:bookmarkEnd w:id="191"/>
      <w:bookmarkEnd w:id="192"/>
      <w:bookmarkEnd w:id="193"/>
      <w:bookmarkEnd w:id="194"/>
      <w:bookmarkEnd w:id="195"/>
      <w:bookmarkEnd w:id="196"/>
      <w:bookmarkEnd w:id="197"/>
    </w:p>
    <w:p>
      <w:pPr>
        <w:ind w:firstLine="6300"/>
        <w:rPr>
          <w:color w:val="auto"/>
          <w:szCs w:val="21"/>
          <w:highlight w:val="none"/>
          <w:u w:val="single"/>
        </w:rPr>
      </w:pPr>
      <w:r>
        <w:rPr>
          <w:rFonts w:hint="eastAsia"/>
          <w:color w:val="auto"/>
          <w:szCs w:val="21"/>
          <w:highlight w:val="none"/>
        </w:rPr>
        <w:t>银行编号：</w:t>
      </w:r>
      <w:r>
        <w:rPr>
          <w:rFonts w:hint="eastAsia"/>
          <w:color w:val="auto"/>
          <w:szCs w:val="21"/>
          <w:highlight w:val="none"/>
          <w:u w:val="single"/>
        </w:rPr>
        <w:t xml:space="preserve">             </w:t>
      </w:r>
    </w:p>
    <w:p>
      <w:pPr>
        <w:ind w:firstLine="6300"/>
        <w:rPr>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（下称“采购人”）</w:t>
      </w:r>
    </w:p>
    <w:p>
      <w:pPr>
        <w:ind w:firstLine="437"/>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4"/>
          <w:highlight w:val="none"/>
          <w:u w:val="single"/>
        </w:rPr>
        <w:t>（地址：          ，下称 “中标人” ）</w:t>
      </w:r>
      <w:r>
        <w:rPr>
          <w:rFonts w:hint="eastAsia" w:ascii="宋体" w:hAnsi="宋体"/>
          <w:color w:val="auto"/>
          <w:szCs w:val="21"/>
          <w:highlight w:val="none"/>
        </w:rPr>
        <w:t>，已保证按</w:t>
      </w:r>
      <w:r>
        <w:rPr>
          <w:rFonts w:hint="eastAsia" w:ascii="宋体" w:hAnsi="宋体"/>
          <w:color w:val="auto"/>
          <w:szCs w:val="21"/>
          <w:highlight w:val="none"/>
          <w:u w:val="single"/>
        </w:rPr>
        <w:t xml:space="preserve">          承包合同书（合同编号：    ）</w:t>
      </w:r>
      <w:r>
        <w:rPr>
          <w:rFonts w:hint="eastAsia" w:ascii="宋体" w:hAnsi="宋体"/>
          <w:color w:val="auto"/>
          <w:szCs w:val="21"/>
          <w:highlight w:val="none"/>
        </w:rPr>
        <w:t>中规定的义务履行合同。</w:t>
      </w:r>
    </w:p>
    <w:p>
      <w:pPr>
        <w:ind w:firstLine="437"/>
        <w:rPr>
          <w:rFonts w:ascii="宋体" w:hAnsi="宋体"/>
          <w:color w:val="auto"/>
          <w:szCs w:val="21"/>
          <w:highlight w:val="none"/>
        </w:rPr>
      </w:pPr>
      <w:r>
        <w:rPr>
          <w:rFonts w:hint="eastAsia" w:ascii="宋体" w:hAnsi="宋体"/>
          <w:color w:val="auto"/>
          <w:szCs w:val="24"/>
          <w:highlight w:val="none"/>
        </w:rPr>
        <w:t>根据上述合同（采购文件）规定，中标人应向采购人提供一份金额为合同总价的</w:t>
      </w:r>
      <w:r>
        <w:rPr>
          <w:rFonts w:hint="eastAsia" w:ascii="宋体" w:hAnsi="宋体"/>
          <w:color w:val="auto"/>
          <w:szCs w:val="24"/>
          <w:highlight w:val="none"/>
          <w:u w:val="single"/>
        </w:rPr>
        <w:t xml:space="preserve">   </w:t>
      </w:r>
      <w:r>
        <w:rPr>
          <w:rFonts w:hint="eastAsia" w:ascii="宋体" w:hAnsi="宋体"/>
          <w:color w:val="auto"/>
          <w:szCs w:val="24"/>
          <w:highlight w:val="none"/>
        </w:rPr>
        <w:t>% 即人民币</w:t>
      </w:r>
      <w:r>
        <w:rPr>
          <w:rFonts w:hint="eastAsia" w:ascii="宋体" w:hAnsi="宋体"/>
          <w:color w:val="auto"/>
          <w:szCs w:val="21"/>
          <w:highlight w:val="none"/>
          <w:u w:val="single"/>
        </w:rPr>
        <w:t xml:space="preserve">      （RMB      元）</w:t>
      </w:r>
      <w:r>
        <w:rPr>
          <w:rFonts w:hint="eastAsia" w:ascii="宋体" w:hAnsi="宋体"/>
          <w:color w:val="auto"/>
          <w:szCs w:val="21"/>
          <w:highlight w:val="none"/>
        </w:rPr>
        <w:t>的不可撤销银行预付款保函，以保证中标人履行合同的相关条款。</w:t>
      </w:r>
    </w:p>
    <w:p>
      <w:pPr>
        <w:ind w:firstLine="437"/>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（银行名称）  </w:t>
      </w:r>
      <w:r>
        <w:rPr>
          <w:rFonts w:hint="eastAsia" w:ascii="宋体" w:hAnsi="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ind w:firstLine="437"/>
        <w:rPr>
          <w:rFonts w:ascii="宋体" w:hAnsi="宋体"/>
          <w:color w:val="auto"/>
          <w:szCs w:val="21"/>
          <w:highlight w:val="none"/>
        </w:rPr>
      </w:pPr>
      <w:r>
        <w:rPr>
          <w:rFonts w:hint="eastAsia" w:ascii="宋体" w:hAnsi="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ind w:firstLine="437"/>
        <w:rPr>
          <w:rFonts w:ascii="宋体" w:hAnsi="宋体"/>
          <w:color w:val="auto"/>
          <w:szCs w:val="21"/>
          <w:highlight w:val="none"/>
        </w:rPr>
      </w:pPr>
      <w:r>
        <w:rPr>
          <w:rFonts w:hint="eastAsia" w:ascii="宋体" w:hAnsi="宋体"/>
          <w:color w:val="auto"/>
          <w:szCs w:val="21"/>
          <w:highlight w:val="none"/>
        </w:rPr>
        <w:t>本保函有效期从保函开立之日起至采购人向中标人抵扣完所有预付款之日止。</w:t>
      </w:r>
    </w:p>
    <w:p>
      <w:pPr>
        <w:rPr>
          <w:rFonts w:ascii="宋体" w:hAnsi="宋体"/>
          <w:color w:val="auto"/>
          <w:szCs w:val="21"/>
          <w:highlight w:val="none"/>
        </w:rPr>
      </w:pPr>
    </w:p>
    <w:p>
      <w:pPr>
        <w:ind w:firstLine="437"/>
        <w:rPr>
          <w:rFonts w:ascii="宋体" w:hAnsi="宋体"/>
          <w:color w:val="auto"/>
          <w:szCs w:val="21"/>
          <w:highlight w:val="none"/>
        </w:rPr>
      </w:pPr>
    </w:p>
    <w:p>
      <w:pPr>
        <w:ind w:firstLine="4860"/>
        <w:rPr>
          <w:rFonts w:ascii="宋体" w:hAnsi="宋体"/>
          <w:color w:val="auto"/>
          <w:szCs w:val="21"/>
          <w:highlight w:val="none"/>
        </w:rPr>
      </w:pPr>
      <w:r>
        <w:rPr>
          <w:rFonts w:hint="eastAsia" w:ascii="宋体" w:hAnsi="宋体"/>
          <w:color w:val="auto"/>
          <w:szCs w:val="21"/>
          <w:highlight w:val="none"/>
        </w:rPr>
        <w:t>保证人：（公章）</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负责人：（签字）</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ind w:firstLine="486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pStyle w:val="13"/>
        <w:rPr>
          <w:color w:val="auto"/>
          <w:szCs w:val="21"/>
          <w:highlight w:val="none"/>
        </w:rPr>
      </w:pPr>
    </w:p>
    <w:p>
      <w:pPr>
        <w:pStyle w:val="13"/>
        <w:rPr>
          <w:color w:val="auto"/>
          <w:szCs w:val="21"/>
          <w:highlight w:val="none"/>
        </w:rPr>
      </w:pPr>
    </w:p>
    <w:p>
      <w:pPr>
        <w:ind w:firstLine="413" w:firstLineChars="196"/>
        <w:rPr>
          <w:rFonts w:ascii="宋体" w:hAnsi="宋体"/>
          <w:b/>
          <w:color w:val="auto"/>
          <w:szCs w:val="21"/>
          <w:highlight w:val="none"/>
        </w:rPr>
      </w:pPr>
      <w:r>
        <w:rPr>
          <w:rFonts w:hint="eastAsia" w:ascii="宋体" w:hAnsi="宋体"/>
          <w:b/>
          <w:color w:val="auto"/>
          <w:szCs w:val="21"/>
          <w:highlight w:val="none"/>
        </w:rPr>
        <w:t>说明：投标人在投标文件中盖投标人公章确认保函内容即可，如中标再由银行出具保函。</w:t>
      </w:r>
    </w:p>
    <w:p>
      <w:pPr>
        <w:rPr>
          <w:rFonts w:ascii="宋体" w:hAnsi="宋体"/>
          <w:color w:val="auto"/>
          <w:szCs w:val="21"/>
          <w:highlight w:val="none"/>
        </w:rPr>
        <w:sectPr>
          <w:pgSz w:w="11906" w:h="16838"/>
          <w:pgMar w:top="1440" w:right="1800" w:bottom="1440" w:left="1800" w:header="708" w:footer="708" w:gutter="0"/>
          <w:cols w:space="708" w:num="1"/>
          <w:titlePg/>
          <w:docGrid w:type="lines" w:linePitch="360" w:charSpace="0"/>
        </w:sectPr>
      </w:pPr>
    </w:p>
    <w:p>
      <w:pPr>
        <w:pStyle w:val="2"/>
        <w:rPr>
          <w:color w:val="auto"/>
          <w:highlight w:val="none"/>
        </w:rPr>
      </w:pPr>
      <w:bookmarkStart w:id="198" w:name="_Toc1968"/>
    </w:p>
    <w:p>
      <w:pPr>
        <w:jc w:val="center"/>
        <w:outlineLvl w:val="1"/>
        <w:rPr>
          <w:rFonts w:eastAsia="黑体"/>
          <w:color w:val="auto"/>
          <w:sz w:val="72"/>
          <w:szCs w:val="72"/>
          <w:highlight w:val="none"/>
        </w:rPr>
      </w:pPr>
      <w:bookmarkStart w:id="199" w:name="_Toc16601"/>
      <w:r>
        <w:rPr>
          <w:rFonts w:hint="eastAsia" w:eastAsia="黑体"/>
          <w:color w:val="auto"/>
          <w:sz w:val="72"/>
          <w:szCs w:val="72"/>
          <w:highlight w:val="none"/>
        </w:rPr>
        <w:t>唱标信封</w:t>
      </w:r>
      <w:bookmarkEnd w:id="199"/>
    </w:p>
    <w:p>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pPr>
        <w:rPr>
          <w:color w:val="auto"/>
          <w:highlight w:val="none"/>
        </w:rPr>
      </w:pPr>
    </w:p>
    <w:p>
      <w:pPr>
        <w:pStyle w:val="2"/>
        <w:rPr>
          <w:color w:val="auto"/>
          <w:highlight w:val="none"/>
        </w:rPr>
      </w:pPr>
    </w:p>
    <w:p>
      <w:pPr>
        <w:pStyle w:val="3"/>
        <w:ind w:firstLine="240"/>
        <w:rPr>
          <w:color w:val="auto"/>
          <w:highlight w:val="none"/>
        </w:rPr>
      </w:pPr>
    </w:p>
    <w:p>
      <w:pPr>
        <w:pStyle w:val="3"/>
        <w:ind w:firstLine="240"/>
        <w:rPr>
          <w:color w:val="auto"/>
          <w:highlight w:val="none"/>
        </w:rPr>
      </w:pPr>
    </w:p>
    <w:p>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pPr>
        <w:pStyle w:val="2"/>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pPr>
        <w:rPr>
          <w:rFonts w:ascii="宋体" w:hAnsi="宋体"/>
          <w:color w:val="auto"/>
          <w:szCs w:val="21"/>
          <w:highlight w:val="none"/>
        </w:rPr>
      </w:pPr>
      <w:r>
        <w:rPr>
          <w:rFonts w:hint="eastAsia" w:ascii="宋体" w:hAnsi="宋体"/>
          <w:color w:val="auto"/>
          <w:szCs w:val="21"/>
          <w:highlight w:val="none"/>
        </w:rPr>
        <w:br w:type="page"/>
      </w:r>
    </w:p>
    <w:p>
      <w:pPr>
        <w:rPr>
          <w:color w:val="auto"/>
          <w:sz w:val="72"/>
          <w:szCs w:val="72"/>
          <w:highlight w:val="none"/>
        </w:rPr>
        <w:sectPr>
          <w:pgSz w:w="11906" w:h="16838"/>
          <w:pgMar w:top="1440" w:right="1800" w:bottom="1440" w:left="1800" w:header="708" w:footer="708" w:gutter="0"/>
          <w:cols w:space="708" w:num="1"/>
          <w:titlePg/>
          <w:docGrid w:type="lines" w:linePitch="360" w:charSpace="0"/>
        </w:sectPr>
      </w:pPr>
    </w:p>
    <w:bookmarkEnd w:id="198"/>
    <w:p>
      <w:pPr>
        <w:pStyle w:val="8"/>
        <w:numPr>
          <w:ilvl w:val="255"/>
          <w:numId w:val="0"/>
        </w:numPr>
        <w:tabs>
          <w:tab w:val="left" w:pos="720"/>
          <w:tab w:val="left" w:pos="3840"/>
        </w:tabs>
        <w:ind w:left="283"/>
        <w:jc w:val="both"/>
        <w:rPr>
          <w:rFonts w:ascii="宋体" w:hAnsi="宋体"/>
          <w:color w:val="auto"/>
          <w:sz w:val="21"/>
          <w:szCs w:val="21"/>
          <w:highlight w:val="none"/>
        </w:rPr>
      </w:pPr>
      <w:bookmarkStart w:id="200" w:name="_Toc3134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.唱标信封内装（内容务必与投标文件正本一致）</w:t>
      </w:r>
      <w:bookmarkEnd w:id="200"/>
    </w:p>
    <w:p>
      <w:pPr>
        <w:numPr>
          <w:ilvl w:val="0"/>
          <w:numId w:val="15"/>
        </w:numPr>
        <w:ind w:firstLineChars="200"/>
        <w:rPr>
          <w:rFonts w:hAnsi="宋体"/>
          <w:color w:val="auto"/>
          <w:szCs w:val="21"/>
          <w:highlight w:val="none"/>
        </w:rPr>
      </w:pPr>
      <w:r>
        <w:rPr>
          <w:rFonts w:hint="eastAsia" w:hAnsi="宋体"/>
          <w:color w:val="auto"/>
          <w:szCs w:val="21"/>
          <w:highlight w:val="none"/>
        </w:rPr>
        <w:t>开标一览表原件或复印件加盖公章；</w:t>
      </w:r>
    </w:p>
    <w:p>
      <w:pPr>
        <w:numPr>
          <w:ilvl w:val="0"/>
          <w:numId w:val="15"/>
        </w:numPr>
        <w:ind w:firstLineChars="200"/>
        <w:rPr>
          <w:rFonts w:hAnsi="宋体"/>
          <w:color w:val="auto"/>
          <w:szCs w:val="21"/>
          <w:highlight w:val="none"/>
        </w:rPr>
      </w:pPr>
      <w:r>
        <w:rPr>
          <w:rFonts w:hint="eastAsia" w:hAnsi="宋体"/>
          <w:color w:val="auto"/>
          <w:szCs w:val="21"/>
          <w:highlight w:val="none"/>
        </w:rPr>
        <w:t>法定代表人证明书原件或复印件加盖公章；</w:t>
      </w:r>
    </w:p>
    <w:p>
      <w:pPr>
        <w:numPr>
          <w:ilvl w:val="0"/>
          <w:numId w:val="15"/>
        </w:numPr>
        <w:ind w:firstLineChars="200"/>
        <w:rPr>
          <w:rFonts w:hAnsi="宋体"/>
          <w:color w:val="auto"/>
          <w:szCs w:val="21"/>
          <w:highlight w:val="none"/>
        </w:rPr>
      </w:pPr>
      <w:r>
        <w:rPr>
          <w:rFonts w:hint="eastAsia" w:hAnsi="宋体"/>
          <w:color w:val="auto"/>
          <w:szCs w:val="21"/>
          <w:highlight w:val="none"/>
        </w:rPr>
        <w:t>法定代表人授权委托书原件或复印件加盖公章（法定代表人投标的除外）；</w:t>
      </w:r>
    </w:p>
    <w:p>
      <w:pPr>
        <w:numPr>
          <w:ilvl w:val="0"/>
          <w:numId w:val="15"/>
        </w:numPr>
        <w:ind w:firstLineChars="200"/>
        <w:rPr>
          <w:rFonts w:hAnsi="宋体"/>
          <w:color w:val="auto"/>
          <w:szCs w:val="21"/>
          <w:highlight w:val="none"/>
        </w:rPr>
      </w:pPr>
      <w:r>
        <w:rPr>
          <w:rFonts w:hint="eastAsia" w:hAnsi="宋体"/>
          <w:color w:val="auto"/>
          <w:szCs w:val="21"/>
          <w:highlight w:val="none"/>
        </w:rPr>
        <w:t>投标保证金汇入情况说明原件（含银行汇款凭证）或复印件加盖公章；</w:t>
      </w:r>
    </w:p>
    <w:p>
      <w:pPr>
        <w:numPr>
          <w:ilvl w:val="0"/>
          <w:numId w:val="15"/>
        </w:numPr>
        <w:ind w:firstLineChars="200"/>
        <w:rPr>
          <w:rFonts w:hAnsi="宋体"/>
          <w:color w:val="auto"/>
          <w:szCs w:val="21"/>
          <w:highlight w:val="none"/>
        </w:rPr>
      </w:pPr>
      <w:r>
        <w:rPr>
          <w:rFonts w:hint="eastAsia" w:hAnsi="宋体"/>
          <w:color w:val="auto"/>
          <w:szCs w:val="21"/>
          <w:highlight w:val="none"/>
        </w:rPr>
        <w:t>投标文件电子文件（U盘，须含盖章版PDF投标文件和WORD版投标文件各一版，文字采用WORD文档，计算表格采用 EXCEL文档。）</w:t>
      </w:r>
    </w:p>
    <w:p>
      <w:pPr>
        <w:rPr>
          <w:rFonts w:ascii="宋体" w:hAnsi="宋体" w:cs="宋体"/>
          <w:color w:val="auto"/>
          <w:szCs w:val="21"/>
          <w:highlight w:val="none"/>
        </w:rPr>
      </w:pPr>
    </w:p>
    <w:p>
      <w:pPr>
        <w:pStyle w:val="2"/>
        <w:rPr>
          <w:color w:val="auto"/>
          <w:highlight w:val="none"/>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pPr>
                            <w:pStyle w:val="2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pPr>
                      <w:pStyle w:val="2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pPr>
                            <w:pStyle w:val="2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pPr>
                      <w:pStyle w:val="2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6">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02AF80A"/>
    <w:multiLevelType w:val="singleLevel"/>
    <w:tmpl w:val="202AF80A"/>
    <w:lvl w:ilvl="0" w:tentative="0">
      <w:start w:val="13"/>
      <w:numFmt w:val="decimal"/>
      <w:suff w:val="nothing"/>
      <w:lvlText w:val="（%1）"/>
      <w:lvlJc w:val="left"/>
    </w:lvl>
  </w:abstractNum>
  <w:abstractNum w:abstractNumId="8">
    <w:nsid w:val="20D2348B"/>
    <w:multiLevelType w:val="singleLevel"/>
    <w:tmpl w:val="20D2348B"/>
    <w:lvl w:ilvl="0" w:tentative="0">
      <w:start w:val="1"/>
      <w:numFmt w:val="chineseCounting"/>
      <w:suff w:val="nothing"/>
      <w:lvlText w:val="（%1）"/>
      <w:lvlJc w:val="left"/>
      <w:rPr>
        <w:rFonts w:hint="eastAsia"/>
      </w:rPr>
    </w:lvl>
  </w:abstractNum>
  <w:abstractNum w:abstractNumId="9">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3F88662E"/>
    <w:multiLevelType w:val="singleLevel"/>
    <w:tmpl w:val="3F88662E"/>
    <w:lvl w:ilvl="0" w:tentative="0">
      <w:start w:val="1"/>
      <w:numFmt w:val="decimal"/>
      <w:suff w:val="space"/>
      <w:lvlText w:val="%1)"/>
      <w:lvlJc w:val="left"/>
    </w:lvl>
  </w:abstractNum>
  <w:abstractNum w:abstractNumId="11">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3">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7"/>
  </w:num>
  <w:num w:numId="2">
    <w:abstractNumId w:val="11"/>
  </w:num>
  <w:num w:numId="3">
    <w:abstractNumId w:val="9"/>
  </w:num>
  <w:num w:numId="4">
    <w:abstractNumId w:val="1"/>
  </w:num>
  <w:num w:numId="5">
    <w:abstractNumId w:val="14"/>
  </w:num>
  <w:num w:numId="6">
    <w:abstractNumId w:val="10"/>
  </w:num>
  <w:num w:numId="7">
    <w:abstractNumId w:val="5"/>
  </w:num>
  <w:num w:numId="8">
    <w:abstractNumId w:val="0"/>
  </w:num>
  <w:num w:numId="9">
    <w:abstractNumId w:val="6"/>
  </w:num>
  <w:num w:numId="10">
    <w:abstractNumId w:val="2"/>
  </w:num>
  <w:num w:numId="11">
    <w:abstractNumId w:val="4"/>
  </w:num>
  <w:num w:numId="12">
    <w:abstractNumId w:val="8"/>
  </w:num>
  <w:num w:numId="13">
    <w:abstractNumId w:val="3"/>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s>
  <w:rsids>
    <w:rsidRoot w:val="00000000"/>
    <w:rsid w:val="04461F7D"/>
    <w:rsid w:val="19C635C8"/>
    <w:rsid w:val="2534382D"/>
    <w:rsid w:val="288F77E2"/>
    <w:rsid w:val="40596D98"/>
    <w:rsid w:val="42017D49"/>
    <w:rsid w:val="4DCC4263"/>
    <w:rsid w:val="5C8969EB"/>
    <w:rsid w:val="7AAA1A3C"/>
    <w:rsid w:val="7EBA11AB"/>
    <w:rsid w:val="7F4461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5">
    <w:name w:val="heading 1"/>
    <w:basedOn w:val="1"/>
    <w:next w:val="1"/>
    <w:link w:val="73"/>
    <w:qFormat/>
    <w:uiPriority w:val="9"/>
    <w:pPr>
      <w:keepNext/>
      <w:keepLines/>
      <w:spacing w:before="340" w:after="330" w:line="576" w:lineRule="auto"/>
      <w:outlineLvl w:val="0"/>
    </w:pPr>
    <w:rPr>
      <w:b/>
      <w:kern w:val="44"/>
      <w:sz w:val="44"/>
    </w:rPr>
  </w:style>
  <w:style w:type="paragraph" w:styleId="6">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42"/>
    <w:unhideWhenUsed/>
    <w:qFormat/>
    <w:uiPriority w:val="9"/>
    <w:pPr>
      <w:keepNext/>
      <w:keepLines/>
      <w:outlineLvl w:val="3"/>
    </w:pPr>
    <w:rPr>
      <w:rFonts w:asciiTheme="majorHAnsi" w:hAnsiTheme="majorHAnsi" w:cstheme="majorBidi"/>
      <w:b/>
      <w:bCs/>
      <w:sz w:val="24"/>
      <w:szCs w:val="28"/>
    </w:rPr>
  </w:style>
  <w:style w:type="paragraph" w:styleId="9">
    <w:name w:val="heading 5"/>
    <w:basedOn w:val="1"/>
    <w:next w:val="1"/>
    <w:link w:val="72"/>
    <w:unhideWhenUsed/>
    <w:qFormat/>
    <w:uiPriority w:val="9"/>
    <w:pPr>
      <w:keepNext/>
      <w:keepLines/>
      <w:spacing w:before="280" w:after="290" w:line="372" w:lineRule="auto"/>
      <w:outlineLvl w:val="4"/>
    </w:pPr>
    <w:rPr>
      <w:b/>
      <w:sz w:val="28"/>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64"/>
    <w:qFormat/>
    <w:uiPriority w:val="1"/>
    <w:pPr>
      <w:spacing w:before="161"/>
      <w:ind w:left="120"/>
    </w:pPr>
    <w:rPr>
      <w:rFonts w:ascii="宋体" w:hAnsi="宋体" w:cs="宋体"/>
      <w:sz w:val="24"/>
      <w:lang w:val="zh-CN" w:bidi="zh-CN"/>
    </w:rPr>
  </w:style>
  <w:style w:type="paragraph" w:styleId="3">
    <w:name w:val="Body Text First Indent"/>
    <w:basedOn w:val="2"/>
    <w:next w:val="4"/>
    <w:qFormat/>
    <w:uiPriority w:val="0"/>
    <w:pPr>
      <w:spacing w:after="120"/>
      <w:ind w:firstLine="420" w:firstLineChars="100"/>
    </w:pPr>
    <w:rPr>
      <w:bCs/>
      <w:szCs w:val="21"/>
    </w:rPr>
  </w:style>
  <w:style w:type="paragraph" w:styleId="4">
    <w:name w:val="toc 6"/>
    <w:basedOn w:val="1"/>
    <w:next w:val="1"/>
    <w:qFormat/>
    <w:uiPriority w:val="39"/>
    <w:pPr>
      <w:ind w:left="1200"/>
    </w:pPr>
    <w:rPr>
      <w:rFonts w:ascii="Calibri" w:cs="Calibri"/>
      <w:sz w:val="18"/>
      <w:szCs w:val="18"/>
    </w:rPr>
  </w:style>
  <w:style w:type="paragraph" w:styleId="10">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11">
    <w:name w:val="annotation text"/>
    <w:basedOn w:val="1"/>
    <w:link w:val="61"/>
    <w:unhideWhenUsed/>
    <w:qFormat/>
    <w:uiPriority w:val="99"/>
  </w:style>
  <w:style w:type="paragraph" w:styleId="12">
    <w:name w:val="Salutation"/>
    <w:basedOn w:val="1"/>
    <w:next w:val="1"/>
    <w:qFormat/>
    <w:uiPriority w:val="0"/>
    <w:pPr>
      <w:widowControl w:val="0"/>
      <w:spacing w:line="240" w:lineRule="auto"/>
      <w:jc w:val="both"/>
    </w:pPr>
    <w:rPr>
      <w:kern w:val="2"/>
      <w:sz w:val="24"/>
      <w:szCs w:val="24"/>
    </w:rPr>
  </w:style>
  <w:style w:type="paragraph" w:styleId="13">
    <w:name w:val="Body Text Indent"/>
    <w:basedOn w:val="1"/>
    <w:qFormat/>
    <w:uiPriority w:val="0"/>
    <w:pPr>
      <w:ind w:left="359" w:leftChars="171" w:firstLine="179" w:firstLineChars="85"/>
    </w:pPr>
    <w:rPr>
      <w:rFonts w:ascii="宋体" w:hAnsi="宋体"/>
      <w:b/>
      <w:bCs/>
      <w:szCs w:val="26"/>
    </w:rPr>
  </w:style>
  <w:style w:type="paragraph" w:styleId="14">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5">
    <w:name w:val="toc 3"/>
    <w:basedOn w:val="1"/>
    <w:next w:val="1"/>
    <w:unhideWhenUsed/>
    <w:qFormat/>
    <w:uiPriority w:val="39"/>
    <w:pPr>
      <w:tabs>
        <w:tab w:val="right" w:leader="dot" w:pos="8296"/>
      </w:tabs>
      <w:ind w:left="838" w:leftChars="381"/>
    </w:pPr>
    <w:rPr>
      <w:szCs w:val="21"/>
    </w:rPr>
  </w:style>
  <w:style w:type="paragraph" w:styleId="16">
    <w:name w:val="Plain Text"/>
    <w:basedOn w:val="1"/>
    <w:next w:val="1"/>
    <w:link w:val="53"/>
    <w:qFormat/>
    <w:uiPriority w:val="0"/>
    <w:pPr>
      <w:widowControl w:val="0"/>
      <w:adjustRightInd/>
      <w:snapToGrid/>
      <w:jc w:val="both"/>
    </w:pPr>
    <w:rPr>
      <w:rFonts w:ascii="宋体" w:hAnsi="Courier New" w:cs="Times New Roman"/>
      <w:b/>
      <w:kern w:val="2"/>
      <w:szCs w:val="20"/>
    </w:rPr>
  </w:style>
  <w:style w:type="paragraph" w:styleId="17">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8">
    <w:name w:val="Body Text Indent 2"/>
    <w:basedOn w:val="1"/>
    <w:qFormat/>
    <w:uiPriority w:val="0"/>
    <w:pPr>
      <w:tabs>
        <w:tab w:val="left" w:pos="8640"/>
      </w:tabs>
      <w:adjustRightInd/>
      <w:ind w:left="1260"/>
      <w:jc w:val="both"/>
    </w:pPr>
    <w:rPr>
      <w:kern w:val="2"/>
      <w:szCs w:val="20"/>
    </w:rPr>
  </w:style>
  <w:style w:type="paragraph" w:styleId="19">
    <w:name w:val="Balloon Text"/>
    <w:basedOn w:val="1"/>
    <w:link w:val="56"/>
    <w:unhideWhenUsed/>
    <w:qFormat/>
    <w:uiPriority w:val="99"/>
    <w:rPr>
      <w:sz w:val="18"/>
      <w:szCs w:val="18"/>
    </w:rPr>
  </w:style>
  <w:style w:type="paragraph" w:styleId="20">
    <w:name w:val="footer"/>
    <w:basedOn w:val="1"/>
    <w:link w:val="55"/>
    <w:unhideWhenUsed/>
    <w:qFormat/>
    <w:uiPriority w:val="99"/>
    <w:pPr>
      <w:tabs>
        <w:tab w:val="center" w:pos="4153"/>
        <w:tab w:val="right" w:pos="8306"/>
      </w:tabs>
    </w:pPr>
    <w:rPr>
      <w:sz w:val="18"/>
      <w:szCs w:val="18"/>
    </w:rPr>
  </w:style>
  <w:style w:type="paragraph" w:styleId="21">
    <w:name w:val="header"/>
    <w:basedOn w:val="1"/>
    <w:link w:val="54"/>
    <w:unhideWhenUsed/>
    <w:qFormat/>
    <w:uiPriority w:val="99"/>
    <w:pPr>
      <w:pBdr>
        <w:bottom w:val="single" w:color="auto" w:sz="6" w:space="1"/>
      </w:pBdr>
      <w:tabs>
        <w:tab w:val="center" w:pos="4153"/>
        <w:tab w:val="right" w:pos="8306"/>
      </w:tabs>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tabs>
        <w:tab w:val="right" w:leader="dot" w:pos="8296"/>
      </w:tabs>
      <w:spacing w:after="120"/>
      <w:ind w:left="1320" w:leftChars="600"/>
    </w:pPr>
  </w:style>
  <w:style w:type="paragraph" w:styleId="24">
    <w:name w:val="footnote text"/>
    <w:basedOn w:val="1"/>
    <w:unhideWhenUsed/>
    <w:qFormat/>
    <w:uiPriority w:val="99"/>
    <w:rPr>
      <w:sz w:val="18"/>
    </w:rPr>
  </w:style>
  <w:style w:type="paragraph" w:styleId="25">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6">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7">
    <w:name w:val="Normal (Web)"/>
    <w:basedOn w:val="1"/>
    <w:link w:val="58"/>
    <w:qFormat/>
    <w:uiPriority w:val="0"/>
    <w:pPr>
      <w:widowControl w:val="0"/>
      <w:adjustRightInd/>
      <w:snapToGrid/>
      <w:jc w:val="both"/>
    </w:pPr>
    <w:rPr>
      <w:rFonts w:asciiTheme="minorHAnsi" w:hAnsiTheme="minorHAnsi"/>
      <w:kern w:val="2"/>
      <w:sz w:val="24"/>
      <w:szCs w:val="24"/>
    </w:rPr>
  </w:style>
  <w:style w:type="paragraph" w:styleId="28">
    <w:name w:val="annotation subject"/>
    <w:basedOn w:val="11"/>
    <w:next w:val="11"/>
    <w:link w:val="62"/>
    <w:unhideWhenUsed/>
    <w:qFormat/>
    <w:uiPriority w:val="99"/>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Emphasis"/>
    <w:basedOn w:val="31"/>
    <w:qFormat/>
    <w:uiPriority w:val="20"/>
    <w:rPr>
      <w:i/>
      <w:iCs/>
    </w:rPr>
  </w:style>
  <w:style w:type="character" w:styleId="34">
    <w:name w:val="Hyperlink"/>
    <w:qFormat/>
    <w:uiPriority w:val="99"/>
    <w:rPr>
      <w:rFonts w:hint="eastAsia" w:ascii="宋体" w:hAnsi="宋体" w:eastAsia="宋体" w:cs="宋体"/>
      <w:b/>
      <w:color w:val="0031C1"/>
      <w:kern w:val="0"/>
      <w:sz w:val="18"/>
      <w:szCs w:val="18"/>
      <w:u w:val="none"/>
      <w:lang w:eastAsia="en-US"/>
    </w:rPr>
  </w:style>
  <w:style w:type="character" w:styleId="35">
    <w:name w:val="annotation reference"/>
    <w:basedOn w:val="31"/>
    <w:unhideWhenUsed/>
    <w:qFormat/>
    <w:uiPriority w:val="99"/>
    <w:rPr>
      <w:sz w:val="21"/>
      <w:szCs w:val="21"/>
    </w:rPr>
  </w:style>
  <w:style w:type="character" w:styleId="36">
    <w:name w:val="footnote reference"/>
    <w:basedOn w:val="31"/>
    <w:unhideWhenUsed/>
    <w:qFormat/>
    <w:uiPriority w:val="99"/>
    <w:rPr>
      <w:vertAlign w:val="superscript"/>
    </w:rPr>
  </w:style>
  <w:style w:type="paragraph" w:customStyle="1" w:styleId="37">
    <w:name w:val="样式 正文首行缩进 + 首行缩进:  1 字符"/>
    <w:basedOn w:val="1"/>
    <w:next w:val="1"/>
    <w:qFormat/>
    <w:uiPriority w:val="0"/>
    <w:pPr>
      <w:ind w:firstLine="200" w:firstLineChars="200"/>
    </w:pPr>
    <w:rPr>
      <w:rFonts w:cs="宋体"/>
      <w:szCs w:val="20"/>
    </w:rPr>
  </w:style>
  <w:style w:type="paragraph" w:customStyle="1" w:styleId="38">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39">
    <w:name w:val="标题 2 字符"/>
    <w:basedOn w:val="31"/>
    <w:link w:val="6"/>
    <w:qFormat/>
    <w:uiPriority w:val="9"/>
    <w:rPr>
      <w:rFonts w:asciiTheme="majorHAnsi" w:hAnsiTheme="majorHAnsi" w:eastAsiaTheme="majorEastAsia" w:cstheme="majorBidi"/>
      <w:b/>
      <w:bCs/>
      <w:sz w:val="32"/>
      <w:szCs w:val="32"/>
    </w:rPr>
  </w:style>
  <w:style w:type="character" w:customStyle="1" w:styleId="40">
    <w:name w:val="标题 3 字符"/>
    <w:basedOn w:val="31"/>
    <w:link w:val="7"/>
    <w:qFormat/>
    <w:uiPriority w:val="9"/>
    <w:rPr>
      <w:rFonts w:ascii="Tahoma" w:hAnsi="Tahoma"/>
      <w:b/>
      <w:bCs/>
      <w:sz w:val="32"/>
      <w:szCs w:val="32"/>
    </w:rPr>
  </w:style>
  <w:style w:type="paragraph" w:customStyle="1" w:styleId="41">
    <w:name w:val="List Paragraph"/>
    <w:basedOn w:val="1"/>
    <w:link w:val="63"/>
    <w:qFormat/>
    <w:uiPriority w:val="0"/>
    <w:pPr>
      <w:ind w:firstLine="420" w:firstLineChars="200"/>
    </w:pPr>
  </w:style>
  <w:style w:type="character" w:customStyle="1" w:styleId="42">
    <w:name w:val="标题 4 字符"/>
    <w:basedOn w:val="31"/>
    <w:link w:val="8"/>
    <w:qFormat/>
    <w:uiPriority w:val="9"/>
    <w:rPr>
      <w:rFonts w:eastAsia="宋体" w:asciiTheme="majorHAnsi" w:hAnsiTheme="majorHAnsi" w:cstheme="majorBidi"/>
      <w:b/>
      <w:bCs/>
      <w:sz w:val="24"/>
      <w:szCs w:val="28"/>
    </w:rPr>
  </w:style>
  <w:style w:type="character" w:customStyle="1" w:styleId="43">
    <w:name w:val="正文缩进2格 Char"/>
    <w:link w:val="44"/>
    <w:qFormat/>
    <w:uiPriority w:val="0"/>
    <w:rPr>
      <w:rFonts w:ascii="仿宋_GB2312" w:hAnsi="宋体" w:eastAsia="仿宋_GB2312"/>
      <w:kern w:val="2"/>
      <w:sz w:val="31"/>
    </w:rPr>
  </w:style>
  <w:style w:type="paragraph" w:customStyle="1" w:styleId="44">
    <w:name w:val="正文缩进2格"/>
    <w:basedOn w:val="1"/>
    <w:next w:val="1"/>
    <w:link w:val="43"/>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5">
    <w:name w:val="正文缩进4格"/>
    <w:basedOn w:val="44"/>
    <w:qFormat/>
    <w:uiPriority w:val="0"/>
    <w:pPr>
      <w:ind w:left="2" w:firstLine="538" w:firstLineChars="192"/>
    </w:pPr>
    <w:rPr>
      <w:color w:val="0000FF"/>
      <w:sz w:val="28"/>
    </w:rPr>
  </w:style>
  <w:style w:type="character" w:customStyle="1" w:styleId="46">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7">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8">
    <w:name w:val="标题1"/>
    <w:qFormat/>
    <w:uiPriority w:val="0"/>
    <w:rPr>
      <w:rFonts w:ascii="Times New Roman" w:hAnsi="Times New Roman" w:eastAsia="宋体" w:cs="Times New Roman"/>
      <w:b/>
      <w:kern w:val="0"/>
      <w:sz w:val="24"/>
      <w:szCs w:val="20"/>
      <w:lang w:eastAsia="en-US"/>
    </w:rPr>
  </w:style>
  <w:style w:type="character" w:customStyle="1" w:styleId="49">
    <w:name w:val="标题 3.1 Char"/>
    <w:link w:val="50"/>
    <w:qFormat/>
    <w:uiPriority w:val="0"/>
    <w:rPr>
      <w:rFonts w:ascii="宋体" w:hAnsi="宋体" w:eastAsia="宋体"/>
      <w:b/>
      <w:color w:val="FF0000"/>
      <w:kern w:val="2"/>
      <w:sz w:val="32"/>
    </w:rPr>
  </w:style>
  <w:style w:type="paragraph" w:customStyle="1" w:styleId="50">
    <w:name w:val="标题 3.1"/>
    <w:basedOn w:val="7"/>
    <w:link w:val="49"/>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1">
    <w:name w:val="样式 楷体_GB2312 小四"/>
    <w:qFormat/>
    <w:uiPriority w:val="0"/>
    <w:rPr>
      <w:rFonts w:ascii="楷体_GB2312" w:hAnsi="楷体_GB2312" w:eastAsia="仿宋_GB2312"/>
      <w:sz w:val="24"/>
    </w:rPr>
  </w:style>
  <w:style w:type="character" w:customStyle="1" w:styleId="52">
    <w:name w:val="纯文本 Char"/>
    <w:qFormat/>
    <w:uiPriority w:val="0"/>
    <w:rPr>
      <w:rFonts w:ascii="宋体" w:hAnsi="Courier New" w:eastAsia="宋体" w:cs="Times New Roman"/>
      <w:b/>
      <w:kern w:val="2"/>
      <w:sz w:val="21"/>
      <w:szCs w:val="20"/>
    </w:rPr>
  </w:style>
  <w:style w:type="character" w:customStyle="1" w:styleId="53">
    <w:name w:val="纯文本 字符"/>
    <w:basedOn w:val="31"/>
    <w:link w:val="16"/>
    <w:semiHidden/>
    <w:qFormat/>
    <w:uiPriority w:val="99"/>
    <w:rPr>
      <w:rFonts w:ascii="宋体" w:hAnsi="Courier New" w:eastAsia="宋体" w:cs="Courier New"/>
      <w:sz w:val="21"/>
      <w:szCs w:val="21"/>
    </w:rPr>
  </w:style>
  <w:style w:type="character" w:customStyle="1" w:styleId="54">
    <w:name w:val="页眉 字符"/>
    <w:basedOn w:val="31"/>
    <w:link w:val="21"/>
    <w:qFormat/>
    <w:uiPriority w:val="99"/>
    <w:rPr>
      <w:rFonts w:ascii="Tahoma" w:hAnsi="Tahoma"/>
      <w:sz w:val="18"/>
      <w:szCs w:val="18"/>
    </w:rPr>
  </w:style>
  <w:style w:type="character" w:customStyle="1" w:styleId="55">
    <w:name w:val="页脚 字符"/>
    <w:basedOn w:val="31"/>
    <w:link w:val="20"/>
    <w:qFormat/>
    <w:uiPriority w:val="99"/>
    <w:rPr>
      <w:rFonts w:ascii="Tahoma" w:hAnsi="Tahoma"/>
      <w:sz w:val="18"/>
      <w:szCs w:val="18"/>
    </w:rPr>
  </w:style>
  <w:style w:type="character" w:customStyle="1" w:styleId="56">
    <w:name w:val="批注框文本 字符"/>
    <w:basedOn w:val="31"/>
    <w:link w:val="19"/>
    <w:semiHidden/>
    <w:qFormat/>
    <w:uiPriority w:val="99"/>
    <w:rPr>
      <w:rFonts w:ascii="Tahoma" w:hAnsi="Tahoma"/>
      <w:sz w:val="18"/>
      <w:szCs w:val="18"/>
    </w:rPr>
  </w:style>
  <w:style w:type="paragraph" w:customStyle="1" w:styleId="57">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8">
    <w:name w:val="普通(网站) 字符"/>
    <w:link w:val="27"/>
    <w:qFormat/>
    <w:uiPriority w:val="0"/>
    <w:rPr>
      <w:rFonts w:eastAsia="宋体"/>
      <w:kern w:val="2"/>
      <w:sz w:val="24"/>
      <w:szCs w:val="24"/>
    </w:rPr>
  </w:style>
  <w:style w:type="paragraph" w:customStyle="1" w:styleId="59">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0">
    <w:name w:val="p141"/>
    <w:qFormat/>
    <w:uiPriority w:val="0"/>
    <w:rPr>
      <w:sz w:val="21"/>
      <w:szCs w:val="21"/>
    </w:rPr>
  </w:style>
  <w:style w:type="character" w:customStyle="1" w:styleId="61">
    <w:name w:val="批注文字 字符"/>
    <w:basedOn w:val="31"/>
    <w:link w:val="11"/>
    <w:qFormat/>
    <w:uiPriority w:val="99"/>
    <w:rPr>
      <w:rFonts w:ascii="Tahoma" w:hAnsi="Tahoma" w:eastAsia="微软雅黑" w:cstheme="minorBidi"/>
      <w:sz w:val="22"/>
      <w:szCs w:val="22"/>
    </w:rPr>
  </w:style>
  <w:style w:type="character" w:customStyle="1" w:styleId="62">
    <w:name w:val="批注主题 字符"/>
    <w:basedOn w:val="61"/>
    <w:link w:val="28"/>
    <w:semiHidden/>
    <w:qFormat/>
    <w:uiPriority w:val="99"/>
    <w:rPr>
      <w:rFonts w:ascii="Tahoma" w:hAnsi="Tahoma" w:eastAsia="微软雅黑" w:cstheme="minorBidi"/>
      <w:b/>
      <w:bCs/>
      <w:sz w:val="22"/>
      <w:szCs w:val="22"/>
    </w:rPr>
  </w:style>
  <w:style w:type="character" w:customStyle="1" w:styleId="63">
    <w:name w:val="列表段落 字符"/>
    <w:link w:val="41"/>
    <w:qFormat/>
    <w:uiPriority w:val="0"/>
    <w:rPr>
      <w:rFonts w:ascii="Tahoma" w:hAnsi="Tahoma" w:eastAsia="微软雅黑" w:cstheme="minorBidi"/>
      <w:sz w:val="22"/>
      <w:szCs w:val="22"/>
    </w:rPr>
  </w:style>
  <w:style w:type="character" w:customStyle="1" w:styleId="64">
    <w:name w:val="正文文本 字符"/>
    <w:basedOn w:val="31"/>
    <w:link w:val="2"/>
    <w:qFormat/>
    <w:uiPriority w:val="1"/>
    <w:rPr>
      <w:rFonts w:ascii="宋体" w:hAnsi="宋体" w:cs="宋体"/>
      <w:sz w:val="24"/>
      <w:szCs w:val="22"/>
      <w:lang w:val="zh-CN" w:bidi="zh-CN"/>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_Style 1"/>
    <w:basedOn w:val="1"/>
    <w:qFormat/>
    <w:uiPriority w:val="0"/>
    <w:pPr>
      <w:ind w:firstLine="420" w:firstLineChars="200"/>
    </w:pPr>
  </w:style>
  <w:style w:type="paragraph" w:customStyle="1" w:styleId="67">
    <w:name w:val="列出段落2"/>
    <w:basedOn w:val="1"/>
    <w:qFormat/>
    <w:uiPriority w:val="0"/>
    <w:pPr>
      <w:ind w:firstLine="420" w:firstLineChars="200"/>
    </w:pPr>
  </w:style>
  <w:style w:type="paragraph" w:customStyle="1" w:styleId="68">
    <w:name w:val="p0"/>
    <w:basedOn w:val="1"/>
    <w:qFormat/>
    <w:uiPriority w:val="0"/>
    <w:rPr>
      <w:szCs w:val="21"/>
    </w:rPr>
  </w:style>
  <w:style w:type="paragraph" w:customStyle="1" w:styleId="69">
    <w:name w:val="正文文本缩进 21"/>
    <w:basedOn w:val="1"/>
    <w:qFormat/>
    <w:uiPriority w:val="0"/>
    <w:pPr>
      <w:spacing w:line="480" w:lineRule="auto"/>
      <w:ind w:firstLine="540"/>
    </w:pPr>
    <w:rPr>
      <w:rFonts w:ascii="Calibri" w:hAnsi="Calibri"/>
      <w:sz w:val="20"/>
      <w:szCs w:val="20"/>
    </w:rPr>
  </w:style>
  <w:style w:type="paragraph" w:customStyle="1" w:styleId="70">
    <w:name w:val="_Style 2"/>
    <w:basedOn w:val="1"/>
    <w:qFormat/>
    <w:uiPriority w:val="0"/>
    <w:pPr>
      <w:ind w:firstLine="420" w:firstLineChars="200"/>
    </w:pPr>
  </w:style>
  <w:style w:type="paragraph" w:customStyle="1" w:styleId="71">
    <w:name w:val="msolistparagraph"/>
    <w:basedOn w:val="1"/>
    <w:qFormat/>
    <w:uiPriority w:val="0"/>
    <w:pPr>
      <w:ind w:firstLine="420" w:firstLineChars="200"/>
    </w:pPr>
    <w:rPr>
      <w:rFonts w:hint="eastAsia" w:hAnsi="宋体"/>
    </w:rPr>
  </w:style>
  <w:style w:type="character" w:customStyle="1" w:styleId="72">
    <w:name w:val="标题 5 字符"/>
    <w:link w:val="9"/>
    <w:qFormat/>
    <w:uiPriority w:val="0"/>
    <w:rPr>
      <w:b/>
      <w:sz w:val="28"/>
    </w:rPr>
  </w:style>
  <w:style w:type="character" w:customStyle="1" w:styleId="73">
    <w:name w:val="标题 1 字符"/>
    <w:link w:val="5"/>
    <w:qFormat/>
    <w:uiPriority w:val="9"/>
    <w:rPr>
      <w:b/>
      <w:kern w:val="44"/>
      <w:sz w:val="44"/>
    </w:rPr>
  </w:style>
  <w:style w:type="paragraph" w:customStyle="1" w:styleId="74">
    <w:name w:val="修订1"/>
    <w:hidden/>
    <w:semiHidden/>
    <w:qFormat/>
    <w:uiPriority w:val="99"/>
    <w:rPr>
      <w:rFonts w:ascii="Tahoma" w:hAnsi="Tahoma" w:eastAsia="宋体" w:cstheme="minorBidi"/>
      <w:sz w:val="21"/>
      <w:szCs w:val="22"/>
      <w:lang w:val="en-US" w:eastAsia="zh-CN" w:bidi="ar-SA"/>
    </w:rPr>
  </w:style>
  <w:style w:type="paragraph" w:customStyle="1" w:styleId="75">
    <w:name w:val="表格文字"/>
    <w:basedOn w:val="1"/>
    <w:qFormat/>
    <w:uiPriority w:val="0"/>
    <w:pPr>
      <w:adjustRightInd/>
      <w:spacing w:before="25" w:after="25"/>
    </w:pPr>
    <w:rPr>
      <w:rFonts w:ascii="Times New Roman"/>
      <w:bCs/>
      <w:spacing w:val="10"/>
      <w:szCs w:val="20"/>
    </w:rPr>
  </w:style>
  <w:style w:type="paragraph" w:customStyle="1" w:styleId="76">
    <w:name w:val="纯文本1"/>
    <w:basedOn w:val="77"/>
    <w:qFormat/>
    <w:uiPriority w:val="0"/>
    <w:rPr>
      <w:rFonts w:ascii="宋体" w:hAnsi="Courier New"/>
      <w:szCs w:val="20"/>
    </w:rPr>
  </w:style>
  <w:style w:type="paragraph" w:customStyle="1" w:styleId="77">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8">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9">
    <w:name w:val="Table Normal"/>
    <w:unhideWhenUsed/>
    <w:qFormat/>
    <w:uiPriority w:val="2"/>
    <w:tblPr>
      <w:tblCellMar>
        <w:top w:w="0" w:type="dxa"/>
        <w:left w:w="0" w:type="dxa"/>
        <w:bottom w:w="0" w:type="dxa"/>
        <w:right w:w="0" w:type="dxa"/>
      </w:tblCellMar>
    </w:tblPr>
  </w:style>
  <w:style w:type="paragraph" w:customStyle="1" w:styleId="80">
    <w:name w:val="Table Paragraph"/>
    <w:basedOn w:val="1"/>
    <w:qFormat/>
    <w:uiPriority w:val="1"/>
  </w:style>
  <w:style w:type="paragraph" w:customStyle="1" w:styleId="81">
    <w:name w:val="正文文本缩进1"/>
    <w:basedOn w:val="77"/>
    <w:qFormat/>
    <w:uiPriority w:val="0"/>
    <w:pPr>
      <w:spacing w:after="120"/>
      <w:ind w:left="420" w:leftChars="200"/>
    </w:pPr>
  </w:style>
  <w:style w:type="paragraph" w:customStyle="1" w:styleId="82">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3">
    <w:name w:val="纯文本2"/>
    <w:basedOn w:val="77"/>
    <w:qFormat/>
    <w:uiPriority w:val="0"/>
    <w:rPr>
      <w:rFonts w:ascii="宋体" w:hAnsi="Courier New"/>
      <w:szCs w:val="20"/>
    </w:rPr>
  </w:style>
  <w:style w:type="character" w:customStyle="1" w:styleId="84">
    <w:name w:val="font141"/>
    <w:qFormat/>
    <w:uiPriority w:val="0"/>
    <w:rPr>
      <w:rFonts w:hint="default" w:ascii="Times New Roman" w:hAnsi="Times New Roman" w:cs="Times New Roman"/>
      <w:color w:val="000000"/>
      <w:sz w:val="18"/>
      <w:szCs w:val="18"/>
      <w:u w:val="none"/>
    </w:rPr>
  </w:style>
  <w:style w:type="character" w:customStyle="1" w:styleId="85">
    <w:name w:val="font71"/>
    <w:qFormat/>
    <w:uiPriority w:val="0"/>
    <w:rPr>
      <w:rFonts w:hint="eastAsia" w:ascii="宋体" w:hAnsi="宋体" w:eastAsia="宋体" w:cs="宋体"/>
      <w:color w:val="000000"/>
      <w:sz w:val="18"/>
      <w:szCs w:val="18"/>
      <w:u w:val="none"/>
    </w:rPr>
  </w:style>
  <w:style w:type="paragraph" w:customStyle="1" w:styleId="86">
    <w:name w:val="保留正文"/>
    <w:basedOn w:val="2"/>
    <w:qFormat/>
    <w:uiPriority w:val="0"/>
    <w:pPr>
      <w:keepNext/>
      <w:adjustRightInd/>
      <w:spacing w:after="160"/>
      <w:jc w:val="both"/>
    </w:pPr>
    <w:rPr>
      <w:rFonts w:ascii="Times New Roman"/>
      <w:sz w:val="21"/>
      <w:szCs w:val="24"/>
      <w:lang w:val="en-US"/>
    </w:rPr>
  </w:style>
  <w:style w:type="paragraph" w:customStyle="1" w:styleId="87">
    <w:name w:val="样式3"/>
    <w:basedOn w:val="18"/>
    <w:qFormat/>
    <w:uiPriority w:val="0"/>
    <w:pPr>
      <w:ind w:left="0"/>
      <w:jc w:val="left"/>
    </w:pPr>
    <w:rPr>
      <w:rFonts w:ascii="宋体" w:hAnsi="宋体"/>
      <w:b/>
      <w:bCs/>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105</Pages>
  <Words>46127</Words>
  <Characters>47711</Characters>
  <Lines>422</Lines>
  <Paragraphs>118</Paragraphs>
  <TotalTime>92</TotalTime>
  <ScaleCrop>false</ScaleCrop>
  <LinksUpToDate>false</LinksUpToDate>
  <CharactersWithSpaces>49327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2023-09-25T17:17:00Z</dcterms:created>
  <dc:creator>MyPC</dc:creator>
  <cp:lastModifiedBy>xxy</cp:lastModifiedBy>
  <cp:lastPrinted>2022-12-01T14:09:00Z</cp:lastPrinted>
  <dcterms:modified xsi:type="dcterms:W3CDTF">2023-09-28T02:45:02Z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CC62E13A67604475B9644CED515DFBE4_13</vt:lpwstr>
  </property>
</Properties>
</file>