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26"/>
        <w:jc w:val="center"/>
        <w:textAlignment w:val="bottom"/>
        <w:rPr>
          <w:rFonts w:hAnsi="宋体"/>
          <w:b/>
          <w:color w:val="auto"/>
          <w:sz w:val="72"/>
          <w:highlight w:val="none"/>
        </w:rPr>
      </w:pPr>
    </w:p>
    <w:p>
      <w:pPr>
        <w:widowControl/>
        <w:spacing w:line="360" w:lineRule="auto"/>
        <w:ind w:right="-26"/>
        <w:jc w:val="center"/>
        <w:textAlignment w:val="bottom"/>
        <w:rPr>
          <w:rFonts w:hAnsi="宋体"/>
          <w:b/>
          <w:color w:val="auto"/>
          <w:sz w:val="72"/>
          <w:highlight w:val="none"/>
        </w:rPr>
      </w:pPr>
    </w:p>
    <w:p>
      <w:pPr>
        <w:snapToGrid w:val="0"/>
        <w:jc w:val="center"/>
        <w:rPr>
          <w:rFonts w:ascii="黑体" w:hAnsi="华文中宋" w:eastAsia="黑体" w:cs="华文中宋"/>
          <w:b/>
          <w:bCs/>
          <w:color w:val="auto"/>
          <w:sz w:val="72"/>
          <w:szCs w:val="72"/>
          <w:highlight w:val="none"/>
        </w:rPr>
      </w:pPr>
      <w:r>
        <w:rPr>
          <w:rFonts w:hint="eastAsia" w:ascii="黑体" w:hAnsi="华文中宋" w:eastAsia="黑体" w:cs="华文中宋"/>
          <w:b/>
          <w:bCs/>
          <w:color w:val="auto"/>
          <w:sz w:val="72"/>
          <w:szCs w:val="72"/>
          <w:highlight w:val="none"/>
        </w:rPr>
        <w:t>竞争性磋商文件</w:t>
      </w: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r>
        <w:rPr>
          <w:color w:val="auto"/>
          <w:sz w:val="44"/>
          <w:highlight w:val="none"/>
        </w:rPr>
        <mc:AlternateContent>
          <mc:Choice Requires="wps">
            <w:drawing>
              <wp:anchor distT="0" distB="0" distL="114300" distR="114300" simplePos="0" relativeHeight="251663360" behindDoc="1" locked="0" layoutInCell="1" allowOverlap="1">
                <wp:simplePos x="0" y="0"/>
                <wp:positionH relativeFrom="column">
                  <wp:posOffset>300990</wp:posOffset>
                </wp:positionH>
                <wp:positionV relativeFrom="paragraph">
                  <wp:posOffset>213995</wp:posOffset>
                </wp:positionV>
                <wp:extent cx="4610735" cy="1819275"/>
                <wp:effectExtent l="0" t="0" r="18415" b="9525"/>
                <wp:wrapNone/>
                <wp:docPr id="3" name="文本框 6"/>
                <wp:cNvGraphicFramePr/>
                <a:graphic xmlns:a="http://schemas.openxmlformats.org/drawingml/2006/main">
                  <a:graphicData uri="http://schemas.microsoft.com/office/word/2010/wordprocessingShape">
                    <wps:wsp>
                      <wps:cNvSpPr txBox="1"/>
                      <wps:spPr>
                        <a:xfrm>
                          <a:off x="0" y="0"/>
                          <a:ext cx="4610735" cy="1819275"/>
                        </a:xfrm>
                        <a:prstGeom prst="rect">
                          <a:avLst/>
                        </a:prstGeom>
                        <a:gradFill rotWithShape="0">
                          <a:gsLst>
                            <a:gs pos="0">
                              <a:srgbClr val="FFFFFF"/>
                            </a:gs>
                            <a:gs pos="100000">
                              <a:srgbClr val="FFFFFF"/>
                            </a:gs>
                          </a:gsLst>
                          <a:lin ang="0"/>
                          <a:tileRect/>
                        </a:gradFill>
                        <a:ln w="15875">
                          <a:noFill/>
                        </a:ln>
                        <a:effectLst/>
                      </wps:spPr>
                      <wps:txbx>
                        <w:txbxContent>
                          <w:p>
                            <w:pPr>
                              <w:widowControl/>
                              <w:spacing w:line="360" w:lineRule="auto"/>
                              <w:ind w:left="1606" w:right="-26" w:hanging="1606" w:hangingChars="500"/>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项目名称：</w:t>
                            </w:r>
                            <w:r>
                              <w:rPr>
                                <w:rFonts w:hint="eastAsia" w:ascii="黑体" w:hAnsi="黑体" w:eastAsia="黑体" w:cs="黑体"/>
                                <w:b/>
                                <w:color w:val="auto"/>
                                <w:sz w:val="32"/>
                                <w:lang w:eastAsia="zh-CN"/>
                              </w:rPr>
                              <w:t>莞番高速（寮步段）垃圾填埋场治理项目土地复垦工程</w:t>
                            </w:r>
                          </w:p>
                          <w:p>
                            <w:pPr>
                              <w:widowControl/>
                              <w:spacing w:line="360" w:lineRule="auto"/>
                              <w:ind w:right="-26"/>
                              <w:jc w:val="both"/>
                              <w:textAlignment w:val="bottom"/>
                              <w:rPr>
                                <w:rFonts w:hint="eastAsia" w:ascii="黑体" w:hAnsi="黑体" w:eastAsia="黑体" w:cs="黑体"/>
                                <w:b/>
                                <w:color w:val="auto"/>
                                <w:sz w:val="32"/>
                                <w:highlight w:val="yellow"/>
                                <w:lang w:eastAsia="zh-CN"/>
                              </w:rPr>
                            </w:pPr>
                            <w:r>
                              <w:rPr>
                                <w:rFonts w:hint="eastAsia" w:ascii="黑体" w:hAnsi="黑体" w:eastAsia="黑体" w:cs="黑体"/>
                                <w:b/>
                                <w:color w:val="auto"/>
                                <w:sz w:val="32"/>
                                <w:highlight w:val="none"/>
                              </w:rPr>
                              <w:t>项目编号：DSKN(2022)-LB-GC-001</w:t>
                            </w:r>
                          </w:p>
                          <w:p>
                            <w:pPr>
                              <w:widowControl/>
                              <w:spacing w:line="360" w:lineRule="auto"/>
                              <w:ind w:right="-26"/>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采 购 人：</w:t>
                            </w:r>
                            <w:r>
                              <w:rPr>
                                <w:rFonts w:hint="eastAsia" w:ascii="黑体" w:hAnsi="黑体" w:eastAsia="黑体" w:cs="黑体"/>
                                <w:b/>
                                <w:color w:val="auto"/>
                                <w:sz w:val="32"/>
                                <w:lang w:eastAsia="zh-CN"/>
                              </w:rPr>
                              <w:t>广东东实开能能源有限公司</w:t>
                            </w:r>
                          </w:p>
                          <w:p/>
                        </w:txbxContent>
                      </wps:txbx>
                      <wps:bodyPr upright="1"/>
                    </wps:wsp>
                  </a:graphicData>
                </a:graphic>
              </wp:anchor>
            </w:drawing>
          </mc:Choice>
          <mc:Fallback>
            <w:pict>
              <v:shape id="文本框 6" o:spid="_x0000_s1026" o:spt="202" type="#_x0000_t202" style="position:absolute;left:0pt;margin-left:23.7pt;margin-top:16.85pt;height:143.25pt;width:363.05pt;z-index:-251653120;mso-width-relative:page;mso-height-relative:page;" fillcolor="#FFFFFF" filled="t" stroked="f" coordsize="21600,21600" o:gfxdata="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y7cg2gAAAAkBAAAPAAAAAAAAAAEAIAAAACIAAABk&#10;cnMvZG93bnJldi54bWxQSwECFAAUAAAACACHTuJA77QYxwQCAAAXBAAADgAAAAAAAAABACAAAAAp&#10;AQAAZHJzL2Uyb0RvYy54bWxQSwUGAAAAAAYABgBZAQAAnwUAAAAA&#10;">
                <v:fill type="gradient" on="t" color2="#FFFFFF" angle="90" focus="100%" focussize="0,0">
                  <o:fill type="gradientUnscaled" v:ext="backwardCompatible"/>
                </v:fill>
                <v:stroke on="f" weight="1.25pt"/>
                <v:imagedata o:title=""/>
                <o:lock v:ext="edit" aspectratio="f"/>
                <v:textbox>
                  <w:txbxContent>
                    <w:p>
                      <w:pPr>
                        <w:widowControl/>
                        <w:spacing w:line="360" w:lineRule="auto"/>
                        <w:ind w:left="1606" w:right="-26" w:hanging="1606" w:hangingChars="500"/>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项目名称：</w:t>
                      </w:r>
                      <w:r>
                        <w:rPr>
                          <w:rFonts w:hint="eastAsia" w:ascii="黑体" w:hAnsi="黑体" w:eastAsia="黑体" w:cs="黑体"/>
                          <w:b/>
                          <w:color w:val="auto"/>
                          <w:sz w:val="32"/>
                          <w:lang w:eastAsia="zh-CN"/>
                        </w:rPr>
                        <w:t>莞番高速（寮步段）垃圾填埋场治理项目土地复垦工程</w:t>
                      </w:r>
                    </w:p>
                    <w:p>
                      <w:pPr>
                        <w:widowControl/>
                        <w:spacing w:line="360" w:lineRule="auto"/>
                        <w:ind w:right="-26"/>
                        <w:jc w:val="both"/>
                        <w:textAlignment w:val="bottom"/>
                        <w:rPr>
                          <w:rFonts w:hint="eastAsia" w:ascii="黑体" w:hAnsi="黑体" w:eastAsia="黑体" w:cs="黑体"/>
                          <w:b/>
                          <w:color w:val="auto"/>
                          <w:sz w:val="32"/>
                          <w:highlight w:val="yellow"/>
                          <w:lang w:eastAsia="zh-CN"/>
                        </w:rPr>
                      </w:pPr>
                      <w:r>
                        <w:rPr>
                          <w:rFonts w:hint="eastAsia" w:ascii="黑体" w:hAnsi="黑体" w:eastAsia="黑体" w:cs="黑体"/>
                          <w:b/>
                          <w:color w:val="auto"/>
                          <w:sz w:val="32"/>
                          <w:highlight w:val="none"/>
                        </w:rPr>
                        <w:t>项目编号：DSKN(2022)-LB-GC-001</w:t>
                      </w:r>
                    </w:p>
                    <w:p>
                      <w:pPr>
                        <w:widowControl/>
                        <w:spacing w:line="360" w:lineRule="auto"/>
                        <w:ind w:right="-26"/>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采 购 人：</w:t>
                      </w:r>
                      <w:r>
                        <w:rPr>
                          <w:rFonts w:hint="eastAsia" w:ascii="黑体" w:hAnsi="黑体" w:eastAsia="黑体" w:cs="黑体"/>
                          <w:b/>
                          <w:color w:val="auto"/>
                          <w:sz w:val="32"/>
                          <w:lang w:eastAsia="zh-CN"/>
                        </w:rPr>
                        <w:t>广东东实开能能源有限公司</w:t>
                      </w:r>
                    </w:p>
                    <w:p/>
                  </w:txbxContent>
                </v:textbox>
              </v:shape>
            </w:pict>
          </mc:Fallback>
        </mc:AlternateContent>
      </w: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textAlignment w:val="bottom"/>
        <w:rPr>
          <w:rFonts w:hAnsi="宋体"/>
          <w:b/>
          <w:color w:val="auto"/>
          <w:sz w:val="32"/>
          <w:highlight w:val="none"/>
        </w:rPr>
      </w:pPr>
      <w:r>
        <w:rPr>
          <w:rFonts w:hint="eastAsia" w:hAnsi="宋体"/>
          <w:bCs/>
          <w:color w:val="auto"/>
          <w:sz w:val="21"/>
          <w:szCs w:val="21"/>
          <w:highlight w:val="none"/>
        </w:rPr>
        <w:drawing>
          <wp:anchor distT="0" distB="0" distL="114300" distR="114300" simplePos="0" relativeHeight="251659264"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noChangeArrowheads="1"/>
                    </pic:cNvPicPr>
                  </pic:nvPicPr>
                  <pic:blipFill>
                    <a:blip r:embed="rId18" cstate="print"/>
                    <a:srcRect/>
                    <a:stretch>
                      <a:fillRect/>
                    </a:stretch>
                  </pic:blipFill>
                  <pic:spPr>
                    <a:xfrm>
                      <a:off x="0" y="0"/>
                      <a:ext cx="977900" cy="977900"/>
                    </a:xfrm>
                    <a:prstGeom prst="rect">
                      <a:avLst/>
                    </a:prstGeom>
                    <a:noFill/>
                    <a:ln w="9525" cmpd="sng">
                      <a:noFill/>
                      <a:miter lim="800000"/>
                      <a:headEnd/>
                      <a:tailEnd/>
                    </a:ln>
                    <a:effectLst/>
                  </pic:spPr>
                </pic:pic>
              </a:graphicData>
            </a:graphic>
          </wp:anchor>
        </w:drawing>
      </w:r>
    </w:p>
    <w:p>
      <w:pPr>
        <w:widowControl/>
        <w:spacing w:line="360" w:lineRule="auto"/>
        <w:ind w:right="-26" w:firstLine="2249" w:firstLineChars="700"/>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广东泰通伟业工程咨询有限公司 </w:t>
      </w:r>
    </w:p>
    <w:p>
      <w:pPr>
        <w:widowControl/>
        <w:spacing w:line="360" w:lineRule="auto"/>
        <w:ind w:right="-26" w:hanging="480"/>
        <w:jc w:val="center"/>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    二〇二</w:t>
      </w:r>
      <w:r>
        <w:rPr>
          <w:rFonts w:hint="eastAsia" w:ascii="黑体" w:hAnsi="黑体" w:eastAsia="黑体" w:cs="黑体"/>
          <w:b/>
          <w:color w:val="auto"/>
          <w:sz w:val="32"/>
          <w:highlight w:val="none"/>
          <w:lang w:val="en-US" w:eastAsia="zh-CN"/>
        </w:rPr>
        <w:t>二</w:t>
      </w:r>
      <w:r>
        <w:rPr>
          <w:rFonts w:hint="eastAsia" w:ascii="黑体" w:hAnsi="黑体" w:eastAsia="黑体" w:cs="黑体"/>
          <w:b/>
          <w:color w:val="auto"/>
          <w:sz w:val="32"/>
          <w:highlight w:val="none"/>
        </w:rPr>
        <w:t>年</w:t>
      </w:r>
      <w:r>
        <w:rPr>
          <w:rFonts w:hint="eastAsia" w:ascii="黑体" w:hAnsi="黑体" w:eastAsia="黑体" w:cs="黑体"/>
          <w:b/>
          <w:color w:val="auto"/>
          <w:sz w:val="32"/>
          <w:highlight w:val="none"/>
          <w:lang w:val="en-US" w:eastAsia="zh-CN"/>
        </w:rPr>
        <w:t>十</w:t>
      </w:r>
      <w:r>
        <w:rPr>
          <w:rFonts w:hint="eastAsia" w:ascii="黑体" w:hAnsi="黑体" w:eastAsia="黑体" w:cs="黑体"/>
          <w:b/>
          <w:color w:val="auto"/>
          <w:sz w:val="32"/>
          <w:highlight w:val="none"/>
        </w:rPr>
        <w:t>月</w:t>
      </w: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jc w:val="both"/>
        <w:rPr>
          <w:rFonts w:hAnsi="宋体"/>
          <w:color w:val="auto"/>
          <w:highlight w:val="none"/>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Borders>
            <w:top w:val="none" w:sz="0" w:space="0"/>
            <w:left w:val="none" w:sz="0" w:space="0"/>
            <w:bottom w:val="none" w:sz="0" w:space="0"/>
            <w:right w:val="none" w:sz="0" w:space="0"/>
          </w:pgBorders>
          <w:pgNumType w:start="0"/>
          <w:cols w:space="720" w:num="1"/>
          <w:docGrid w:type="lines" w:linePitch="312" w:charSpace="0"/>
        </w:sectPr>
      </w:pPr>
      <w:bookmarkStart w:id="0" w:name="_Toc13507"/>
    </w:p>
    <w:bookmarkEnd w:id="0"/>
    <w:p>
      <w:pPr>
        <w:spacing w:line="360" w:lineRule="auto"/>
        <w:ind w:left="48" w:leftChars="20"/>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温馨提示</w:t>
      </w:r>
    </w:p>
    <w:p>
      <w:pPr>
        <w:jc w:val="center"/>
        <w:rPr>
          <w:rFonts w:ascii="黑体" w:hAnsi="黑体" w:eastAsia="黑体" w:cs="黑体"/>
          <w:color w:val="auto"/>
          <w:highlight w:val="none"/>
        </w:rPr>
      </w:pPr>
      <w:r>
        <w:rPr>
          <w:rFonts w:hint="eastAsia" w:ascii="黑体" w:hAnsi="黑体" w:eastAsia="黑体" w:cs="黑体"/>
          <w:color w:val="auto"/>
          <w:highlight w:val="none"/>
        </w:rPr>
        <w:t>（本提示内容非磋商文件的组成部分，仅为善意提醒。如有不一致，以磋商文件为准）</w:t>
      </w:r>
    </w:p>
    <w:p>
      <w:pPr>
        <w:spacing w:line="360" w:lineRule="auto"/>
        <w:ind w:left="48" w:leftChars="20"/>
        <w:jc w:val="center"/>
        <w:rPr>
          <w:rFonts w:ascii="黑体" w:hAnsi="黑体" w:eastAsia="黑体" w:cs="黑体"/>
          <w:color w:val="auto"/>
          <w:sz w:val="32"/>
          <w:szCs w:val="32"/>
          <w:highlight w:val="none"/>
        </w:rPr>
      </w:pP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磋商截止时间一到，采购代理机构不接收供应商的任何相关磋商资料、文件。为此，请适当提前到达。</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请正确填写《</w:t>
      </w:r>
      <w:r>
        <w:rPr>
          <w:rFonts w:hint="eastAsia" w:ascii="黑体" w:hAnsi="黑体" w:eastAsia="黑体" w:cs="黑体"/>
          <w:color w:val="auto"/>
          <w:highlight w:val="none"/>
          <w:lang w:eastAsia="zh-CN"/>
        </w:rPr>
        <w:t>报价</w:t>
      </w:r>
      <w:r>
        <w:rPr>
          <w:rFonts w:hint="eastAsia" w:ascii="黑体" w:hAnsi="黑体" w:eastAsia="黑体" w:cs="黑体"/>
          <w:color w:val="auto"/>
          <w:highlight w:val="none"/>
        </w:rPr>
        <w:t>一览表》。多子包项目请仔细检查子包号，子包号与子包名称必须对应。</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请仔细检查磋商响应文件是否已按磋商文件要求盖章、签名、签署日期。</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磋商响应文件应按顺序编制页码。</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如所投产品属于许可证管理范围内的，须提交相应的许可证复印件。</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如需供应商支付的各种费用，如磋商文件售价、工程图纸押金、保证金和</w:t>
      </w:r>
      <w:r>
        <w:rPr>
          <w:rFonts w:hint="eastAsia" w:ascii="黑体" w:hAnsi="黑体" w:eastAsia="黑体" w:cs="黑体"/>
          <w:color w:val="auto"/>
          <w:highlight w:val="none"/>
          <w:lang w:eastAsia="zh-CN"/>
        </w:rPr>
        <w:t>采购</w:t>
      </w:r>
      <w:r>
        <w:rPr>
          <w:rFonts w:hint="eastAsia" w:ascii="黑体" w:hAnsi="黑体" w:eastAsia="黑体" w:cs="黑体"/>
          <w:color w:val="auto"/>
          <w:highlight w:val="none"/>
        </w:rPr>
        <w:t>代理服务费等，磋商文件将书面详细告知，请供应商按磋商文件规定的方式和金额支付。</w:t>
      </w: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pStyle w:val="14"/>
        <w:rPr>
          <w:rFonts w:hAnsi="宋体"/>
          <w:b/>
          <w:bCs/>
          <w:color w:val="auto"/>
          <w:sz w:val="32"/>
          <w:szCs w:val="32"/>
          <w:highlight w:val="none"/>
          <w:lang w:val="zh-CN"/>
        </w:rPr>
      </w:pPr>
    </w:p>
    <w:p>
      <w:pPr>
        <w:pStyle w:val="14"/>
        <w:rPr>
          <w:rFonts w:hAnsi="宋体"/>
          <w:b/>
          <w:bCs/>
          <w:color w:val="auto"/>
          <w:sz w:val="32"/>
          <w:szCs w:val="32"/>
          <w:highlight w:val="none"/>
          <w:lang w:val="zh-CN"/>
        </w:rPr>
      </w:pPr>
    </w:p>
    <w:p>
      <w:pPr>
        <w:jc w:val="center"/>
        <w:rPr>
          <w:rFonts w:hAnsi="宋体"/>
          <w:b/>
          <w:bCs/>
          <w:color w:val="auto"/>
          <w:sz w:val="32"/>
          <w:szCs w:val="32"/>
          <w:highlight w:val="none"/>
          <w:lang w:val="zh-CN"/>
        </w:rPr>
        <w:sectPr>
          <w:headerReference r:id="rId7" w:type="default"/>
          <w:footerReference r:id="rId8" w:type="default"/>
          <w:pgSz w:w="11910" w:h="16840"/>
          <w:pgMar w:top="1440" w:right="1080" w:bottom="1440" w:left="1080" w:header="720" w:footer="689" w:gutter="0"/>
          <w:pgNumType w:fmt="decimal" w:start="2"/>
          <w:cols w:space="720" w:num="1"/>
        </w:sectPr>
      </w:pPr>
    </w:p>
    <w:p>
      <w:pPr>
        <w:jc w:val="center"/>
        <w:rPr>
          <w:rFonts w:hAnsi="宋体"/>
          <w:b/>
          <w:bCs/>
          <w:color w:val="auto"/>
          <w:sz w:val="32"/>
          <w:szCs w:val="32"/>
          <w:highlight w:val="none"/>
          <w:lang w:val="zh-CN"/>
        </w:rPr>
      </w:pPr>
      <w:r>
        <w:rPr>
          <w:rFonts w:hAnsi="宋体"/>
          <w:b/>
          <w:bCs/>
          <w:color w:val="auto"/>
          <w:sz w:val="32"/>
          <w:szCs w:val="32"/>
          <w:highlight w:val="none"/>
          <w:lang w:val="zh-CN"/>
        </w:rPr>
        <w:t>目录</w:t>
      </w:r>
      <w:bookmarkStart w:id="1" w:name="_Toc396137229"/>
    </w:p>
    <w:p>
      <w:pPr>
        <w:pStyle w:val="36"/>
        <w:widowControl w:val="0"/>
        <w:tabs>
          <w:tab w:val="right" w:leader="dot" w:pos="9639"/>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aps/>
          <w:color w:val="auto"/>
          <w:sz w:val="24"/>
          <w:szCs w:val="24"/>
          <w:highlight w:val="none"/>
        </w:rPr>
        <w:fldChar w:fldCharType="begin"/>
      </w:r>
      <w:r>
        <w:rPr>
          <w:rStyle w:val="59"/>
          <w:rFonts w:hint="eastAsia" w:ascii="宋体" w:hAnsi="宋体" w:eastAsia="宋体" w:cs="宋体"/>
          <w:b/>
          <w:bCs/>
          <w:caps/>
          <w:color w:val="auto"/>
          <w:sz w:val="24"/>
          <w:szCs w:val="24"/>
          <w:highlight w:val="none"/>
        </w:rPr>
        <w:instrText xml:space="preserve"> TOC \o "1-3" \h \z \u </w:instrText>
      </w:r>
      <w:r>
        <w:rPr>
          <w:rFonts w:hint="eastAsia" w:ascii="宋体" w:hAnsi="宋体" w:eastAsia="宋体" w:cs="宋体"/>
          <w:b/>
          <w:bCs/>
          <w:caps/>
          <w:color w:val="auto"/>
          <w:sz w:val="24"/>
          <w:szCs w:val="24"/>
          <w:highlight w:val="none"/>
        </w:rPr>
        <w:fldChar w:fldCharType="separate"/>
      </w:r>
      <w:r>
        <w:rPr>
          <w:rFonts w:hint="eastAsia" w:ascii="宋体" w:hAnsi="宋体" w:eastAsia="宋体" w:cs="宋体"/>
          <w:bCs/>
          <w:caps/>
          <w:color w:val="auto"/>
          <w:sz w:val="24"/>
          <w:szCs w:val="24"/>
          <w:highlight w:val="none"/>
        </w:rPr>
        <w:fldChar w:fldCharType="begin"/>
      </w:r>
      <w:r>
        <w:rPr>
          <w:rFonts w:hint="eastAsia" w:ascii="宋体" w:hAnsi="宋体" w:eastAsia="宋体" w:cs="宋体"/>
          <w:bCs/>
          <w:caps/>
          <w:color w:val="auto"/>
          <w:sz w:val="24"/>
          <w:szCs w:val="24"/>
          <w:highlight w:val="none"/>
        </w:rPr>
        <w:instrText xml:space="preserve"> HYPERLINK \l _Toc5593 </w:instrText>
      </w:r>
      <w:r>
        <w:rPr>
          <w:rFonts w:hint="eastAsia" w:ascii="宋体" w:hAnsi="宋体" w:eastAsia="宋体" w:cs="宋体"/>
          <w:bCs/>
          <w:caps/>
          <w:color w:val="auto"/>
          <w:sz w:val="24"/>
          <w:szCs w:val="24"/>
          <w:highlight w:val="none"/>
        </w:rPr>
        <w:fldChar w:fldCharType="separate"/>
      </w:r>
      <w:r>
        <w:rPr>
          <w:rFonts w:hint="eastAsia" w:ascii="宋体" w:hAnsi="宋体" w:eastAsia="宋体" w:cs="宋体"/>
          <w:bCs/>
          <w:color w:val="auto"/>
          <w:kern w:val="44"/>
          <w:sz w:val="24"/>
          <w:szCs w:val="24"/>
          <w:highlight w:val="none"/>
          <w:lang w:val="zh-CN"/>
        </w:rPr>
        <w:t xml:space="preserve">第一篇 </w:t>
      </w:r>
      <w:r>
        <w:rPr>
          <w:rFonts w:hint="eastAsia" w:ascii="宋体" w:hAnsi="宋体" w:eastAsia="宋体" w:cs="宋体"/>
          <w:bCs/>
          <w:color w:val="auto"/>
          <w:kern w:val="44"/>
          <w:sz w:val="24"/>
          <w:szCs w:val="24"/>
          <w:highlight w:val="none"/>
        </w:rPr>
        <w:t>磋商邀请书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_Toc5593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bCs/>
          <w:caps/>
          <w:color w:val="auto"/>
          <w:sz w:val="24"/>
          <w:szCs w:val="24"/>
          <w:highlight w:val="none"/>
        </w:rPr>
        <w:fldChar w:fldCharType="end"/>
      </w:r>
    </w:p>
    <w:p>
      <w:pPr>
        <w:pStyle w:val="36"/>
        <w:widowControl w:val="0"/>
        <w:tabs>
          <w:tab w:val="right" w:leader="dot" w:pos="9639"/>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_Toc13594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zh-CN"/>
        </w:rPr>
        <w:t>第二篇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_Toc13594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6"/>
        <w:widowControl w:val="0"/>
        <w:tabs>
          <w:tab w:val="right" w:leader="dot" w:pos="9639"/>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_Toc16785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zh-CN"/>
        </w:rPr>
        <w:t>第三篇 用户需求书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_Toc16785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6"/>
        <w:widowControl w:val="0"/>
        <w:tabs>
          <w:tab w:val="right" w:leader="dot" w:pos="9639"/>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_Toc29817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zh-CN"/>
        </w:rPr>
        <w:t>第四篇 评审工作大纲</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_Toc29817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6"/>
        <w:widowControl w:val="0"/>
        <w:tabs>
          <w:tab w:val="right" w:leader="dot" w:pos="9639"/>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_Toc28639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 xml:space="preserve">第五篇 </w:t>
      </w:r>
      <w:r>
        <w:rPr>
          <w:rFonts w:hint="eastAsia" w:ascii="宋体" w:hAnsi="宋体" w:eastAsia="宋体" w:cs="宋体"/>
          <w:bCs/>
          <w:color w:val="auto"/>
          <w:kern w:val="44"/>
          <w:sz w:val="24"/>
          <w:szCs w:val="24"/>
          <w:highlight w:val="none"/>
          <w:lang w:val="zh-CN"/>
        </w:rPr>
        <w:t>合同条款格式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_Toc28639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6"/>
        <w:widowControl w:val="0"/>
        <w:tabs>
          <w:tab w:val="right" w:leader="dot" w:pos="9639"/>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_Toc19235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zh-CN"/>
        </w:rPr>
        <w:t>第六篇</w:t>
      </w:r>
      <w:r>
        <w:rPr>
          <w:rFonts w:hint="eastAsia" w:ascii="宋体" w:hAnsi="宋体" w:eastAsia="宋体" w:cs="宋体"/>
          <w:bCs/>
          <w:color w:val="auto"/>
          <w:kern w:val="44"/>
          <w:sz w:val="24"/>
          <w:szCs w:val="24"/>
          <w:highlight w:val="none"/>
          <w:lang w:val="en-US" w:eastAsia="zh-CN"/>
        </w:rPr>
        <w:t xml:space="preserve"> </w:t>
      </w:r>
      <w:r>
        <w:rPr>
          <w:rFonts w:hint="eastAsia" w:ascii="宋体" w:hAnsi="宋体" w:eastAsia="宋体" w:cs="宋体"/>
          <w:bCs/>
          <w:color w:val="auto"/>
          <w:kern w:val="44"/>
          <w:sz w:val="24"/>
          <w:szCs w:val="24"/>
          <w:highlight w:val="none"/>
          <w:lang w:val="zh-CN"/>
        </w:rPr>
        <w:t>磋商响应文件格式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_Toc19235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
        <w:keepNext/>
        <w:keepLines/>
        <w:pageBreakBefore/>
        <w:widowControl w:val="0"/>
        <w:numPr>
          <w:ilvl w:val="0"/>
          <w:numId w:val="10"/>
        </w:numPr>
        <w:tabs>
          <w:tab w:val="left" w:pos="1080"/>
        </w:tabs>
        <w:kinsoku/>
        <w:wordWrap/>
        <w:overflowPunct/>
        <w:topLinePunct w:val="0"/>
        <w:autoSpaceDE w:val="0"/>
        <w:autoSpaceDN w:val="0"/>
        <w:bidi w:val="0"/>
        <w:adjustRightInd w:val="0"/>
        <w:snapToGrid/>
        <w:spacing w:line="360" w:lineRule="auto"/>
        <w:ind w:left="1078" w:hanging="1077" w:hangingChars="449"/>
        <w:jc w:val="center"/>
        <w:textAlignment w:val="auto"/>
        <w:rPr>
          <w:rFonts w:hAnsi="宋体"/>
          <w:b/>
          <w:bCs/>
          <w:color w:val="auto"/>
          <w:kern w:val="44"/>
          <w:sz w:val="28"/>
          <w:szCs w:val="28"/>
          <w:highlight w:val="none"/>
          <w:lang w:val="zh-CN"/>
        </w:rPr>
      </w:pPr>
      <w:r>
        <w:rPr>
          <w:rFonts w:hint="eastAsia" w:ascii="宋体" w:hAnsi="宋体" w:eastAsia="宋体" w:cs="宋体"/>
          <w:color w:val="auto"/>
          <w:sz w:val="24"/>
          <w:szCs w:val="24"/>
          <w:highlight w:val="none"/>
        </w:rPr>
        <w:fldChar w:fldCharType="end"/>
      </w:r>
      <w:bookmarkEnd w:id="1"/>
      <w:bookmarkStart w:id="2" w:name="_Toc5593"/>
      <w:r>
        <w:rPr>
          <w:rFonts w:hint="eastAsia" w:hAnsi="宋体"/>
          <w:b/>
          <w:bCs/>
          <w:color w:val="auto"/>
          <w:kern w:val="44"/>
          <w:sz w:val="28"/>
          <w:szCs w:val="28"/>
          <w:highlight w:val="none"/>
        </w:rPr>
        <w:t>磋商邀请书</w:t>
      </w:r>
      <w:bookmarkEnd w:id="2"/>
    </w:p>
    <w:p>
      <w:pPr>
        <w:widowControl/>
        <w:tabs>
          <w:tab w:val="left" w:pos="-360"/>
        </w:tabs>
        <w:adjustRightInd/>
        <w:spacing w:line="360" w:lineRule="auto"/>
        <w:ind w:right="-34" w:firstLine="420" w:firstLineChars="200"/>
        <w:jc w:val="both"/>
        <w:textAlignment w:val="bottom"/>
        <w:rPr>
          <w:rFonts w:hAnsi="宋体"/>
          <w:color w:val="auto"/>
          <w:sz w:val="21"/>
          <w:szCs w:val="21"/>
          <w:highlight w:val="none"/>
        </w:rPr>
      </w:pPr>
      <w:r>
        <w:rPr>
          <w:rFonts w:hint="eastAsia" w:hAnsi="宋体"/>
          <w:color w:val="auto"/>
          <w:sz w:val="21"/>
          <w:szCs w:val="21"/>
          <w:highlight w:val="none"/>
        </w:rPr>
        <w:t>广东泰通伟业工程咨询有限公司（以下简称“采购代理机构”）受</w:t>
      </w:r>
      <w:r>
        <w:rPr>
          <w:rFonts w:hint="eastAsia" w:hAnsi="宋体"/>
          <w:color w:val="auto"/>
          <w:sz w:val="21"/>
          <w:szCs w:val="21"/>
          <w:highlight w:val="none"/>
          <w:lang w:eastAsia="zh-CN"/>
        </w:rPr>
        <w:t>广东东实开能能源有限公司</w:t>
      </w:r>
      <w:r>
        <w:rPr>
          <w:rFonts w:hint="eastAsia" w:hAnsi="宋体"/>
          <w:color w:val="auto"/>
          <w:sz w:val="21"/>
          <w:szCs w:val="21"/>
          <w:highlight w:val="none"/>
        </w:rPr>
        <w:t>（以下简称“采购人”）的委托，为</w:t>
      </w:r>
      <w:r>
        <w:rPr>
          <w:rFonts w:hint="eastAsia" w:hAnsi="宋体"/>
          <w:color w:val="auto"/>
          <w:sz w:val="21"/>
          <w:szCs w:val="21"/>
          <w:highlight w:val="none"/>
          <w:lang w:eastAsia="zh-CN"/>
        </w:rPr>
        <w:t>莞番高速（寮步段）垃圾填埋场治理项目土地复垦工程</w:t>
      </w:r>
      <w:r>
        <w:rPr>
          <w:rFonts w:hint="eastAsia" w:hAnsi="宋体"/>
          <w:color w:val="auto"/>
          <w:sz w:val="21"/>
          <w:szCs w:val="21"/>
          <w:highlight w:val="none"/>
        </w:rPr>
        <w:t xml:space="preserve"> (项目编号：DSKN(2022)-LB-GC-001) 采购所需的服务。本项目采用竞争性磋商采购方式，欢迎合格供应商就本项目提交密封磋商。</w:t>
      </w:r>
      <w:bookmarkStart w:id="367" w:name="_GoBack"/>
      <w:bookmarkEnd w:id="367"/>
    </w:p>
    <w:p>
      <w:pPr>
        <w:widowControl/>
        <w:numPr>
          <w:ilvl w:val="0"/>
          <w:numId w:val="11"/>
        </w:numPr>
        <w:adjustRightInd/>
        <w:spacing w:line="360" w:lineRule="auto"/>
        <w:rPr>
          <w:rFonts w:hAnsi="宋体"/>
          <w:color w:val="auto"/>
          <w:sz w:val="21"/>
          <w:szCs w:val="21"/>
          <w:highlight w:val="none"/>
        </w:rPr>
      </w:pPr>
      <w:r>
        <w:rPr>
          <w:rFonts w:hint="eastAsia" w:hAnsi="宋体"/>
          <w:b/>
          <w:bCs/>
          <w:color w:val="auto"/>
          <w:kern w:val="28"/>
          <w:sz w:val="21"/>
          <w:szCs w:val="21"/>
          <w:highlight w:val="none"/>
        </w:rPr>
        <w:t>邀请合格供应商就下列所有服务提交密封磋商：</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项目名称：</w:t>
      </w:r>
      <w:r>
        <w:rPr>
          <w:rFonts w:hint="eastAsia" w:hAnsi="宋体"/>
          <w:color w:val="auto"/>
          <w:sz w:val="21"/>
          <w:szCs w:val="21"/>
          <w:highlight w:val="none"/>
          <w:lang w:eastAsia="zh-CN"/>
        </w:rPr>
        <w:t>莞番高速（寮步段）垃圾填埋场治理项目土地复垦工程。</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项目编号：DSKN(2022)-LB-GC-001</w:t>
      </w:r>
      <w:r>
        <w:rPr>
          <w:rFonts w:hint="eastAsia" w:hAnsi="宋体"/>
          <w:color w:val="auto"/>
          <w:sz w:val="21"/>
          <w:szCs w:val="21"/>
          <w:highlight w:val="none"/>
          <w:lang w:eastAsia="zh-CN"/>
        </w:rPr>
        <w:t>。</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项目预算金额</w:t>
      </w:r>
      <w:r>
        <w:rPr>
          <w:rFonts w:hint="eastAsia" w:hAnsi="宋体"/>
          <w:color w:val="auto"/>
          <w:sz w:val="21"/>
          <w:szCs w:val="21"/>
          <w:highlight w:val="none"/>
          <w:lang w:eastAsia="zh-CN"/>
        </w:rPr>
        <w:t>（</w:t>
      </w:r>
      <w:r>
        <w:rPr>
          <w:rFonts w:hint="eastAsia" w:hAnsi="宋体"/>
          <w:color w:val="auto"/>
          <w:sz w:val="21"/>
          <w:szCs w:val="21"/>
          <w:highlight w:val="none"/>
          <w:lang w:val="en-US" w:eastAsia="zh-CN"/>
        </w:rPr>
        <w:t>最高限价</w:t>
      </w:r>
      <w:r>
        <w:rPr>
          <w:rFonts w:hint="eastAsia" w:hAnsi="宋体"/>
          <w:color w:val="auto"/>
          <w:sz w:val="21"/>
          <w:szCs w:val="21"/>
          <w:highlight w:val="none"/>
          <w:lang w:eastAsia="zh-CN"/>
        </w:rPr>
        <w:t>）</w:t>
      </w:r>
      <w:r>
        <w:rPr>
          <w:rFonts w:hint="eastAsia" w:hAnsi="宋体"/>
          <w:color w:val="auto"/>
          <w:sz w:val="21"/>
          <w:szCs w:val="21"/>
          <w:highlight w:val="none"/>
        </w:rPr>
        <w:t>：</w:t>
      </w:r>
      <w:r>
        <w:rPr>
          <w:rFonts w:hint="eastAsia" w:hAnsi="宋体"/>
          <w:color w:val="auto"/>
          <w:sz w:val="21"/>
          <w:szCs w:val="21"/>
          <w:highlight w:val="none"/>
          <w:lang w:val="en-US" w:eastAsia="zh-CN"/>
        </w:rPr>
        <w:t>¥2,094,060.11</w:t>
      </w:r>
      <w:r>
        <w:rPr>
          <w:rFonts w:hint="eastAsia" w:hAnsi="宋体"/>
          <w:color w:val="auto"/>
          <w:sz w:val="21"/>
          <w:szCs w:val="21"/>
          <w:highlight w:val="none"/>
          <w:lang w:eastAsia="zh-CN"/>
        </w:rPr>
        <w:t>元</w:t>
      </w:r>
      <w:r>
        <w:rPr>
          <w:rFonts w:hint="eastAsia" w:hAnsi="宋体"/>
          <w:color w:val="auto"/>
          <w:sz w:val="21"/>
          <w:szCs w:val="21"/>
          <w:highlight w:val="none"/>
          <w:lang w:val="en-US" w:eastAsia="zh-CN"/>
        </w:rPr>
        <w:t>(大写：人民币贰佰零玖万肆仟零陆拾元壹角壹分）</w:t>
      </w:r>
      <w:r>
        <w:rPr>
          <w:rFonts w:hint="eastAsia" w:hAnsi="宋体"/>
          <w:color w:val="auto"/>
          <w:sz w:val="21"/>
          <w:szCs w:val="21"/>
          <w:highlight w:val="none"/>
        </w:rPr>
        <w:t>。</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项目需求：详见磋商文件第三篇用户需求书。</w:t>
      </w:r>
    </w:p>
    <w:p>
      <w:pPr>
        <w:widowControl/>
        <w:adjustRightInd/>
        <w:spacing w:line="360" w:lineRule="auto"/>
        <w:rPr>
          <w:rFonts w:hAnsi="宋体"/>
          <w:b/>
          <w:bCs/>
          <w:color w:val="auto"/>
          <w:kern w:val="28"/>
          <w:sz w:val="21"/>
          <w:szCs w:val="21"/>
          <w:highlight w:val="none"/>
        </w:rPr>
      </w:pPr>
      <w:r>
        <w:rPr>
          <w:rFonts w:hint="eastAsia" w:hAnsi="宋体"/>
          <w:b/>
          <w:bCs/>
          <w:color w:val="auto"/>
          <w:kern w:val="28"/>
          <w:sz w:val="21"/>
          <w:szCs w:val="21"/>
          <w:highlight w:val="none"/>
          <w:lang w:val="zh-CN"/>
        </w:rPr>
        <w:t>二、供应商须满足以下资格条件</w:t>
      </w:r>
      <w:r>
        <w:rPr>
          <w:rFonts w:hint="eastAsia" w:hAnsi="宋体"/>
          <w:b/>
          <w:bCs/>
          <w:color w:val="auto"/>
          <w:kern w:val="28"/>
          <w:sz w:val="21"/>
          <w:szCs w:val="21"/>
          <w:highlight w:val="none"/>
        </w:rPr>
        <w:t>：</w:t>
      </w:r>
    </w:p>
    <w:p>
      <w:pPr>
        <w:widowControl/>
        <w:numPr>
          <w:ilvl w:val="0"/>
          <w:numId w:val="13"/>
        </w:numPr>
        <w:adjustRightInd/>
        <w:spacing w:line="360" w:lineRule="auto"/>
        <w:ind w:right="53"/>
        <w:textAlignment w:val="bottom"/>
        <w:rPr>
          <w:rFonts w:hAnsi="宋体"/>
          <w:color w:val="auto"/>
          <w:kern w:val="2"/>
          <w:sz w:val="21"/>
          <w:szCs w:val="21"/>
          <w:highlight w:val="none"/>
        </w:rPr>
      </w:pPr>
      <w:bookmarkStart w:id="3" w:name="_Toc396137230"/>
      <w:r>
        <w:rPr>
          <w:rFonts w:hint="eastAsia" w:hAnsi="宋体"/>
          <w:color w:val="auto"/>
          <w:kern w:val="2"/>
          <w:sz w:val="21"/>
          <w:szCs w:val="21"/>
          <w:highlight w:val="none"/>
        </w:rPr>
        <w:t>供应商须为在中华人民共和国境内登记注册的具有独立承担民事责任能力的法人或其他组织；</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（二）供应商的单位负责人为同一人或者存在直接控股、管理关系的不同供应商，不得参加同一合同项下的采购活动。</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（三）供应商参加采购活动前三年内，在经营活动中没有重大违法记录。（须提供书面声明）；</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四）供应商未被列入“信用中国”网站(www.creditchina.gov.cn)“记录失信被执行人或重大税收违法案件当事人名单或政府采购严重违法失信行为”记录名单（以采购代理机构投标截止日当天在“信用中国”网站（www.creditchina.gov.cn）查询结果为准，如相关失信记录已失效，供应商需提供相关证明资料）。</w:t>
      </w:r>
    </w:p>
    <w:p>
      <w:pPr>
        <w:widowControl/>
        <w:adjustRightInd/>
        <w:spacing w:line="360" w:lineRule="auto"/>
        <w:ind w:left="420" w:right="53"/>
        <w:textAlignment w:val="bottom"/>
        <w:rPr>
          <w:rFonts w:hint="default" w:hAnsi="宋体" w:eastAsia="宋体"/>
          <w:color w:val="auto"/>
          <w:kern w:val="2"/>
          <w:sz w:val="21"/>
          <w:szCs w:val="21"/>
          <w:highlight w:val="none"/>
          <w:lang w:val="en-US" w:eastAsia="zh-CN"/>
        </w:rPr>
      </w:pPr>
      <w:r>
        <w:rPr>
          <w:rFonts w:hint="eastAsia" w:hAnsi="宋体"/>
          <w:color w:val="auto"/>
          <w:kern w:val="2"/>
          <w:sz w:val="21"/>
          <w:szCs w:val="21"/>
          <w:highlight w:val="none"/>
        </w:rPr>
        <w:t>（五）</w:t>
      </w:r>
      <w:r>
        <w:rPr>
          <w:rFonts w:hint="eastAsia" w:hAnsi="宋体"/>
          <w:color w:val="auto"/>
          <w:kern w:val="2"/>
          <w:sz w:val="21"/>
          <w:szCs w:val="21"/>
          <w:highlight w:val="none"/>
          <w:lang w:eastAsia="zh-CN"/>
        </w:rPr>
        <w:t>供应商</w:t>
      </w:r>
      <w:r>
        <w:rPr>
          <w:rFonts w:hint="eastAsia" w:hAnsi="宋体" w:cs="宋体"/>
          <w:color w:val="auto"/>
          <w:kern w:val="2"/>
          <w:sz w:val="21"/>
          <w:szCs w:val="21"/>
          <w:highlight w:val="none"/>
          <w:u w:val="single"/>
        </w:rPr>
        <w:t>具备建设行政主管部门颁发的市政公用工程施工总承包</w:t>
      </w:r>
      <w:r>
        <w:rPr>
          <w:rFonts w:hint="eastAsia" w:hAnsi="宋体" w:cs="宋体"/>
          <w:color w:val="auto"/>
          <w:kern w:val="2"/>
          <w:sz w:val="21"/>
          <w:szCs w:val="21"/>
          <w:highlight w:val="none"/>
          <w:u w:val="single"/>
          <w:lang w:eastAsia="zh-CN"/>
        </w:rPr>
        <w:t>三</w:t>
      </w:r>
      <w:r>
        <w:rPr>
          <w:rFonts w:hint="eastAsia" w:hAnsi="宋体" w:cs="宋体"/>
          <w:color w:val="auto"/>
          <w:kern w:val="2"/>
          <w:sz w:val="21"/>
          <w:szCs w:val="21"/>
          <w:highlight w:val="none"/>
          <w:u w:val="single"/>
        </w:rPr>
        <w:t>级（或以上）资质或环保工程专业承包</w:t>
      </w:r>
      <w:r>
        <w:rPr>
          <w:rFonts w:hint="eastAsia" w:hAnsi="宋体" w:cs="宋体"/>
          <w:color w:val="auto"/>
          <w:kern w:val="2"/>
          <w:sz w:val="21"/>
          <w:szCs w:val="21"/>
          <w:highlight w:val="none"/>
          <w:u w:val="single"/>
          <w:lang w:eastAsia="zh-CN"/>
        </w:rPr>
        <w:t>三</w:t>
      </w:r>
      <w:r>
        <w:rPr>
          <w:rFonts w:hint="eastAsia" w:hAnsi="宋体" w:cs="宋体"/>
          <w:color w:val="auto"/>
          <w:kern w:val="2"/>
          <w:sz w:val="21"/>
          <w:szCs w:val="21"/>
          <w:highlight w:val="none"/>
          <w:u w:val="single"/>
        </w:rPr>
        <w:t>级资质</w:t>
      </w:r>
      <w:r>
        <w:rPr>
          <w:rFonts w:hint="eastAsia" w:hAnsi="宋体"/>
          <w:color w:val="auto"/>
          <w:kern w:val="2"/>
          <w:sz w:val="21"/>
          <w:szCs w:val="21"/>
          <w:highlight w:val="none"/>
          <w:lang w:eastAsia="zh-CN"/>
        </w:rPr>
        <w:t>。</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lang w:eastAsia="zh-CN"/>
        </w:rPr>
        <w:t>（六）</w:t>
      </w:r>
      <w:r>
        <w:rPr>
          <w:rFonts w:hint="eastAsia" w:hAnsi="宋体"/>
          <w:color w:val="auto"/>
          <w:kern w:val="2"/>
          <w:sz w:val="21"/>
          <w:szCs w:val="21"/>
          <w:highlight w:val="none"/>
        </w:rPr>
        <w:t>本项目不接受联合体投标。</w:t>
      </w:r>
    </w:p>
    <w:p>
      <w:pPr>
        <w:spacing w:line="360" w:lineRule="auto"/>
        <w:rPr>
          <w:rFonts w:hAnsi="宋体"/>
          <w:b/>
          <w:bCs/>
          <w:color w:val="auto"/>
          <w:sz w:val="21"/>
          <w:szCs w:val="21"/>
          <w:highlight w:val="none"/>
        </w:rPr>
      </w:pPr>
      <w:r>
        <w:rPr>
          <w:rFonts w:hint="eastAsia" w:hAnsi="宋体"/>
          <w:b/>
          <w:bCs/>
          <w:color w:val="auto"/>
          <w:sz w:val="21"/>
          <w:szCs w:val="21"/>
          <w:highlight w:val="none"/>
        </w:rPr>
        <w:t>三、获取磋商文件：</w:t>
      </w:r>
    </w:p>
    <w:p>
      <w:pPr>
        <w:keepNext w:val="0"/>
        <w:keepLines w:val="0"/>
        <w:pageBreakBefore w:val="0"/>
        <w:widowControl/>
        <w:kinsoku/>
        <w:wordWrap/>
        <w:overflowPunct/>
        <w:topLinePunct w:val="0"/>
        <w:autoSpaceDE w:val="0"/>
        <w:autoSpaceDN w:val="0"/>
        <w:bidi w:val="0"/>
        <w:adjustRightInd/>
        <w:snapToGrid/>
        <w:spacing w:line="360" w:lineRule="auto"/>
        <w:ind w:left="420" w:right="53" w:firstLine="420" w:firstLineChars="200"/>
        <w:textAlignment w:val="bottom"/>
        <w:rPr>
          <w:rFonts w:hint="eastAsia" w:hAnsi="宋体"/>
          <w:color w:val="auto"/>
          <w:kern w:val="28"/>
          <w:sz w:val="21"/>
          <w:szCs w:val="21"/>
          <w:highlight w:val="none"/>
        </w:rPr>
      </w:pPr>
      <w:r>
        <w:rPr>
          <w:rFonts w:hint="eastAsia" w:hAnsi="宋体"/>
          <w:color w:val="auto"/>
          <w:kern w:val="28"/>
          <w:sz w:val="21"/>
          <w:szCs w:val="21"/>
          <w:highlight w:val="none"/>
          <w:lang w:eastAsia="zh-CN"/>
        </w:rPr>
        <w:t>本项目无须报名，磋商文件</w:t>
      </w:r>
      <w:r>
        <w:rPr>
          <w:rFonts w:hint="eastAsia" w:hAnsi="宋体"/>
          <w:color w:val="auto"/>
          <w:kern w:val="28"/>
          <w:sz w:val="21"/>
          <w:szCs w:val="21"/>
          <w:highlight w:val="none"/>
        </w:rPr>
        <w:t>下载地址：</w:t>
      </w:r>
      <w:r>
        <w:rPr>
          <w:rFonts w:hint="eastAsia" w:hAnsi="宋体" w:cs="宋体"/>
          <w:color w:val="auto"/>
          <w:spacing w:val="-6"/>
          <w:kern w:val="28"/>
          <w:sz w:val="21"/>
          <w:szCs w:val="21"/>
          <w:highlight w:val="none"/>
        </w:rPr>
        <w:t>中国招标投标公共服务平台（http://www.cebpubservice.com/）</w:t>
      </w:r>
      <w:r>
        <w:rPr>
          <w:rFonts w:hint="eastAsia" w:hAnsi="宋体"/>
          <w:color w:val="auto"/>
          <w:kern w:val="28"/>
          <w:sz w:val="21"/>
          <w:szCs w:val="21"/>
          <w:highlight w:val="none"/>
        </w:rPr>
        <w:t>、东莞实业投资控股集团有限公司-招标采购栏目（http://www.dgsy.com.cn/）、广东泰通伟业工程咨询有限公司官网-招标采购栏目（http://www.weiyecoltd.com/）。</w:t>
      </w:r>
    </w:p>
    <w:p>
      <w:pPr>
        <w:keepNext w:val="0"/>
        <w:keepLines w:val="0"/>
        <w:pageBreakBefore w:val="0"/>
        <w:widowControl/>
        <w:kinsoku/>
        <w:wordWrap/>
        <w:overflowPunct/>
        <w:topLinePunct w:val="0"/>
        <w:autoSpaceDE w:val="0"/>
        <w:autoSpaceDN w:val="0"/>
        <w:bidi w:val="0"/>
        <w:adjustRightInd/>
        <w:snapToGrid/>
        <w:spacing w:line="360" w:lineRule="auto"/>
        <w:ind w:left="420" w:right="53" w:firstLine="420" w:firstLineChars="200"/>
        <w:textAlignment w:val="bottom"/>
        <w:rPr>
          <w:rFonts w:hint="eastAsia" w:hAnsi="宋体"/>
          <w:color w:val="auto"/>
          <w:kern w:val="28"/>
          <w:sz w:val="21"/>
          <w:szCs w:val="21"/>
          <w:highlight w:val="none"/>
        </w:rPr>
      </w:pPr>
      <w:r>
        <w:rPr>
          <w:rFonts w:hint="eastAsia" w:hAnsi="宋体"/>
          <w:color w:val="auto"/>
          <w:kern w:val="28"/>
          <w:sz w:val="21"/>
          <w:szCs w:val="21"/>
          <w:highlight w:val="none"/>
        </w:rPr>
        <w:t>采购结果公告发布媒介：东莞实业投资控股集团有限公司-招标采购栏目（http://www.dgsy.com.cn/）</w:t>
      </w:r>
    </w:p>
    <w:p>
      <w:pPr>
        <w:pStyle w:val="19"/>
        <w:rPr>
          <w:rFonts w:hint="default" w:eastAsia="宋体"/>
          <w:color w:val="auto"/>
          <w:highlight w:val="none"/>
          <w:lang w:val="en-US" w:eastAsia="zh-CN"/>
        </w:rPr>
      </w:pPr>
      <w:r>
        <w:rPr>
          <w:rFonts w:hint="eastAsia" w:hAnsi="宋体"/>
          <w:color w:val="auto"/>
          <w:kern w:val="28"/>
          <w:sz w:val="21"/>
          <w:szCs w:val="21"/>
          <w:highlight w:val="none"/>
          <w:lang w:val="en-US" w:eastAsia="zh-CN"/>
        </w:rPr>
        <w:t xml:space="preserve">    磋商文件公告期限：自公告之日起三个工作日。</w:t>
      </w:r>
    </w:p>
    <w:p>
      <w:pPr>
        <w:pStyle w:val="29"/>
        <w:numPr>
          <w:ilvl w:val="0"/>
          <w:numId w:val="0"/>
        </w:numPr>
        <w:spacing w:line="360" w:lineRule="auto"/>
        <w:rPr>
          <w:rFonts w:hAnsi="宋体"/>
          <w:b/>
          <w:bCs/>
          <w:color w:val="auto"/>
          <w:szCs w:val="21"/>
          <w:highlight w:val="none"/>
        </w:rPr>
      </w:pPr>
      <w:r>
        <w:rPr>
          <w:rFonts w:hint="eastAsia" w:hAnsi="宋体"/>
          <w:b/>
          <w:bCs/>
          <w:color w:val="auto"/>
          <w:szCs w:val="21"/>
          <w:highlight w:val="none"/>
        </w:rPr>
        <w:t>四、接收响应文件的时间、地点、截止时间，开启响应文件时间、地点</w:t>
      </w:r>
      <w:r>
        <w:rPr>
          <w:rFonts w:hint="eastAsia" w:hAnsi="宋体"/>
          <w:b/>
          <w:color w:val="auto"/>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1、接收响应文件的时间：</w:t>
      </w:r>
      <w:r>
        <w:rPr>
          <w:rFonts w:hint="eastAsia" w:hAnsi="宋体"/>
          <w:color w:val="auto"/>
          <w:sz w:val="21"/>
          <w:szCs w:val="21"/>
          <w:highlight w:val="none"/>
          <w:lang w:eastAsia="zh-CN"/>
        </w:rPr>
        <w:t>202</w:t>
      </w:r>
      <w:r>
        <w:rPr>
          <w:rFonts w:hint="eastAsia" w:hAnsi="宋体"/>
          <w:color w:val="auto"/>
          <w:sz w:val="21"/>
          <w:szCs w:val="21"/>
          <w:highlight w:val="none"/>
          <w:lang w:val="en-US" w:eastAsia="zh-CN"/>
        </w:rPr>
        <w:t>2</w:t>
      </w:r>
      <w:r>
        <w:rPr>
          <w:rFonts w:hint="eastAsia" w:hAnsi="宋体"/>
          <w:color w:val="auto"/>
          <w:sz w:val="21"/>
          <w:szCs w:val="21"/>
          <w:highlight w:val="none"/>
          <w:lang w:eastAsia="zh-CN"/>
        </w:rPr>
        <w:t>年</w:t>
      </w:r>
      <w:r>
        <w:rPr>
          <w:rFonts w:hint="eastAsia" w:hAnsi="宋体"/>
          <w:color w:val="auto"/>
          <w:sz w:val="21"/>
          <w:szCs w:val="21"/>
          <w:highlight w:val="none"/>
          <w:lang w:val="en-US" w:eastAsia="zh-CN"/>
        </w:rPr>
        <w:t>10</w:t>
      </w:r>
      <w:r>
        <w:rPr>
          <w:rFonts w:hint="eastAsia" w:hAnsi="宋体"/>
          <w:color w:val="auto"/>
          <w:sz w:val="21"/>
          <w:szCs w:val="21"/>
          <w:highlight w:val="none"/>
        </w:rPr>
        <w:t>月</w:t>
      </w:r>
      <w:r>
        <w:rPr>
          <w:rFonts w:hint="eastAsia" w:hAnsi="宋体"/>
          <w:color w:val="auto"/>
          <w:sz w:val="21"/>
          <w:szCs w:val="21"/>
          <w:highlight w:val="none"/>
          <w:lang w:val="en-US" w:eastAsia="zh-CN"/>
        </w:rPr>
        <w:t>31</w:t>
      </w:r>
      <w:r>
        <w:rPr>
          <w:rFonts w:hint="eastAsia" w:hAnsi="宋体"/>
          <w:color w:val="auto"/>
          <w:sz w:val="21"/>
          <w:szCs w:val="21"/>
          <w:highlight w:val="none"/>
        </w:rPr>
        <w:t>日</w:t>
      </w:r>
      <w:r>
        <w:rPr>
          <w:rFonts w:hint="eastAsia" w:hAnsi="宋体"/>
          <w:color w:val="auto"/>
          <w:sz w:val="21"/>
          <w:szCs w:val="21"/>
          <w:highlight w:val="none"/>
          <w:lang w:val="en-US" w:eastAsia="zh-CN"/>
        </w:rPr>
        <w:t xml:space="preserve"> 下</w:t>
      </w:r>
      <w:r>
        <w:rPr>
          <w:rFonts w:hint="eastAsia" w:hAnsi="宋体"/>
          <w:color w:val="auto"/>
          <w:sz w:val="21"/>
          <w:szCs w:val="21"/>
          <w:highlight w:val="none"/>
        </w:rPr>
        <w:t>午</w:t>
      </w:r>
      <w:r>
        <w:rPr>
          <w:rFonts w:hint="eastAsia" w:hAnsi="宋体"/>
          <w:color w:val="auto"/>
          <w:sz w:val="21"/>
          <w:szCs w:val="21"/>
          <w:highlight w:val="none"/>
          <w:lang w:val="en-US" w:eastAsia="zh-CN"/>
        </w:rPr>
        <w:t>14</w:t>
      </w:r>
      <w:r>
        <w:rPr>
          <w:rFonts w:hint="eastAsia" w:hAnsi="宋体"/>
          <w:color w:val="auto"/>
          <w:sz w:val="21"/>
          <w:szCs w:val="21"/>
          <w:highlight w:val="none"/>
        </w:rPr>
        <w:t>:</w:t>
      </w:r>
      <w:r>
        <w:rPr>
          <w:rFonts w:hint="eastAsia" w:hAnsi="宋体"/>
          <w:color w:val="auto"/>
          <w:sz w:val="21"/>
          <w:szCs w:val="21"/>
          <w:highlight w:val="none"/>
          <w:lang w:val="en-US" w:eastAsia="zh-CN"/>
        </w:rPr>
        <w:t>00</w:t>
      </w:r>
      <w:r>
        <w:rPr>
          <w:rFonts w:hint="eastAsia" w:hAnsi="宋体"/>
          <w:color w:val="auto"/>
          <w:sz w:val="21"/>
          <w:szCs w:val="21"/>
          <w:highlight w:val="none"/>
        </w:rPr>
        <w:t>～</w:t>
      </w:r>
      <w:r>
        <w:rPr>
          <w:rFonts w:hint="eastAsia" w:hAnsi="宋体"/>
          <w:color w:val="auto"/>
          <w:sz w:val="21"/>
          <w:szCs w:val="21"/>
          <w:highlight w:val="none"/>
          <w:lang w:val="en-US" w:eastAsia="zh-CN"/>
        </w:rPr>
        <w:t xml:space="preserve"> 9 </w:t>
      </w:r>
      <w:r>
        <w:rPr>
          <w:rFonts w:hint="eastAsia" w:hAnsi="宋体"/>
          <w:color w:val="auto"/>
          <w:sz w:val="21"/>
          <w:szCs w:val="21"/>
          <w:highlight w:val="none"/>
        </w:rPr>
        <w:t>:</w:t>
      </w:r>
      <w:r>
        <w:rPr>
          <w:rFonts w:hint="eastAsia" w:hAnsi="宋体"/>
          <w:color w:val="auto"/>
          <w:sz w:val="21"/>
          <w:szCs w:val="21"/>
          <w:highlight w:val="none"/>
          <w:lang w:val="en-US" w:eastAsia="zh-CN"/>
        </w:rPr>
        <w:t>30</w:t>
      </w:r>
      <w:r>
        <w:rPr>
          <w:rFonts w:hint="eastAsia" w:hAnsi="宋体"/>
          <w:color w:val="auto"/>
          <w:sz w:val="21"/>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2、接收响应文件截止时间及开启响应文件时间：</w:t>
      </w:r>
      <w:r>
        <w:rPr>
          <w:rFonts w:hint="eastAsia" w:hAnsi="宋体"/>
          <w:color w:val="auto"/>
          <w:sz w:val="21"/>
          <w:szCs w:val="21"/>
          <w:highlight w:val="none"/>
          <w:lang w:eastAsia="zh-CN"/>
        </w:rPr>
        <w:t>202</w:t>
      </w:r>
      <w:r>
        <w:rPr>
          <w:rFonts w:hint="eastAsia" w:hAnsi="宋体"/>
          <w:color w:val="auto"/>
          <w:sz w:val="21"/>
          <w:szCs w:val="21"/>
          <w:highlight w:val="none"/>
          <w:lang w:val="en-US" w:eastAsia="zh-CN"/>
        </w:rPr>
        <w:t>2</w:t>
      </w:r>
      <w:r>
        <w:rPr>
          <w:rFonts w:hint="eastAsia" w:hAnsi="宋体"/>
          <w:color w:val="auto"/>
          <w:sz w:val="21"/>
          <w:szCs w:val="21"/>
          <w:highlight w:val="none"/>
          <w:lang w:eastAsia="zh-CN"/>
        </w:rPr>
        <w:t>年</w:t>
      </w:r>
      <w:r>
        <w:rPr>
          <w:rFonts w:hint="eastAsia" w:hAnsi="宋体"/>
          <w:color w:val="auto"/>
          <w:sz w:val="21"/>
          <w:szCs w:val="21"/>
          <w:highlight w:val="none"/>
          <w:lang w:val="en-US" w:eastAsia="zh-CN"/>
        </w:rPr>
        <w:t>10</w:t>
      </w:r>
      <w:r>
        <w:rPr>
          <w:rFonts w:hint="eastAsia" w:hAnsi="宋体"/>
          <w:color w:val="auto"/>
          <w:sz w:val="21"/>
          <w:szCs w:val="21"/>
          <w:highlight w:val="none"/>
        </w:rPr>
        <w:t>月</w:t>
      </w:r>
      <w:r>
        <w:rPr>
          <w:rFonts w:hint="eastAsia" w:hAnsi="宋体"/>
          <w:color w:val="auto"/>
          <w:sz w:val="21"/>
          <w:szCs w:val="21"/>
          <w:highlight w:val="none"/>
          <w:lang w:val="en-US" w:eastAsia="zh-CN"/>
        </w:rPr>
        <w:t>31</w:t>
      </w:r>
      <w:r>
        <w:rPr>
          <w:rFonts w:hint="eastAsia" w:hAnsi="宋体"/>
          <w:color w:val="auto"/>
          <w:sz w:val="21"/>
          <w:szCs w:val="21"/>
          <w:highlight w:val="none"/>
        </w:rPr>
        <w:t>日</w:t>
      </w:r>
      <w:r>
        <w:rPr>
          <w:rFonts w:hint="eastAsia" w:hAnsi="宋体"/>
          <w:color w:val="auto"/>
          <w:sz w:val="21"/>
          <w:szCs w:val="21"/>
          <w:highlight w:val="none"/>
          <w:lang w:val="en-US" w:eastAsia="zh-CN"/>
        </w:rPr>
        <w:t xml:space="preserve"> 下</w:t>
      </w:r>
      <w:r>
        <w:rPr>
          <w:rFonts w:hint="eastAsia" w:hAnsi="宋体"/>
          <w:color w:val="auto"/>
          <w:sz w:val="21"/>
          <w:szCs w:val="21"/>
          <w:highlight w:val="none"/>
        </w:rPr>
        <w:t>午</w:t>
      </w:r>
      <w:r>
        <w:rPr>
          <w:rFonts w:hint="eastAsia" w:hAnsi="宋体"/>
          <w:color w:val="auto"/>
          <w:sz w:val="21"/>
          <w:szCs w:val="21"/>
          <w:highlight w:val="none"/>
          <w:lang w:val="en-US" w:eastAsia="zh-CN"/>
        </w:rPr>
        <w:t>14</w:t>
      </w:r>
      <w:r>
        <w:rPr>
          <w:rFonts w:hint="eastAsia" w:hAnsi="宋体"/>
          <w:color w:val="auto"/>
          <w:sz w:val="21"/>
          <w:szCs w:val="21"/>
          <w:highlight w:val="none"/>
        </w:rPr>
        <w:t>:</w:t>
      </w:r>
      <w:r>
        <w:rPr>
          <w:rFonts w:hint="eastAsia" w:hAnsi="宋体"/>
          <w:color w:val="auto"/>
          <w:sz w:val="21"/>
          <w:szCs w:val="21"/>
          <w:highlight w:val="none"/>
          <w:lang w:val="en-US" w:eastAsia="zh-CN"/>
        </w:rPr>
        <w:t>30</w:t>
      </w:r>
      <w:r>
        <w:rPr>
          <w:rFonts w:hint="eastAsia" w:hAnsi="宋体"/>
          <w:color w:val="auto"/>
          <w:sz w:val="21"/>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3、接收响应文件地点：东莞市东城莞龙路下桥银门街一号办公楼六楼618室。</w:t>
      </w:r>
    </w:p>
    <w:p>
      <w:pPr>
        <w:widowControl/>
        <w:tabs>
          <w:tab w:val="left" w:pos="-360"/>
        </w:tabs>
        <w:adjustRightInd/>
        <w:spacing w:line="360" w:lineRule="auto"/>
        <w:ind w:right="-34"/>
        <w:jc w:val="both"/>
        <w:textAlignment w:val="bottom"/>
        <w:rPr>
          <w:rFonts w:hAnsi="宋体" w:cs="宋体"/>
          <w:b/>
          <w:bCs/>
          <w:color w:val="auto"/>
          <w:kern w:val="28"/>
          <w:sz w:val="21"/>
          <w:szCs w:val="21"/>
          <w:highlight w:val="none"/>
        </w:rPr>
      </w:pPr>
      <w:r>
        <w:rPr>
          <w:rFonts w:hint="eastAsia" w:hAnsi="宋体"/>
          <w:b/>
          <w:bCs/>
          <w:color w:val="auto"/>
          <w:sz w:val="21"/>
          <w:szCs w:val="21"/>
          <w:highlight w:val="none"/>
        </w:rPr>
        <w:t>五、</w:t>
      </w:r>
      <w:r>
        <w:rPr>
          <w:rFonts w:hint="eastAsia" w:hAnsi="宋体" w:cs="宋体"/>
          <w:b/>
          <w:bCs/>
          <w:color w:val="auto"/>
          <w:kern w:val="28"/>
          <w:sz w:val="21"/>
          <w:szCs w:val="21"/>
          <w:highlight w:val="none"/>
        </w:rPr>
        <w:t>新冠疫情防控期间招标</w:t>
      </w:r>
      <w:r>
        <w:rPr>
          <w:rFonts w:hint="eastAsia" w:hAnsi="宋体" w:cs="宋体"/>
          <w:b/>
          <w:bCs/>
          <w:color w:val="auto"/>
          <w:kern w:val="28"/>
          <w:sz w:val="21"/>
          <w:szCs w:val="21"/>
          <w:highlight w:val="none"/>
          <w:lang w:eastAsia="zh-CN"/>
        </w:rPr>
        <w:t>采购</w:t>
      </w:r>
      <w:r>
        <w:rPr>
          <w:rFonts w:hint="eastAsia" w:hAnsi="宋体" w:cs="宋体"/>
          <w:b/>
          <w:bCs/>
          <w:color w:val="auto"/>
          <w:kern w:val="28"/>
          <w:sz w:val="21"/>
          <w:szCs w:val="21"/>
          <w:highlight w:val="none"/>
        </w:rPr>
        <w:t>活动注意事项</w:t>
      </w:r>
    </w:p>
    <w:p>
      <w:pPr>
        <w:widowControl/>
        <w:numPr>
          <w:ilvl w:val="255"/>
          <w:numId w:val="0"/>
        </w:numPr>
        <w:tabs>
          <w:tab w:val="left" w:pos="-360"/>
        </w:tabs>
        <w:autoSpaceDE/>
        <w:autoSpaceDN/>
        <w:adjustRightInd/>
        <w:spacing w:line="360" w:lineRule="auto"/>
        <w:ind w:firstLine="420" w:firstLineChars="200"/>
        <w:jc w:val="both"/>
        <w:textAlignment w:val="bottom"/>
        <w:rPr>
          <w:color w:val="auto"/>
          <w:sz w:val="21"/>
          <w:szCs w:val="21"/>
          <w:highlight w:val="none"/>
        </w:rPr>
      </w:pPr>
      <w:r>
        <w:rPr>
          <w:rFonts w:hint="eastAsia" w:hAnsi="宋体" w:cs="宋体"/>
          <w:color w:val="auto"/>
          <w:sz w:val="21"/>
          <w:szCs w:val="21"/>
          <w:highlight w:val="none"/>
        </w:rPr>
        <w:t>疫情防控期间供应商请务必符合相关防疫进场规定，凡到现场参与开标的供应商代表进入开标室须出示粤康码绿码、行程码绿码并全程带好口罩，如来自疫情中、高风险地区的还应持有</w:t>
      </w:r>
      <w:r>
        <w:rPr>
          <w:rFonts w:hint="eastAsia" w:hAnsi="宋体" w:cs="宋体"/>
          <w:color w:val="auto"/>
          <w:sz w:val="21"/>
          <w:szCs w:val="21"/>
          <w:highlight w:val="none"/>
          <w:lang w:val="en-US" w:eastAsia="zh-CN"/>
        </w:rPr>
        <w:t>48</w:t>
      </w:r>
      <w:r>
        <w:rPr>
          <w:rFonts w:hint="eastAsia" w:hAnsi="宋体" w:cs="宋体"/>
          <w:color w:val="auto"/>
          <w:sz w:val="21"/>
          <w:szCs w:val="21"/>
          <w:highlight w:val="none"/>
        </w:rPr>
        <w:t>小时内核酸检测阴性证明，如供应商弄虚作假规避检查或违背上述要求的，其一切后果均由其自行承担。</w:t>
      </w:r>
      <w:r>
        <w:rPr>
          <w:rFonts w:hint="eastAsia"/>
          <w:color w:val="auto"/>
          <w:sz w:val="21"/>
          <w:szCs w:val="21"/>
          <w:highlight w:val="none"/>
        </w:rPr>
        <w:t>如遇疫情紧张时期，</w:t>
      </w:r>
      <w:r>
        <w:rPr>
          <w:rFonts w:hint="eastAsia"/>
          <w:color w:val="auto"/>
          <w:sz w:val="21"/>
          <w:szCs w:val="21"/>
          <w:highlight w:val="none"/>
          <w:lang w:eastAsia="zh-CN"/>
        </w:rPr>
        <w:t>采购人</w:t>
      </w:r>
      <w:r>
        <w:rPr>
          <w:rFonts w:hint="eastAsia"/>
          <w:color w:val="auto"/>
          <w:sz w:val="21"/>
          <w:szCs w:val="21"/>
          <w:highlight w:val="none"/>
        </w:rPr>
        <w:t>及</w:t>
      </w:r>
      <w:r>
        <w:rPr>
          <w:rFonts w:hint="eastAsia"/>
          <w:color w:val="auto"/>
          <w:sz w:val="21"/>
          <w:szCs w:val="21"/>
          <w:highlight w:val="none"/>
          <w:lang w:eastAsia="zh-CN"/>
        </w:rPr>
        <w:t>采购代理机构</w:t>
      </w:r>
      <w:r>
        <w:rPr>
          <w:rFonts w:hint="eastAsia"/>
          <w:color w:val="auto"/>
          <w:sz w:val="21"/>
          <w:szCs w:val="21"/>
          <w:highlight w:val="none"/>
        </w:rPr>
        <w:t>在公平公正的前提下将简化本项目的开标签到措施，投标人的出席开标会签到人员递交投标文件和完成签到手续后即可离场，不强制性要求参与开标全过程。开标记录如有需要可通过邮箱方式发至投标人。</w:t>
      </w:r>
    </w:p>
    <w:p>
      <w:pPr>
        <w:spacing w:line="360" w:lineRule="auto"/>
        <w:rPr>
          <w:rFonts w:hAnsi="宋体"/>
          <w:b/>
          <w:bCs/>
          <w:color w:val="auto"/>
          <w:sz w:val="21"/>
          <w:szCs w:val="21"/>
          <w:highlight w:val="none"/>
        </w:rPr>
      </w:pPr>
      <w:r>
        <w:rPr>
          <w:rFonts w:hint="eastAsia" w:hAnsi="宋体" w:cs="宋体"/>
          <w:b/>
          <w:bCs/>
          <w:color w:val="auto"/>
          <w:kern w:val="28"/>
          <w:sz w:val="21"/>
          <w:szCs w:val="21"/>
          <w:highlight w:val="none"/>
        </w:rPr>
        <w:t>六、</w:t>
      </w:r>
      <w:r>
        <w:rPr>
          <w:rFonts w:hint="eastAsia" w:hAnsi="宋体"/>
          <w:b/>
          <w:color w:val="auto"/>
          <w:sz w:val="21"/>
          <w:szCs w:val="21"/>
          <w:highlight w:val="none"/>
        </w:rPr>
        <w:t>采购代理机构</w:t>
      </w:r>
      <w:r>
        <w:rPr>
          <w:rFonts w:hint="eastAsia" w:hAnsi="宋体"/>
          <w:b/>
          <w:bCs/>
          <w:color w:val="auto"/>
          <w:sz w:val="21"/>
          <w:szCs w:val="21"/>
          <w:highlight w:val="none"/>
        </w:rPr>
        <w:t>及采购人</w:t>
      </w:r>
      <w:r>
        <w:rPr>
          <w:rFonts w:hint="eastAsia" w:hAnsi="宋体"/>
          <w:b/>
          <w:color w:val="auto"/>
          <w:sz w:val="21"/>
          <w:szCs w:val="21"/>
          <w:highlight w:val="none"/>
        </w:rPr>
        <w:t>的地址和联系方式</w:t>
      </w:r>
      <w:r>
        <w:rPr>
          <w:rFonts w:hint="eastAsia" w:hAnsi="宋体"/>
          <w:b/>
          <w:bCs/>
          <w:color w:val="auto"/>
          <w:sz w:val="21"/>
          <w:szCs w:val="21"/>
          <w:highlight w:val="none"/>
        </w:rPr>
        <w:t>：</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采购代理机构：</w:t>
      </w:r>
      <w:r>
        <w:rPr>
          <w:rFonts w:hAnsi="宋体"/>
          <w:color w:val="auto"/>
          <w:sz w:val="21"/>
          <w:szCs w:val="21"/>
          <w:highlight w:val="none"/>
        </w:rPr>
        <w:t>广东泰通伟业工程咨询有限公司</w:t>
      </w:r>
    </w:p>
    <w:p>
      <w:pPr>
        <w:spacing w:line="360" w:lineRule="auto"/>
        <w:ind w:right="-34" w:firstLine="424" w:firstLineChars="202"/>
        <w:jc w:val="both"/>
        <w:rPr>
          <w:rFonts w:hint="default" w:hAnsi="宋体" w:eastAsia="宋体"/>
          <w:color w:val="auto"/>
          <w:sz w:val="21"/>
          <w:szCs w:val="21"/>
          <w:highlight w:val="none"/>
          <w:lang w:val="en-US" w:eastAsia="zh-CN"/>
        </w:rPr>
      </w:pPr>
      <w:r>
        <w:rPr>
          <w:rFonts w:hAnsi="宋体"/>
          <w:color w:val="auto"/>
          <w:sz w:val="21"/>
          <w:szCs w:val="21"/>
          <w:highlight w:val="none"/>
        </w:rPr>
        <w:t>地    址：</w:t>
      </w:r>
      <w:r>
        <w:rPr>
          <w:rFonts w:hint="eastAsia" w:hAnsi="宋体"/>
          <w:color w:val="auto"/>
          <w:sz w:val="21"/>
          <w:szCs w:val="21"/>
          <w:highlight w:val="none"/>
        </w:rPr>
        <w:t>东莞市东城莞龙路下桥银门街一号办公楼</w:t>
      </w:r>
      <w:r>
        <w:rPr>
          <w:rFonts w:hint="eastAsia" w:hAnsi="宋体"/>
          <w:color w:val="auto"/>
          <w:sz w:val="21"/>
          <w:szCs w:val="21"/>
          <w:highlight w:val="none"/>
          <w:lang w:eastAsia="zh-CN"/>
        </w:rPr>
        <w:t>六</w:t>
      </w:r>
      <w:r>
        <w:rPr>
          <w:rFonts w:hint="eastAsia" w:hAnsi="宋体"/>
          <w:color w:val="auto"/>
          <w:sz w:val="21"/>
          <w:szCs w:val="21"/>
          <w:highlight w:val="none"/>
        </w:rPr>
        <w:t>楼</w:t>
      </w:r>
      <w:r>
        <w:rPr>
          <w:rFonts w:hint="eastAsia" w:hAnsi="宋体"/>
          <w:color w:val="auto"/>
          <w:sz w:val="21"/>
          <w:szCs w:val="21"/>
          <w:highlight w:val="none"/>
          <w:lang w:val="en-US" w:eastAsia="zh-CN"/>
        </w:rPr>
        <w:t>606室招标采购部</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项目</w:t>
      </w:r>
      <w:r>
        <w:rPr>
          <w:rFonts w:hAnsi="宋体"/>
          <w:color w:val="auto"/>
          <w:sz w:val="21"/>
          <w:szCs w:val="21"/>
          <w:highlight w:val="none"/>
        </w:rPr>
        <w:t>联系人:</w:t>
      </w:r>
      <w:r>
        <w:rPr>
          <w:rFonts w:hint="eastAsia" w:hAnsi="宋体"/>
          <w:color w:val="auto"/>
          <w:sz w:val="21"/>
          <w:szCs w:val="21"/>
          <w:highlight w:val="none"/>
        </w:rPr>
        <w:t xml:space="preserve"> </w:t>
      </w:r>
      <w:r>
        <w:rPr>
          <w:rFonts w:hint="eastAsia" w:hAnsi="宋体"/>
          <w:color w:val="auto"/>
          <w:sz w:val="21"/>
          <w:szCs w:val="21"/>
          <w:highlight w:val="none"/>
          <w:lang w:eastAsia="zh-CN"/>
        </w:rPr>
        <w:t>冼</w:t>
      </w:r>
      <w:r>
        <w:rPr>
          <w:rFonts w:hint="eastAsia" w:hAnsi="宋体"/>
          <w:color w:val="auto"/>
          <w:sz w:val="21"/>
          <w:szCs w:val="21"/>
          <w:highlight w:val="none"/>
        </w:rPr>
        <w:t>小姐</w:t>
      </w:r>
    </w:p>
    <w:p>
      <w:pPr>
        <w:spacing w:line="360" w:lineRule="auto"/>
        <w:ind w:right="-34" w:firstLine="424" w:firstLineChars="202"/>
        <w:jc w:val="both"/>
        <w:rPr>
          <w:rFonts w:hint="default" w:hAnsi="宋体" w:eastAsia="宋体"/>
          <w:color w:val="auto"/>
          <w:sz w:val="21"/>
          <w:szCs w:val="21"/>
          <w:highlight w:val="none"/>
          <w:lang w:val="en-US" w:eastAsia="zh-CN"/>
        </w:rPr>
      </w:pPr>
      <w:r>
        <w:rPr>
          <w:rFonts w:hAnsi="宋体"/>
          <w:color w:val="auto"/>
          <w:sz w:val="21"/>
          <w:szCs w:val="21"/>
          <w:highlight w:val="none"/>
        </w:rPr>
        <w:t>电    话：0769</w:t>
      </w:r>
      <w:r>
        <w:rPr>
          <w:rFonts w:hint="eastAsia" w:hAnsi="宋体"/>
          <w:color w:val="auto"/>
          <w:sz w:val="21"/>
          <w:szCs w:val="21"/>
          <w:highlight w:val="none"/>
        </w:rPr>
        <w:t>-22</w:t>
      </w:r>
      <w:r>
        <w:rPr>
          <w:rFonts w:hint="eastAsia" w:hAnsi="宋体"/>
          <w:color w:val="auto"/>
          <w:sz w:val="21"/>
          <w:szCs w:val="21"/>
          <w:highlight w:val="none"/>
          <w:lang w:val="en-US" w:eastAsia="zh-CN"/>
        </w:rPr>
        <w:t>088829</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邮    箱</w:t>
      </w:r>
      <w:r>
        <w:rPr>
          <w:rFonts w:hAnsi="宋体"/>
          <w:color w:val="auto"/>
          <w:sz w:val="21"/>
          <w:szCs w:val="21"/>
          <w:highlight w:val="none"/>
        </w:rPr>
        <w:t>：</w:t>
      </w:r>
      <w:r>
        <w:rPr>
          <w:rFonts w:hint="eastAsia" w:hAnsi="宋体"/>
          <w:color w:val="auto"/>
          <w:sz w:val="21"/>
          <w:szCs w:val="21"/>
          <w:highlight w:val="none"/>
        </w:rPr>
        <w:t>WYZFCG@126.com</w:t>
      </w:r>
    </w:p>
    <w:p>
      <w:pPr>
        <w:spacing w:line="360" w:lineRule="auto"/>
        <w:ind w:right="-34" w:firstLine="424" w:firstLineChars="202"/>
        <w:jc w:val="both"/>
        <w:rPr>
          <w:rFonts w:hint="eastAsia" w:hAnsi="宋体" w:eastAsia="宋体"/>
          <w:color w:val="auto"/>
          <w:sz w:val="21"/>
          <w:szCs w:val="21"/>
          <w:highlight w:val="none"/>
          <w:lang w:eastAsia="zh-CN"/>
        </w:rPr>
      </w:pPr>
      <w:r>
        <w:rPr>
          <w:rFonts w:hint="eastAsia" w:hAnsi="宋体"/>
          <w:color w:val="auto"/>
          <w:sz w:val="21"/>
          <w:szCs w:val="21"/>
          <w:highlight w:val="none"/>
        </w:rPr>
        <w:t>采 购 人：</w:t>
      </w:r>
      <w:r>
        <w:rPr>
          <w:rFonts w:hint="eastAsia" w:hAnsi="宋体"/>
          <w:color w:val="auto"/>
          <w:sz w:val="21"/>
          <w:szCs w:val="21"/>
          <w:highlight w:val="none"/>
          <w:lang w:eastAsia="zh-CN"/>
        </w:rPr>
        <w:t>广东东实开能能源有限公司</w:t>
      </w:r>
    </w:p>
    <w:p>
      <w:pPr>
        <w:spacing w:line="360" w:lineRule="auto"/>
        <w:ind w:right="-34" w:firstLine="424" w:firstLineChars="2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址：东莞市东城街道八一路1号机关二号大院9号楼102</w:t>
      </w:r>
    </w:p>
    <w:p>
      <w:pPr>
        <w:spacing w:line="360" w:lineRule="auto"/>
        <w:ind w:right="-34" w:firstLine="424" w:firstLineChars="2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 吕先生</w:t>
      </w:r>
    </w:p>
    <w:p>
      <w:pPr>
        <w:spacing w:line="360" w:lineRule="auto"/>
        <w:ind w:right="-34" w:firstLine="424" w:firstLineChars="2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话：0769-22001739</w:t>
      </w:r>
    </w:p>
    <w:p>
      <w:pPr>
        <w:spacing w:line="360" w:lineRule="auto"/>
        <w:ind w:firstLine="422" w:firstLineChars="200"/>
        <w:jc w:val="right"/>
        <w:rPr>
          <w:rFonts w:hint="eastAsia" w:eastAsia="宋体"/>
          <w:b/>
          <w:color w:val="auto"/>
          <w:sz w:val="21"/>
          <w:szCs w:val="21"/>
          <w:highlight w:val="none"/>
          <w:lang w:eastAsia="zh-CN"/>
        </w:rPr>
      </w:pPr>
      <w:r>
        <w:rPr>
          <w:rFonts w:hint="eastAsia"/>
          <w:b/>
          <w:color w:val="auto"/>
          <w:sz w:val="21"/>
          <w:szCs w:val="21"/>
          <w:highlight w:val="none"/>
        </w:rPr>
        <w:t xml:space="preserve">                                         </w:t>
      </w:r>
      <w:r>
        <w:rPr>
          <w:rFonts w:hint="eastAsia"/>
          <w:b/>
          <w:color w:val="auto"/>
          <w:sz w:val="21"/>
          <w:szCs w:val="21"/>
          <w:highlight w:val="none"/>
          <w:lang w:eastAsia="zh-CN"/>
        </w:rPr>
        <w:t>广东东实开能能源有限公司</w:t>
      </w:r>
    </w:p>
    <w:p>
      <w:pPr>
        <w:spacing w:line="360" w:lineRule="auto"/>
        <w:ind w:firstLine="422" w:firstLineChars="200"/>
        <w:jc w:val="right"/>
        <w:rPr>
          <w:b/>
          <w:color w:val="auto"/>
          <w:sz w:val="21"/>
          <w:szCs w:val="21"/>
          <w:highlight w:val="none"/>
        </w:rPr>
      </w:pPr>
      <w:r>
        <w:rPr>
          <w:rFonts w:hint="eastAsia"/>
          <w:b/>
          <w:color w:val="auto"/>
          <w:sz w:val="21"/>
          <w:szCs w:val="21"/>
          <w:highlight w:val="none"/>
        </w:rPr>
        <w:t>广东泰通伟业工程咨询有限公司</w:t>
      </w:r>
    </w:p>
    <w:p>
      <w:pPr>
        <w:wordWrap w:val="0"/>
        <w:spacing w:line="360" w:lineRule="auto"/>
        <w:ind w:right="-34" w:firstLine="426" w:firstLineChars="202"/>
        <w:jc w:val="right"/>
        <w:rPr>
          <w:rFonts w:hint="default" w:hAnsi="宋体" w:eastAsia="宋体"/>
          <w:color w:val="auto"/>
          <w:sz w:val="21"/>
          <w:szCs w:val="21"/>
          <w:highlight w:val="none"/>
          <w:lang w:val="en-US" w:eastAsia="zh-CN"/>
        </w:rPr>
      </w:pPr>
      <w:r>
        <w:rPr>
          <w:rFonts w:hint="eastAsia" w:hAnsi="宋体"/>
          <w:b/>
          <w:color w:val="auto"/>
          <w:sz w:val="21"/>
          <w:szCs w:val="21"/>
          <w:highlight w:val="none"/>
          <w:lang w:val="en-US" w:eastAsia="zh-CN"/>
        </w:rPr>
        <w:t>2022</w:t>
      </w:r>
      <w:r>
        <w:rPr>
          <w:rFonts w:hint="eastAsia" w:hAnsi="宋体"/>
          <w:b/>
          <w:color w:val="auto"/>
          <w:sz w:val="21"/>
          <w:szCs w:val="21"/>
          <w:highlight w:val="none"/>
        </w:rPr>
        <w:t>年</w:t>
      </w:r>
      <w:r>
        <w:rPr>
          <w:rFonts w:hint="eastAsia" w:hAnsi="宋体"/>
          <w:b/>
          <w:color w:val="auto"/>
          <w:sz w:val="21"/>
          <w:szCs w:val="21"/>
          <w:highlight w:val="none"/>
          <w:lang w:val="en-US" w:eastAsia="zh-CN"/>
        </w:rPr>
        <w:t>10</w:t>
      </w:r>
      <w:r>
        <w:rPr>
          <w:rFonts w:hint="eastAsia" w:hAnsi="宋体"/>
          <w:b/>
          <w:bCs/>
          <w:color w:val="auto"/>
          <w:sz w:val="21"/>
          <w:szCs w:val="21"/>
          <w:highlight w:val="none"/>
        </w:rPr>
        <w:t>月</w:t>
      </w:r>
      <w:r>
        <w:rPr>
          <w:rFonts w:hint="eastAsia" w:hAnsi="宋体"/>
          <w:b/>
          <w:bCs/>
          <w:color w:val="auto"/>
          <w:sz w:val="21"/>
          <w:szCs w:val="21"/>
          <w:highlight w:val="none"/>
          <w:lang w:val="en-US" w:eastAsia="zh-CN"/>
        </w:rPr>
        <w:t>20日</w:t>
      </w:r>
    </w:p>
    <w:p>
      <w:pPr>
        <w:pStyle w:val="4"/>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4" w:name="_Toc13594"/>
      <w:r>
        <w:rPr>
          <w:rFonts w:hint="eastAsia" w:hAnsi="宋体"/>
          <w:b/>
          <w:bCs/>
          <w:color w:val="auto"/>
          <w:kern w:val="44"/>
          <w:sz w:val="28"/>
          <w:szCs w:val="28"/>
          <w:highlight w:val="none"/>
          <w:lang w:val="zh-CN"/>
        </w:rPr>
        <w:t>供应商须知</w:t>
      </w:r>
      <w:bookmarkEnd w:id="3"/>
      <w:bookmarkEnd w:id="4"/>
    </w:p>
    <w:p>
      <w:pPr>
        <w:pStyle w:val="5"/>
        <w:adjustRightInd/>
        <w:spacing w:line="360" w:lineRule="auto"/>
        <w:ind w:firstLine="562" w:firstLineChars="200"/>
        <w:jc w:val="center"/>
        <w:rPr>
          <w:color w:val="auto"/>
          <w:sz w:val="28"/>
          <w:szCs w:val="28"/>
          <w:highlight w:val="none"/>
        </w:rPr>
      </w:pPr>
      <w:bookmarkStart w:id="5" w:name="_Toc6882675"/>
      <w:bookmarkStart w:id="6" w:name="_Toc7897861"/>
      <w:bookmarkStart w:id="7" w:name="_Toc6968687"/>
      <w:bookmarkStart w:id="8" w:name="_Toc11776"/>
      <w:bookmarkStart w:id="9" w:name="_Toc466786434"/>
      <w:bookmarkStart w:id="10" w:name="_Toc12804"/>
      <w:bookmarkStart w:id="11" w:name="_Toc507407359"/>
      <w:bookmarkStart w:id="12" w:name="_Toc102277756"/>
      <w:r>
        <w:rPr>
          <w:rFonts w:hint="eastAsia"/>
          <w:color w:val="auto"/>
          <w:sz w:val="28"/>
          <w:szCs w:val="28"/>
          <w:highlight w:val="none"/>
        </w:rPr>
        <w:t>一、说  明</w:t>
      </w:r>
      <w:bookmarkEnd w:id="5"/>
      <w:bookmarkEnd w:id="6"/>
      <w:bookmarkEnd w:id="7"/>
      <w:bookmarkEnd w:id="8"/>
      <w:bookmarkEnd w:id="9"/>
      <w:bookmarkEnd w:id="10"/>
      <w:bookmarkEnd w:id="11"/>
      <w:bookmarkEnd w:id="12"/>
    </w:p>
    <w:p>
      <w:pPr>
        <w:pStyle w:val="6"/>
        <w:adjustRightInd/>
        <w:spacing w:line="360" w:lineRule="auto"/>
        <w:ind w:firstLine="420" w:firstLineChars="200"/>
        <w:rPr>
          <w:rFonts w:hAnsi="宋体"/>
          <w:color w:val="auto"/>
          <w:sz w:val="21"/>
          <w:szCs w:val="21"/>
          <w:highlight w:val="none"/>
        </w:rPr>
      </w:pPr>
      <w:bookmarkStart w:id="13" w:name="_Toc3730"/>
      <w:bookmarkStart w:id="14" w:name="_Toc7897862"/>
      <w:bookmarkStart w:id="15" w:name="_Toc475249114"/>
      <w:bookmarkStart w:id="16" w:name="_Toc8384"/>
      <w:bookmarkStart w:id="17" w:name="_Toc24987"/>
      <w:r>
        <w:rPr>
          <w:rFonts w:hint="eastAsia" w:hAnsi="宋体"/>
          <w:color w:val="auto"/>
          <w:sz w:val="21"/>
          <w:szCs w:val="21"/>
          <w:highlight w:val="none"/>
        </w:rPr>
        <w:t>1.适用范围</w:t>
      </w:r>
      <w:bookmarkEnd w:id="13"/>
      <w:bookmarkEnd w:id="14"/>
      <w:bookmarkEnd w:id="15"/>
      <w:bookmarkEnd w:id="16"/>
      <w:bookmarkEnd w:id="17"/>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1.1本磋商文件仅适用于本次采购邀请中所叙述的项目。</w:t>
      </w:r>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1.2本磋商文件的解释权在采购代理机构。</w:t>
      </w:r>
    </w:p>
    <w:p>
      <w:pPr>
        <w:pStyle w:val="6"/>
        <w:adjustRightInd/>
        <w:spacing w:line="360" w:lineRule="auto"/>
        <w:ind w:firstLine="420" w:firstLineChars="200"/>
        <w:rPr>
          <w:rFonts w:hAnsi="宋体"/>
          <w:color w:val="auto"/>
          <w:sz w:val="21"/>
          <w:szCs w:val="21"/>
          <w:highlight w:val="none"/>
        </w:rPr>
      </w:pPr>
      <w:bookmarkStart w:id="18" w:name="_Toc7897863"/>
      <w:bookmarkStart w:id="19" w:name="_Toc598"/>
      <w:bookmarkStart w:id="20" w:name="_Toc9738"/>
      <w:bookmarkStart w:id="21" w:name="_Toc19416"/>
      <w:bookmarkStart w:id="22" w:name="_Toc475249115"/>
      <w:r>
        <w:rPr>
          <w:rFonts w:hint="eastAsia" w:hAnsi="宋体"/>
          <w:color w:val="auto"/>
          <w:sz w:val="21"/>
          <w:szCs w:val="21"/>
          <w:highlight w:val="none"/>
        </w:rPr>
        <w:t>2.定义</w:t>
      </w:r>
      <w:bookmarkEnd w:id="18"/>
      <w:bookmarkEnd w:id="19"/>
      <w:bookmarkEnd w:id="20"/>
      <w:bookmarkEnd w:id="21"/>
      <w:bookmarkEnd w:id="22"/>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2.1“采购人”是指</w:t>
      </w:r>
      <w:r>
        <w:rPr>
          <w:rFonts w:hint="eastAsia" w:hAnsi="宋体"/>
          <w:color w:val="auto"/>
          <w:sz w:val="21"/>
          <w:szCs w:val="21"/>
          <w:highlight w:val="none"/>
          <w:lang w:eastAsia="zh-CN"/>
        </w:rPr>
        <w:t>广东东实开能能源有限公司</w:t>
      </w:r>
      <w:r>
        <w:rPr>
          <w:rFonts w:hint="eastAsia" w:hAnsi="宋体"/>
          <w:color w:val="auto"/>
          <w:sz w:val="21"/>
          <w:szCs w:val="21"/>
          <w:highlight w:val="none"/>
        </w:rPr>
        <w:t>。</w:t>
      </w:r>
    </w:p>
    <w:p>
      <w:pPr>
        <w:spacing w:line="360" w:lineRule="auto"/>
        <w:ind w:firstLine="420" w:firstLineChars="200"/>
        <w:rPr>
          <w:rFonts w:hAnsi="宋体"/>
          <w:b/>
          <w:color w:val="auto"/>
          <w:sz w:val="21"/>
          <w:szCs w:val="21"/>
          <w:highlight w:val="none"/>
        </w:rPr>
      </w:pPr>
      <w:r>
        <w:rPr>
          <w:rFonts w:hint="eastAsia" w:hAnsi="宋体"/>
          <w:color w:val="auto"/>
          <w:sz w:val="21"/>
          <w:szCs w:val="21"/>
          <w:highlight w:val="none"/>
        </w:rPr>
        <w:t>2.2“采购代理机构”是指广东泰通伟业工程咨询有限公司。</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2.3“供应商”指向采购代理机构提交响应文件的法人。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 货物：卖方按磋商文件规定向买方提供的货物。</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2.5 服务：磋商文件规定卖方必须承担的咨询、技术协助、培训及其它相关义务。</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 语言：</w:t>
      </w:r>
      <w:r>
        <w:rPr>
          <w:rFonts w:hint="eastAsia" w:hAnsi="宋体"/>
          <w:color w:val="auto"/>
          <w:sz w:val="21"/>
          <w:szCs w:val="21"/>
          <w:highlight w:val="none"/>
          <w:lang w:eastAsia="zh-CN"/>
        </w:rPr>
        <w:t>磋商文件</w:t>
      </w:r>
      <w:r>
        <w:rPr>
          <w:rFonts w:hint="eastAsia" w:hAnsi="宋体"/>
          <w:color w:val="auto"/>
          <w:sz w:val="21"/>
          <w:szCs w:val="21"/>
          <w:highlight w:val="none"/>
        </w:rPr>
        <w:t>的语言为简体中文。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 日期：指公历日。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 时间：指北京时间。</w:t>
      </w:r>
    </w:p>
    <w:p>
      <w:pPr>
        <w:pStyle w:val="6"/>
        <w:adjustRightInd/>
        <w:spacing w:line="360" w:lineRule="auto"/>
        <w:ind w:firstLine="420" w:firstLineChars="200"/>
        <w:rPr>
          <w:rFonts w:hAnsi="宋体"/>
          <w:color w:val="auto"/>
          <w:sz w:val="21"/>
          <w:szCs w:val="21"/>
          <w:highlight w:val="none"/>
        </w:rPr>
      </w:pPr>
      <w:bookmarkStart w:id="23" w:name="_Toc24709"/>
      <w:bookmarkStart w:id="24" w:name="_Toc7897864"/>
      <w:bookmarkStart w:id="25" w:name="_Toc367"/>
      <w:bookmarkStart w:id="26" w:name="_Toc110953831"/>
      <w:bookmarkStart w:id="27" w:name="_Toc11645"/>
      <w:bookmarkStart w:id="28" w:name="_Toc6968688"/>
      <w:bookmarkStart w:id="29" w:name="_Toc507407360"/>
      <w:bookmarkStart w:id="30" w:name="_Toc102277757"/>
      <w:bookmarkStart w:id="31" w:name="_Toc6882676"/>
      <w:bookmarkStart w:id="32" w:name="_Toc466786435"/>
      <w:r>
        <w:rPr>
          <w:rFonts w:hint="eastAsia" w:hAnsi="宋体"/>
          <w:color w:val="auto"/>
          <w:sz w:val="21"/>
          <w:szCs w:val="21"/>
          <w:highlight w:val="none"/>
        </w:rPr>
        <w:t>3.适用法律</w:t>
      </w:r>
      <w:bookmarkEnd w:id="23"/>
      <w:bookmarkEnd w:id="24"/>
      <w:bookmarkEnd w:id="25"/>
      <w:bookmarkEnd w:id="26"/>
      <w:bookmarkEnd w:id="27"/>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采购人、供应商和采购代理机构均应当参照</w:t>
      </w:r>
      <w:r>
        <w:rPr>
          <w:rFonts w:hint="eastAsia" w:hAnsi="宋体"/>
          <w:color w:val="auto"/>
          <w:sz w:val="21"/>
          <w:szCs w:val="21"/>
          <w:highlight w:val="none"/>
          <w:lang w:eastAsia="zh-CN"/>
        </w:rPr>
        <w:t>广东东实开能能源有限公司</w:t>
      </w:r>
      <w:r>
        <w:rPr>
          <w:rFonts w:hint="eastAsia" w:hAnsi="宋体"/>
          <w:color w:val="auto"/>
          <w:sz w:val="21"/>
          <w:szCs w:val="21"/>
          <w:highlight w:val="none"/>
        </w:rPr>
        <w:t>相关招标采购规定执行。</w:t>
      </w:r>
    </w:p>
    <w:p>
      <w:pPr>
        <w:pStyle w:val="6"/>
        <w:adjustRightInd/>
        <w:spacing w:line="360" w:lineRule="auto"/>
        <w:ind w:firstLine="420" w:firstLineChars="200"/>
        <w:rPr>
          <w:rFonts w:hAnsi="宋体"/>
          <w:color w:val="auto"/>
          <w:sz w:val="21"/>
          <w:szCs w:val="21"/>
          <w:highlight w:val="none"/>
          <w:lang w:val="zh-CN"/>
        </w:rPr>
      </w:pPr>
      <w:bookmarkStart w:id="33" w:name="_Toc20707"/>
      <w:bookmarkStart w:id="34" w:name="_Toc22776"/>
      <w:bookmarkStart w:id="35" w:name="_Toc10397"/>
      <w:bookmarkStart w:id="36" w:name="_Toc110953833"/>
      <w:bookmarkStart w:id="37" w:name="_Toc7897866"/>
      <w:r>
        <w:rPr>
          <w:rFonts w:hint="eastAsia" w:hAnsi="宋体"/>
          <w:color w:val="auto"/>
          <w:sz w:val="21"/>
          <w:szCs w:val="21"/>
          <w:highlight w:val="none"/>
          <w:lang w:val="zh-CN"/>
        </w:rPr>
        <w:t>4</w:t>
      </w:r>
      <w:r>
        <w:rPr>
          <w:rFonts w:hint="eastAsia" w:hAnsi="宋体"/>
          <w:color w:val="auto"/>
          <w:sz w:val="21"/>
          <w:szCs w:val="21"/>
          <w:highlight w:val="none"/>
        </w:rPr>
        <w:t>.</w:t>
      </w:r>
      <w:r>
        <w:rPr>
          <w:rFonts w:hint="eastAsia" w:hAnsi="宋体"/>
          <w:color w:val="auto"/>
          <w:sz w:val="21"/>
          <w:szCs w:val="21"/>
          <w:highlight w:val="none"/>
          <w:lang w:val="zh-CN"/>
        </w:rPr>
        <w:t>本项目不接受联合体磋商。</w:t>
      </w:r>
      <w:bookmarkEnd w:id="33"/>
      <w:bookmarkEnd w:id="34"/>
    </w:p>
    <w:p>
      <w:pPr>
        <w:pStyle w:val="6"/>
        <w:adjustRightInd/>
        <w:spacing w:line="360" w:lineRule="auto"/>
        <w:ind w:firstLine="420" w:firstLineChars="200"/>
        <w:rPr>
          <w:rFonts w:hAnsi="宋体"/>
          <w:bCs/>
          <w:color w:val="auto"/>
          <w:sz w:val="21"/>
          <w:szCs w:val="21"/>
          <w:highlight w:val="none"/>
        </w:rPr>
      </w:pPr>
      <w:bookmarkStart w:id="38" w:name="_Toc10368"/>
      <w:bookmarkStart w:id="39" w:name="_Toc14775"/>
      <w:r>
        <w:rPr>
          <w:rFonts w:hint="eastAsia" w:hAnsi="宋体"/>
          <w:color w:val="auto"/>
          <w:sz w:val="21"/>
          <w:szCs w:val="21"/>
          <w:highlight w:val="none"/>
        </w:rPr>
        <w:t>5.禁止事项</w:t>
      </w:r>
      <w:bookmarkEnd w:id="35"/>
      <w:bookmarkEnd w:id="36"/>
      <w:bookmarkEnd w:id="37"/>
      <w:bookmarkEnd w:id="38"/>
      <w:bookmarkEnd w:id="39"/>
    </w:p>
    <w:p>
      <w:pPr>
        <w:spacing w:line="360" w:lineRule="auto"/>
        <w:ind w:firstLine="420" w:firstLineChars="200"/>
        <w:rPr>
          <w:rFonts w:hAnsi="宋体"/>
          <w:color w:val="auto"/>
          <w:sz w:val="21"/>
          <w:szCs w:val="21"/>
          <w:highlight w:val="none"/>
        </w:rPr>
      </w:pPr>
      <w:bookmarkStart w:id="40" w:name="_Toc98126293"/>
      <w:bookmarkStart w:id="41" w:name="_Toc98126218"/>
      <w:r>
        <w:rPr>
          <w:rFonts w:hint="eastAsia" w:hAnsi="宋体"/>
          <w:color w:val="auto"/>
          <w:sz w:val="21"/>
          <w:szCs w:val="21"/>
          <w:highlight w:val="none"/>
        </w:rPr>
        <w:t>5.1采购人、供应商和采购代理机构不得相互串通损害国家利益、社会公共利益和其他当事人的合法权益。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5.2供应商不得向采购人、采购代理机构、磋商小组的组成人员行贿或者采取其他不正当手段谋取成交。</w:t>
      </w:r>
      <w:bookmarkEnd w:id="40"/>
      <w:bookmarkEnd w:id="41"/>
    </w:p>
    <w:p>
      <w:pPr>
        <w:spacing w:line="360" w:lineRule="auto"/>
        <w:ind w:firstLine="420" w:firstLineChars="200"/>
        <w:rPr>
          <w:rFonts w:hAnsi="宋体"/>
          <w:color w:val="auto"/>
          <w:sz w:val="21"/>
          <w:szCs w:val="21"/>
          <w:highlight w:val="none"/>
        </w:rPr>
      </w:pPr>
      <w:bookmarkStart w:id="42" w:name="_Toc98126219"/>
      <w:bookmarkStart w:id="43" w:name="_Toc98126294"/>
      <w:r>
        <w:rPr>
          <w:rFonts w:hint="eastAsia" w:hAnsi="宋体"/>
          <w:color w:val="auto"/>
          <w:sz w:val="21"/>
          <w:szCs w:val="21"/>
          <w:highlight w:val="none"/>
        </w:rPr>
        <w:t>5.3采购代理机构不得向采购人行贿或者采取其他不正当手段谋取非法利益。</w:t>
      </w:r>
      <w:bookmarkEnd w:id="42"/>
      <w:bookmarkEnd w:id="43"/>
    </w:p>
    <w:p>
      <w:pPr>
        <w:spacing w:line="360" w:lineRule="auto"/>
        <w:ind w:firstLine="420" w:firstLineChars="200"/>
        <w:rPr>
          <w:rFonts w:hAnsi="宋体"/>
          <w:color w:val="auto"/>
          <w:sz w:val="21"/>
          <w:szCs w:val="21"/>
          <w:highlight w:val="none"/>
        </w:rPr>
      </w:pPr>
      <w:bookmarkStart w:id="44" w:name="_Toc98126220"/>
      <w:bookmarkStart w:id="45" w:name="_Toc98126295"/>
      <w:r>
        <w:rPr>
          <w:rFonts w:hint="eastAsia" w:hAnsi="宋体"/>
          <w:color w:val="auto"/>
          <w:sz w:val="21"/>
          <w:szCs w:val="21"/>
          <w:highlight w:val="none"/>
        </w:rPr>
        <w:t>5.4除供应商被要求对响应文件进行质疑澄清外，从开启响应文件之时起至授予合同止，供应商不得就与其响应文件有关的事项主动与磋商小组、采购人以及采购代理机构接触。</w:t>
      </w:r>
      <w:bookmarkEnd w:id="44"/>
      <w:bookmarkEnd w:id="45"/>
    </w:p>
    <w:p>
      <w:pPr>
        <w:pStyle w:val="6"/>
        <w:adjustRightInd/>
        <w:spacing w:line="360" w:lineRule="auto"/>
        <w:ind w:firstLine="420" w:firstLineChars="200"/>
        <w:rPr>
          <w:rFonts w:hAnsi="宋体"/>
          <w:bCs/>
          <w:color w:val="auto"/>
          <w:sz w:val="21"/>
          <w:szCs w:val="21"/>
          <w:highlight w:val="none"/>
        </w:rPr>
      </w:pPr>
      <w:bookmarkStart w:id="46" w:name="_Toc12440"/>
      <w:bookmarkStart w:id="47" w:name="_Toc110953834"/>
      <w:bookmarkStart w:id="48" w:name="_Toc2863"/>
      <w:bookmarkStart w:id="49" w:name="_Toc7897867"/>
      <w:bookmarkStart w:id="50" w:name="_Toc25870"/>
      <w:r>
        <w:rPr>
          <w:rFonts w:hint="eastAsia" w:hAnsi="宋体"/>
          <w:color w:val="auto"/>
          <w:sz w:val="21"/>
          <w:szCs w:val="21"/>
          <w:highlight w:val="none"/>
        </w:rPr>
        <w:t>6.保密及其它注意事项</w:t>
      </w:r>
      <w:bookmarkEnd w:id="46"/>
      <w:bookmarkEnd w:id="47"/>
      <w:bookmarkEnd w:id="48"/>
      <w:bookmarkEnd w:id="49"/>
      <w:bookmarkEnd w:id="50"/>
    </w:p>
    <w:p>
      <w:pPr>
        <w:spacing w:line="360" w:lineRule="auto"/>
        <w:ind w:firstLine="420" w:firstLineChars="200"/>
        <w:rPr>
          <w:rFonts w:hAnsi="宋体"/>
          <w:color w:val="auto"/>
          <w:sz w:val="21"/>
          <w:szCs w:val="21"/>
          <w:highlight w:val="none"/>
        </w:rPr>
      </w:pPr>
      <w:bookmarkStart w:id="51" w:name="_Toc98126222"/>
      <w:bookmarkStart w:id="52" w:name="_Toc98126297"/>
      <w:r>
        <w:rPr>
          <w:rFonts w:hint="eastAsia" w:hAnsi="宋体"/>
          <w:color w:val="auto"/>
          <w:sz w:val="21"/>
          <w:szCs w:val="21"/>
          <w:highlight w:val="none"/>
        </w:rPr>
        <w:t>6.1凡参与采购工作的有关人员均应自觉接受有关主管部门的监督，不得向他人透露可能影响公平竞争的有关情况。</w:t>
      </w:r>
      <w:bookmarkEnd w:id="51"/>
      <w:bookmarkEnd w:id="52"/>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6.3在评审期间，供应商不得向磋商小组成员询问评审情况，不得进行旨在影响评审结果的活动。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6.4磋商小组不向未成交供应商解释落选原因，不退还响应文件。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6.5所有供应商自行承担与响应有关的全部费用。采购人和采购代理机构在任何情况下均不承担该费用。</w:t>
      </w:r>
    </w:p>
    <w:p>
      <w:pPr>
        <w:pStyle w:val="6"/>
        <w:adjustRightInd/>
        <w:spacing w:line="360" w:lineRule="auto"/>
        <w:ind w:firstLine="420" w:firstLineChars="200"/>
        <w:rPr>
          <w:rFonts w:hAnsi="宋体"/>
          <w:color w:val="auto"/>
          <w:sz w:val="21"/>
          <w:szCs w:val="21"/>
          <w:highlight w:val="none"/>
        </w:rPr>
      </w:pPr>
      <w:bookmarkStart w:id="53" w:name="_Toc27298"/>
      <w:bookmarkStart w:id="54" w:name="_Toc13371"/>
      <w:bookmarkStart w:id="55" w:name="_Toc497016085"/>
      <w:bookmarkStart w:id="56" w:name="_Toc30861"/>
      <w:bookmarkStart w:id="57" w:name="_Toc7897868"/>
      <w:r>
        <w:rPr>
          <w:rFonts w:hint="eastAsia" w:hAnsi="宋体"/>
          <w:color w:val="auto"/>
          <w:sz w:val="21"/>
          <w:szCs w:val="21"/>
          <w:highlight w:val="none"/>
        </w:rPr>
        <w:t>7.供应商诚信管理</w:t>
      </w:r>
      <w:bookmarkEnd w:id="53"/>
      <w:bookmarkEnd w:id="54"/>
      <w:bookmarkEnd w:id="55"/>
      <w:bookmarkEnd w:id="56"/>
      <w:bookmarkEnd w:id="57"/>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7.2如果采购人或采购代理机构有证据表明供应商在本磋商项目的竞争中存在腐败、欺诈或其他严重违背诚信原则的行为，则将拒绝其响应。</w:t>
      </w:r>
    </w:p>
    <w:p>
      <w:pPr>
        <w:spacing w:line="360" w:lineRule="auto"/>
        <w:rPr>
          <w:rFonts w:hAnsi="宋体"/>
          <w:color w:val="auto"/>
          <w:sz w:val="21"/>
          <w:szCs w:val="21"/>
          <w:highlight w:val="none"/>
        </w:rPr>
      </w:pPr>
    </w:p>
    <w:p>
      <w:pPr>
        <w:pStyle w:val="5"/>
        <w:adjustRightInd/>
        <w:spacing w:line="360" w:lineRule="auto"/>
        <w:ind w:firstLine="562" w:firstLineChars="200"/>
        <w:jc w:val="center"/>
        <w:rPr>
          <w:color w:val="auto"/>
          <w:sz w:val="28"/>
          <w:szCs w:val="28"/>
          <w:highlight w:val="none"/>
        </w:rPr>
      </w:pPr>
      <w:bookmarkStart w:id="58" w:name="_Toc7897869"/>
      <w:bookmarkStart w:id="59" w:name="_Toc29459"/>
      <w:bookmarkStart w:id="60" w:name="_Toc23741"/>
      <w:r>
        <w:rPr>
          <w:rFonts w:hint="eastAsia"/>
          <w:color w:val="auto"/>
          <w:sz w:val="28"/>
          <w:szCs w:val="28"/>
          <w:highlight w:val="none"/>
        </w:rPr>
        <w:t>二、磋商文件说明</w:t>
      </w:r>
      <w:bookmarkEnd w:id="28"/>
      <w:bookmarkEnd w:id="29"/>
      <w:bookmarkEnd w:id="30"/>
      <w:bookmarkEnd w:id="31"/>
      <w:bookmarkEnd w:id="32"/>
      <w:bookmarkEnd w:id="58"/>
      <w:bookmarkEnd w:id="59"/>
      <w:bookmarkEnd w:id="60"/>
    </w:p>
    <w:p>
      <w:pPr>
        <w:pStyle w:val="6"/>
        <w:adjustRightInd/>
        <w:spacing w:line="360" w:lineRule="auto"/>
        <w:ind w:firstLine="420" w:firstLineChars="200"/>
        <w:rPr>
          <w:rFonts w:hAnsi="宋体"/>
          <w:color w:val="auto"/>
          <w:sz w:val="21"/>
          <w:szCs w:val="21"/>
          <w:highlight w:val="none"/>
        </w:rPr>
      </w:pPr>
      <w:bookmarkStart w:id="61" w:name="_Toc7897870"/>
      <w:bookmarkStart w:id="62" w:name="_Toc23606"/>
      <w:bookmarkStart w:id="63" w:name="_Toc29560"/>
      <w:bookmarkStart w:id="64" w:name="_Toc17341"/>
      <w:bookmarkStart w:id="65" w:name="_Toc110953836"/>
      <w:bookmarkStart w:id="66" w:name="_Toc466786436"/>
      <w:bookmarkStart w:id="67" w:name="_Toc6968689"/>
      <w:bookmarkStart w:id="68" w:name="_Toc6882677"/>
      <w:bookmarkStart w:id="69" w:name="_Toc507407361"/>
      <w:bookmarkStart w:id="70" w:name="_Toc102277758"/>
      <w:r>
        <w:rPr>
          <w:rFonts w:hint="eastAsia" w:hAnsi="宋体"/>
          <w:color w:val="auto"/>
          <w:sz w:val="21"/>
          <w:szCs w:val="21"/>
          <w:highlight w:val="none"/>
        </w:rPr>
        <w:t>8.磋商文件构成</w:t>
      </w:r>
      <w:bookmarkEnd w:id="61"/>
      <w:bookmarkEnd w:id="62"/>
      <w:bookmarkEnd w:id="63"/>
      <w:bookmarkEnd w:id="64"/>
      <w:bookmarkEnd w:id="6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8.1磋商文件用以阐明项目情况、评审程序、评审办法、定标标准和合同条款参考范本和响应文件的制作等，由采购邀请函、采购需求、供应商须知、响应文件格式和合同范本构成。</w:t>
      </w:r>
    </w:p>
    <w:p>
      <w:pPr>
        <w:pStyle w:val="6"/>
        <w:adjustRightInd/>
        <w:spacing w:line="360" w:lineRule="auto"/>
        <w:ind w:firstLine="420" w:firstLineChars="200"/>
        <w:rPr>
          <w:rFonts w:hAnsi="宋体"/>
          <w:color w:val="auto"/>
          <w:sz w:val="21"/>
          <w:szCs w:val="21"/>
          <w:highlight w:val="none"/>
        </w:rPr>
      </w:pPr>
      <w:bookmarkStart w:id="71" w:name="_Toc16827"/>
      <w:bookmarkStart w:id="72" w:name="_Toc7897871"/>
      <w:bookmarkStart w:id="73" w:name="_Toc10943"/>
      <w:bookmarkStart w:id="74" w:name="_Toc110953837"/>
      <w:bookmarkStart w:id="75" w:name="_Toc19701"/>
      <w:r>
        <w:rPr>
          <w:rFonts w:hint="eastAsia" w:hAnsi="宋体"/>
          <w:color w:val="auto"/>
          <w:sz w:val="21"/>
          <w:szCs w:val="21"/>
          <w:highlight w:val="none"/>
        </w:rPr>
        <w:t>9.磋商文件的修改</w:t>
      </w:r>
      <w:bookmarkEnd w:id="71"/>
      <w:bookmarkEnd w:id="72"/>
      <w:bookmarkEnd w:id="73"/>
      <w:bookmarkEnd w:id="74"/>
      <w:bookmarkEnd w:id="7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9.2如果修改的时间距响应文件递交截止时间不足5日的，将相应顺延递交首次响应文件截止时间。</w:t>
      </w:r>
    </w:p>
    <w:p>
      <w:pPr>
        <w:pStyle w:val="14"/>
        <w:ind w:firstLine="400"/>
        <w:rPr>
          <w:color w:val="auto"/>
          <w:highlight w:val="none"/>
        </w:rPr>
      </w:pPr>
    </w:p>
    <w:bookmarkEnd w:id="66"/>
    <w:bookmarkEnd w:id="67"/>
    <w:bookmarkEnd w:id="68"/>
    <w:bookmarkEnd w:id="69"/>
    <w:bookmarkEnd w:id="70"/>
    <w:p>
      <w:pPr>
        <w:pStyle w:val="5"/>
        <w:adjustRightInd/>
        <w:spacing w:line="360" w:lineRule="auto"/>
        <w:ind w:firstLine="562" w:firstLineChars="200"/>
        <w:jc w:val="center"/>
        <w:rPr>
          <w:color w:val="auto"/>
          <w:sz w:val="28"/>
          <w:szCs w:val="28"/>
          <w:highlight w:val="none"/>
        </w:rPr>
      </w:pPr>
      <w:bookmarkStart w:id="76" w:name="_Toc15398"/>
      <w:bookmarkStart w:id="77" w:name="_Toc7897872"/>
      <w:bookmarkStart w:id="78" w:name="_Toc23976"/>
      <w:bookmarkStart w:id="79" w:name="_Toc110953838"/>
      <w:bookmarkStart w:id="80" w:name="_Toc507407362"/>
      <w:bookmarkStart w:id="81" w:name="_Toc6968690"/>
      <w:bookmarkStart w:id="82" w:name="_Toc102277759"/>
      <w:bookmarkStart w:id="83" w:name="_Toc6882678"/>
      <w:bookmarkStart w:id="84" w:name="_Toc466786437"/>
      <w:r>
        <w:rPr>
          <w:rFonts w:hint="eastAsia"/>
          <w:color w:val="auto"/>
          <w:sz w:val="28"/>
          <w:szCs w:val="28"/>
          <w:highlight w:val="none"/>
        </w:rPr>
        <w:t>三、响应文件的制作</w:t>
      </w:r>
      <w:bookmarkEnd w:id="76"/>
      <w:bookmarkEnd w:id="77"/>
      <w:bookmarkEnd w:id="78"/>
      <w:bookmarkEnd w:id="79"/>
    </w:p>
    <w:p>
      <w:pPr>
        <w:pStyle w:val="6"/>
        <w:adjustRightInd/>
        <w:spacing w:line="360" w:lineRule="auto"/>
        <w:ind w:firstLine="420" w:firstLineChars="200"/>
        <w:rPr>
          <w:rFonts w:hAnsi="宋体"/>
          <w:color w:val="auto"/>
          <w:sz w:val="21"/>
          <w:szCs w:val="21"/>
          <w:highlight w:val="none"/>
        </w:rPr>
      </w:pPr>
      <w:bookmarkStart w:id="85" w:name="_Toc110953839"/>
      <w:bookmarkStart w:id="86" w:name="_Toc15756"/>
      <w:bookmarkStart w:id="87" w:name="_Toc7897873"/>
      <w:bookmarkStart w:id="88" w:name="_Toc23789"/>
      <w:bookmarkStart w:id="89" w:name="_Toc29773"/>
      <w:r>
        <w:rPr>
          <w:rFonts w:hint="eastAsia" w:hAnsi="宋体"/>
          <w:color w:val="auto"/>
          <w:sz w:val="21"/>
          <w:szCs w:val="21"/>
          <w:highlight w:val="none"/>
        </w:rPr>
        <w:t>10.制作要求</w:t>
      </w:r>
      <w:bookmarkEnd w:id="85"/>
      <w:bookmarkEnd w:id="86"/>
      <w:bookmarkEnd w:id="87"/>
      <w:bookmarkEnd w:id="88"/>
      <w:bookmarkEnd w:id="8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10.1供应商应当仔细阅读磋商文件的所有内容，按磋商文件的要求提供响应文件，并保证所提供的全部资料的真实性及对磋商文件作出实质性响应。</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10.2供应商应按磋商文件中提供的响应文件格式制作响应文件。如有关表格不能满足填报需要，可以对表格格式作出相应调整，但不得更改表格的实质性内容。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w:t>
      </w:r>
      <w:r>
        <w:rPr>
          <w:rFonts w:hint="eastAsia" w:hAnsi="宋体"/>
          <w:b/>
          <w:color w:val="auto"/>
          <w:sz w:val="21"/>
          <w:szCs w:val="21"/>
          <w:highlight w:val="none"/>
        </w:rPr>
        <w:t>3供应商应提供正本一份、副本三份、唱标信封一份。</w:t>
      </w:r>
      <w:r>
        <w:rPr>
          <w:rFonts w:hint="eastAsia" w:hAnsi="宋体"/>
          <w:color w:val="auto"/>
          <w:sz w:val="21"/>
          <w:szCs w:val="21"/>
          <w:highlight w:val="none"/>
        </w:rPr>
        <w:t>在每一份响应文件上要明确注明“正本”、“副本”或“唱标信封”字样，一旦正本和副本有差异，以正本为准。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10.6电报、电话、传真、电子邮件形式的响应概不接受。</w:t>
      </w:r>
    </w:p>
    <w:p>
      <w:pPr>
        <w:pStyle w:val="6"/>
        <w:adjustRightInd/>
        <w:spacing w:line="360" w:lineRule="auto"/>
        <w:ind w:firstLine="420" w:firstLineChars="200"/>
        <w:rPr>
          <w:rFonts w:hAnsi="宋体"/>
          <w:color w:val="auto"/>
          <w:sz w:val="21"/>
          <w:szCs w:val="21"/>
          <w:highlight w:val="none"/>
        </w:rPr>
      </w:pPr>
      <w:bookmarkStart w:id="90" w:name="_Toc11441"/>
      <w:bookmarkStart w:id="91" w:name="_Toc7897874"/>
      <w:bookmarkStart w:id="92" w:name="_Toc110953840"/>
      <w:bookmarkStart w:id="93" w:name="_Toc20552"/>
      <w:bookmarkStart w:id="94" w:name="_Toc18079"/>
      <w:r>
        <w:rPr>
          <w:rFonts w:hint="eastAsia" w:hAnsi="宋体"/>
          <w:color w:val="auto"/>
          <w:sz w:val="21"/>
          <w:szCs w:val="21"/>
          <w:highlight w:val="none"/>
        </w:rPr>
        <w:t>11.响应文件的内容</w:t>
      </w:r>
      <w:bookmarkEnd w:id="90"/>
      <w:bookmarkEnd w:id="91"/>
      <w:bookmarkEnd w:id="92"/>
      <w:bookmarkEnd w:id="93"/>
      <w:bookmarkEnd w:id="9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11.1响应文件应包括下列部分：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11.1.1价格文件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11.1.2商务、技术文件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11.1.3唱标信封（须独立密封）</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供应商应如实详细提供第11.1款所要求的全部资料，价格部分文件必须单独装订成册，商务、技术和其他证明资料等磋商响应文件不能出现磋商价格。</w:t>
      </w:r>
    </w:p>
    <w:p>
      <w:pPr>
        <w:spacing w:line="360" w:lineRule="auto"/>
        <w:rPr>
          <w:rFonts w:hAnsi="宋体"/>
          <w:color w:val="auto"/>
          <w:sz w:val="21"/>
          <w:szCs w:val="21"/>
          <w:highlight w:val="none"/>
        </w:rPr>
      </w:pPr>
      <w:r>
        <w:rPr>
          <w:rFonts w:hint="eastAsia" w:hAnsi="宋体"/>
          <w:color w:val="auto"/>
          <w:sz w:val="21"/>
          <w:szCs w:val="21"/>
          <w:highlight w:val="none"/>
        </w:rPr>
        <w:t>11.2响应（磋商）报价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（1）响应（磋商）报价应为人民币含税全包价，报价应包含服务及所需的各种税费、售后服务费及合同实施过程中的应预见和不可预见费用等完成合同规定责任和义务、达到合同目的的一切费用。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（2）磋商报价应包括所有应支付的对专利权和版权、设计或其他知识产权而需要向其他方支付的版税。</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（3）供应商应按响应文件的《报价一览表》格式填写响应内容的单价和总价。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（4）</w:t>
      </w:r>
      <w:r>
        <w:rPr>
          <w:rFonts w:hint="eastAsia" w:hAnsi="宋体"/>
          <w:b/>
          <w:bCs/>
          <w:color w:val="auto"/>
          <w:sz w:val="21"/>
          <w:szCs w:val="21"/>
          <w:highlight w:val="none"/>
        </w:rPr>
        <w:t>供应商每次报价超过最高限价视为非实质性响应磋商而予以拒绝。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w:t>
      </w:r>
      <w:r>
        <w:rPr>
          <w:rFonts w:hint="eastAsia" w:hAnsi="宋体"/>
          <w:b/>
          <w:color w:val="auto"/>
          <w:sz w:val="21"/>
          <w:szCs w:val="21"/>
          <w:highlight w:val="none"/>
        </w:rPr>
        <w:t>供应商只能就单个项目提供唯一的方案和报价，不接受选择性的方案和报价</w:t>
      </w:r>
      <w:r>
        <w:rPr>
          <w:rFonts w:hint="eastAsia" w:hAnsi="宋体"/>
          <w:color w:val="auto"/>
          <w:sz w:val="21"/>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11.3证明供应商合格和资格的文件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11.4供应商应当提交具备履行合同的证明文件。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11.5证明文件包括：履行合同所必须具备的财务能力证明、技术能力证明，符合磋商文件资格要求的证明等。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11.6证明服务的合格性和符合磋商文件规定的文件。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11.7供应商应提交其拟供的合同项下的服务的合格性符合磋商文件规定的证明文件，并作为其响应文件的一部分。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6"/>
        <w:adjustRightInd/>
        <w:spacing w:line="360" w:lineRule="auto"/>
        <w:ind w:firstLine="420" w:firstLineChars="200"/>
        <w:rPr>
          <w:rFonts w:hAnsi="宋体"/>
          <w:color w:val="auto"/>
          <w:sz w:val="21"/>
          <w:szCs w:val="21"/>
          <w:highlight w:val="none"/>
        </w:rPr>
      </w:pPr>
      <w:bookmarkStart w:id="95" w:name="_Toc12099"/>
      <w:bookmarkStart w:id="96" w:name="_Toc7897875"/>
      <w:bookmarkStart w:id="97" w:name="_Toc9150"/>
      <w:bookmarkStart w:id="98" w:name="_Toc110953841"/>
      <w:bookmarkStart w:id="99" w:name="_Toc21763"/>
      <w:r>
        <w:rPr>
          <w:rFonts w:hint="eastAsia" w:hAnsi="宋体"/>
          <w:color w:val="auto"/>
          <w:sz w:val="21"/>
          <w:szCs w:val="21"/>
          <w:highlight w:val="none"/>
        </w:rPr>
        <w:t>12.响应文件格式</w:t>
      </w:r>
      <w:bookmarkEnd w:id="95"/>
      <w:bookmarkEnd w:id="96"/>
      <w:bookmarkEnd w:id="97"/>
      <w:bookmarkEnd w:id="98"/>
      <w:bookmarkEnd w:id="9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6"/>
        <w:adjustRightInd/>
        <w:spacing w:line="360" w:lineRule="auto"/>
        <w:ind w:firstLine="420" w:firstLineChars="200"/>
        <w:rPr>
          <w:rFonts w:hAnsi="宋体"/>
          <w:color w:val="auto"/>
          <w:sz w:val="21"/>
          <w:szCs w:val="21"/>
          <w:highlight w:val="none"/>
        </w:rPr>
      </w:pPr>
      <w:bookmarkStart w:id="100" w:name="_Toc185150707"/>
      <w:bookmarkStart w:id="101" w:name="_Toc30889"/>
      <w:bookmarkStart w:id="102" w:name="_Toc7897876"/>
      <w:bookmarkStart w:id="103" w:name="_Toc575"/>
      <w:bookmarkStart w:id="104" w:name="_Toc24570"/>
      <w:r>
        <w:rPr>
          <w:rFonts w:hint="eastAsia" w:hAnsi="宋体"/>
          <w:color w:val="auto"/>
          <w:sz w:val="21"/>
          <w:szCs w:val="21"/>
          <w:highlight w:val="none"/>
        </w:rPr>
        <w:t>13.</w:t>
      </w:r>
      <w:bookmarkEnd w:id="100"/>
      <w:r>
        <w:rPr>
          <w:rFonts w:hint="eastAsia" w:hAnsi="宋体"/>
          <w:color w:val="auto"/>
          <w:sz w:val="21"/>
          <w:szCs w:val="21"/>
          <w:highlight w:val="none"/>
        </w:rPr>
        <w:t>磋商保证金</w:t>
      </w:r>
      <w:bookmarkEnd w:id="101"/>
      <w:bookmarkEnd w:id="102"/>
      <w:bookmarkEnd w:id="103"/>
      <w:bookmarkEnd w:id="10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13.1供应商应向采购代理机构提交磋商保证金，并作为其响应文件的一部分。磋商保证金的金额：</w:t>
      </w:r>
    </w:p>
    <w:tbl>
      <w:tblPr>
        <w:tblStyle w:val="52"/>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8"/>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5608"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内容</w:t>
            </w:r>
          </w:p>
        </w:tc>
        <w:tc>
          <w:tcPr>
            <w:tcW w:w="3200"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08" w:type="dxa"/>
            <w:vAlign w:val="center"/>
          </w:tcPr>
          <w:p>
            <w:pPr>
              <w:widowControl/>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莞番高速（寮步段）垃圾填埋场治理项目土地复垦工程</w:t>
            </w:r>
          </w:p>
        </w:tc>
        <w:tc>
          <w:tcPr>
            <w:tcW w:w="3200" w:type="dxa"/>
            <w:vAlign w:val="center"/>
          </w:tcPr>
          <w:p>
            <w:pPr>
              <w:widowControl/>
              <w:jc w:val="center"/>
              <w:rPr>
                <w:rFonts w:hAnsi="宋体"/>
                <w:color w:val="auto"/>
                <w:sz w:val="21"/>
                <w:szCs w:val="21"/>
                <w:highlight w:val="none"/>
              </w:rPr>
            </w:pPr>
            <w:r>
              <w:rPr>
                <w:rFonts w:hint="eastAsia" w:hAnsi="宋体"/>
                <w:color w:val="auto"/>
                <w:sz w:val="21"/>
                <w:szCs w:val="21"/>
                <w:highlight w:val="none"/>
              </w:rPr>
              <w:t>人民币</w:t>
            </w:r>
            <w:r>
              <w:rPr>
                <w:rFonts w:hint="eastAsia" w:hAnsi="宋体"/>
                <w:color w:val="auto"/>
                <w:sz w:val="21"/>
                <w:szCs w:val="21"/>
                <w:highlight w:val="none"/>
                <w:lang w:val="en-US" w:eastAsia="zh-CN"/>
              </w:rPr>
              <w:t>肆万</w:t>
            </w:r>
            <w:r>
              <w:rPr>
                <w:rFonts w:hint="eastAsia" w:hAnsi="宋体"/>
                <w:color w:val="auto"/>
                <w:sz w:val="21"/>
                <w:szCs w:val="21"/>
                <w:highlight w:val="none"/>
              </w:rPr>
              <w:t>元整（</w:t>
            </w:r>
            <w:r>
              <w:rPr>
                <w:rFonts w:hint="eastAsia" w:hAnsi="宋体"/>
                <w:color w:val="auto"/>
                <w:sz w:val="21"/>
                <w:szCs w:val="21"/>
                <w:highlight w:val="none"/>
                <w:lang w:val="en-US" w:eastAsia="zh-CN"/>
              </w:rPr>
              <w:t>40000</w:t>
            </w:r>
            <w:r>
              <w:rPr>
                <w:rFonts w:hint="eastAsia" w:hAnsi="宋体"/>
                <w:color w:val="auto"/>
                <w:sz w:val="21"/>
                <w:szCs w:val="21"/>
                <w:highlight w:val="none"/>
              </w:rPr>
              <w:t>.00元）</w:t>
            </w:r>
          </w:p>
        </w:tc>
      </w:tr>
    </w:tbl>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13.2供应商应按要求提交磋商保证金，供应商必须采用银行转账的形式缴交，磋商供应商与交款人名称必须一致，非磋商供应商缴纳的磋商保证金无效。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13.3磋商保证金以银行划账形式提交，应符合下列规定： </w:t>
      </w:r>
    </w:p>
    <w:p>
      <w:pPr>
        <w:tabs>
          <w:tab w:val="left" w:pos="567"/>
        </w:tabs>
        <w:spacing w:line="360" w:lineRule="auto"/>
        <w:ind w:firstLine="420" w:firstLineChars="200"/>
        <w:jc w:val="both"/>
        <w:rPr>
          <w:rFonts w:hAnsi="宋体"/>
          <w:b/>
          <w:bCs/>
          <w:color w:val="auto"/>
          <w:kern w:val="2"/>
          <w:sz w:val="21"/>
          <w:szCs w:val="21"/>
          <w:highlight w:val="none"/>
          <w:lang w:val="zh-CN"/>
        </w:rPr>
      </w:pPr>
      <w:r>
        <w:rPr>
          <w:rFonts w:hint="eastAsia" w:hAnsi="宋体"/>
          <w:color w:val="auto"/>
          <w:kern w:val="2"/>
          <w:sz w:val="21"/>
          <w:szCs w:val="21"/>
          <w:highlight w:val="none"/>
          <w:lang w:val="zh-CN"/>
        </w:rPr>
        <w:t>磋商保证金采用转帐、电汇方式或银行保函方式方式提交，应符合以下要求：</w:t>
      </w:r>
      <w:r>
        <w:rPr>
          <w:rFonts w:hint="eastAsia" w:hAnsi="宋体"/>
          <w:b/>
          <w:bCs/>
          <w:color w:val="auto"/>
          <w:kern w:val="2"/>
          <w:sz w:val="21"/>
          <w:szCs w:val="21"/>
          <w:highlight w:val="none"/>
          <w:lang w:val="zh-CN"/>
        </w:rPr>
        <w:t>采用银行转账、电汇方式提交的，保证金汇入以下磋商保证金专用账户，不接收由以供应商分支机构、私人帐户和其他单位转入的保证金。</w:t>
      </w:r>
      <w:r>
        <w:rPr>
          <w:rFonts w:hint="eastAsia" w:hAnsi="宋体"/>
          <w:color w:val="auto"/>
          <w:kern w:val="2"/>
          <w:sz w:val="21"/>
          <w:szCs w:val="21"/>
          <w:highlight w:val="none"/>
          <w:lang w:val="zh-CN"/>
        </w:rPr>
        <w:t>磋商保证金必须在磋商响应文件递交截止前到账，磋商保证金未按规定时间到达指定账户或提交金额不足的，将被视为无效磋商。且在备注或用途中注明本项目的项目编号。</w:t>
      </w:r>
      <w:r>
        <w:rPr>
          <w:rFonts w:hint="eastAsia" w:hAnsi="宋体"/>
          <w:b/>
          <w:bCs/>
          <w:color w:val="auto"/>
          <w:kern w:val="2"/>
          <w:sz w:val="21"/>
          <w:szCs w:val="21"/>
          <w:highlight w:val="none"/>
          <w:lang w:val="zh-CN"/>
        </w:rPr>
        <w:t>采用银行保函方式递交的，请将保函原件于开标当天磋商截止时间前递交至采购代理机构。</w:t>
      </w:r>
    </w:p>
    <w:p>
      <w:pPr>
        <w:tabs>
          <w:tab w:val="left" w:pos="567"/>
        </w:tabs>
        <w:spacing w:line="360" w:lineRule="auto"/>
        <w:ind w:left="567" w:hanging="567"/>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磋商保证金专用账户如下：</w:t>
      </w:r>
    </w:p>
    <w:p>
      <w:pPr>
        <w:spacing w:line="360" w:lineRule="auto"/>
        <w:ind w:firstLine="422" w:firstLineChars="200"/>
        <w:rPr>
          <w:rFonts w:hint="eastAsia" w:hAnsi="宋体" w:cs="宋体"/>
          <w:b/>
          <w:bCs/>
          <w:color w:val="auto"/>
          <w:kern w:val="2"/>
          <w:sz w:val="21"/>
          <w:szCs w:val="21"/>
          <w:highlight w:val="none"/>
          <w:lang w:val="zh-CN"/>
        </w:rPr>
      </w:pPr>
      <w:r>
        <w:rPr>
          <w:rFonts w:hint="eastAsia" w:hAnsi="宋体" w:cs="宋体"/>
          <w:b/>
          <w:bCs/>
          <w:color w:val="auto"/>
          <w:kern w:val="2"/>
          <w:sz w:val="21"/>
          <w:szCs w:val="21"/>
          <w:highlight w:val="none"/>
          <w:lang w:val="zh-CN"/>
        </w:rPr>
        <w:t>账户名称：广东泰通伟业工程咨询有限公司</w:t>
      </w:r>
    </w:p>
    <w:p>
      <w:pPr>
        <w:spacing w:line="360" w:lineRule="auto"/>
        <w:ind w:firstLine="422" w:firstLineChars="200"/>
        <w:rPr>
          <w:rFonts w:hint="eastAsia" w:hAnsi="宋体" w:cs="宋体"/>
          <w:b/>
          <w:bCs/>
          <w:color w:val="auto"/>
          <w:kern w:val="2"/>
          <w:sz w:val="21"/>
          <w:szCs w:val="21"/>
          <w:highlight w:val="none"/>
          <w:lang w:val="zh-CN"/>
        </w:rPr>
      </w:pPr>
      <w:r>
        <w:rPr>
          <w:rFonts w:hint="eastAsia" w:hAnsi="宋体" w:cs="宋体"/>
          <w:b/>
          <w:bCs/>
          <w:color w:val="auto"/>
          <w:kern w:val="2"/>
          <w:sz w:val="21"/>
          <w:szCs w:val="21"/>
          <w:highlight w:val="none"/>
          <w:lang w:val="zh-CN"/>
        </w:rPr>
        <w:t>账  号：6232590699050052719</w:t>
      </w:r>
    </w:p>
    <w:p>
      <w:pPr>
        <w:spacing w:line="360" w:lineRule="auto"/>
        <w:ind w:firstLine="422" w:firstLineChars="200"/>
        <w:rPr>
          <w:rFonts w:hint="eastAsia" w:hAnsi="宋体" w:cs="宋体"/>
          <w:b/>
          <w:bCs/>
          <w:color w:val="auto"/>
          <w:kern w:val="2"/>
          <w:sz w:val="21"/>
          <w:szCs w:val="21"/>
          <w:highlight w:val="none"/>
          <w:lang w:val="zh-CN"/>
        </w:rPr>
      </w:pPr>
      <w:r>
        <w:rPr>
          <w:rFonts w:hint="eastAsia" w:hAnsi="宋体" w:cs="宋体"/>
          <w:b/>
          <w:bCs/>
          <w:color w:val="auto"/>
          <w:kern w:val="2"/>
          <w:sz w:val="21"/>
          <w:szCs w:val="21"/>
          <w:highlight w:val="none"/>
          <w:lang w:val="zh-CN"/>
        </w:rPr>
        <w:t>开户行：广发银行股份有限公司东莞东翔支行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13.4供应商应将汇款底单复印件附在《磋商保证金汇入情况说明》中。并将《磋商保证金汇入情况说明》密封在单独的唱标信封内。磋商保证金的汇入单位名称须与磋商供应商名称一致，不接受以分支机构名义或个人账户代替供应商进行汇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13.5凡没有根据规定递交磋商保证金的，应视为非响应性磋商予以拒绝。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13.7下列任何情况发生时，磋商保证金将被没收：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13.7.1供应商在磋商文件中规定的磋商有效期内撤回其磋商；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13.7.2供应商串通磋商或者以其他弄虚作假方式磋商；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13.7.3成交供应商在规定期限内未能按规定签订合同；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13.7.4法律法规规定和磋商文件中规定的其它情况。</w:t>
      </w:r>
    </w:p>
    <w:p>
      <w:pPr>
        <w:pStyle w:val="6"/>
        <w:adjustRightInd/>
        <w:spacing w:line="360" w:lineRule="auto"/>
        <w:ind w:firstLine="420" w:firstLineChars="200"/>
        <w:rPr>
          <w:rFonts w:hAnsi="宋体"/>
          <w:color w:val="auto"/>
          <w:sz w:val="21"/>
          <w:szCs w:val="21"/>
          <w:highlight w:val="none"/>
        </w:rPr>
      </w:pPr>
      <w:bookmarkStart w:id="105" w:name="_Toc468157537"/>
      <w:bookmarkStart w:id="106" w:name="_Toc7897877"/>
      <w:bookmarkStart w:id="107" w:name="_Toc480021054"/>
      <w:bookmarkStart w:id="108" w:name="_Toc458262615"/>
      <w:bookmarkStart w:id="109" w:name="_Toc480010709"/>
      <w:bookmarkStart w:id="110" w:name="_Toc480020258"/>
      <w:bookmarkStart w:id="111" w:name="_Toc467236741"/>
      <w:bookmarkStart w:id="112" w:name="_Toc8032"/>
      <w:bookmarkStart w:id="113" w:name="_Toc480171880"/>
      <w:bookmarkStart w:id="114" w:name="_Toc503758471"/>
      <w:bookmarkStart w:id="115" w:name="_Toc468606030"/>
      <w:bookmarkStart w:id="116" w:name="_Toc32304"/>
      <w:bookmarkStart w:id="117" w:name="_Toc479991583"/>
      <w:bookmarkStart w:id="118" w:name="_Toc467987824"/>
      <w:bookmarkStart w:id="119" w:name="_Toc454701382"/>
      <w:bookmarkStart w:id="120" w:name="_Toc2525"/>
      <w:bookmarkStart w:id="121" w:name="_Toc110953842"/>
      <w:r>
        <w:rPr>
          <w:rFonts w:hint="eastAsia" w:hAnsi="宋体"/>
          <w:color w:val="auto"/>
          <w:sz w:val="21"/>
          <w:szCs w:val="21"/>
          <w:highlight w:val="none"/>
        </w:rPr>
        <w:t>14.响应有效期</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14.1响应文件从开启响应文件之日起，响应有效期为90个工作日。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pPr>
        <w:pStyle w:val="14"/>
        <w:ind w:firstLine="400"/>
        <w:rPr>
          <w:color w:val="auto"/>
          <w:highlight w:val="none"/>
        </w:rPr>
      </w:pPr>
    </w:p>
    <w:bookmarkEnd w:id="80"/>
    <w:bookmarkEnd w:id="81"/>
    <w:bookmarkEnd w:id="82"/>
    <w:bookmarkEnd w:id="83"/>
    <w:bookmarkEnd w:id="84"/>
    <w:p>
      <w:pPr>
        <w:pStyle w:val="5"/>
        <w:adjustRightInd/>
        <w:spacing w:line="360" w:lineRule="auto"/>
        <w:ind w:firstLine="562" w:firstLineChars="200"/>
        <w:jc w:val="center"/>
        <w:rPr>
          <w:color w:val="auto"/>
          <w:sz w:val="28"/>
          <w:szCs w:val="28"/>
          <w:highlight w:val="none"/>
        </w:rPr>
      </w:pPr>
      <w:bookmarkStart w:id="122" w:name="_Toc21295"/>
      <w:bookmarkStart w:id="123" w:name="_Toc110953843"/>
      <w:bookmarkStart w:id="124" w:name="_Toc7897878"/>
      <w:bookmarkStart w:id="125" w:name="_Toc17761"/>
      <w:bookmarkStart w:id="126" w:name="_Toc102277760"/>
      <w:bookmarkStart w:id="127" w:name="_Toc507407363"/>
      <w:bookmarkStart w:id="128" w:name="_Toc6882679"/>
      <w:bookmarkStart w:id="129" w:name="_Toc6968691"/>
      <w:bookmarkStart w:id="130" w:name="_Toc466786438"/>
      <w:r>
        <w:rPr>
          <w:rFonts w:hint="eastAsia"/>
          <w:color w:val="auto"/>
          <w:sz w:val="28"/>
          <w:szCs w:val="28"/>
          <w:highlight w:val="none"/>
        </w:rPr>
        <w:t>四、响应文件的递交</w:t>
      </w:r>
      <w:bookmarkEnd w:id="122"/>
      <w:bookmarkEnd w:id="123"/>
      <w:bookmarkEnd w:id="124"/>
      <w:bookmarkEnd w:id="125"/>
    </w:p>
    <w:p>
      <w:pPr>
        <w:pStyle w:val="6"/>
        <w:adjustRightInd/>
        <w:spacing w:line="360" w:lineRule="auto"/>
        <w:ind w:firstLine="420" w:firstLineChars="200"/>
        <w:rPr>
          <w:rFonts w:hAnsi="宋体"/>
          <w:color w:val="auto"/>
          <w:sz w:val="21"/>
          <w:szCs w:val="21"/>
          <w:highlight w:val="none"/>
        </w:rPr>
      </w:pPr>
      <w:bookmarkStart w:id="131" w:name="_Toc7897879"/>
      <w:bookmarkStart w:id="132" w:name="_Toc2684"/>
      <w:bookmarkStart w:id="133" w:name="_Toc28123"/>
      <w:bookmarkStart w:id="134" w:name="_Toc110953844"/>
      <w:bookmarkStart w:id="135" w:name="_Toc11500"/>
      <w:r>
        <w:rPr>
          <w:rFonts w:hint="eastAsia" w:hAnsi="宋体"/>
          <w:color w:val="auto"/>
          <w:sz w:val="21"/>
          <w:szCs w:val="21"/>
          <w:highlight w:val="none"/>
        </w:rPr>
        <w:t>15.响应文件的密封和标记</w:t>
      </w:r>
      <w:bookmarkEnd w:id="131"/>
      <w:bookmarkEnd w:id="132"/>
      <w:bookmarkEnd w:id="133"/>
      <w:bookmarkEnd w:id="134"/>
      <w:bookmarkEnd w:id="13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15.1供应商应将响应文件正本和副本用信封分别密封，并标明供应商的名称、采购编号及“正本”或“副本”字样。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15.2唱标信封应单独密封，与磋商响应文件一同提交。</w:t>
      </w:r>
    </w:p>
    <w:p>
      <w:pPr>
        <w:tabs>
          <w:tab w:val="left" w:pos="567"/>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15.3在磋商响应文件密封袋上均应标明以下内容：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① 收 件 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② 项目名称：；</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③ 采购编号：；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④        年   月   日   时   分开标，此时间以前不得开封；</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⑤ 标明供应商名称、地址、联系人和电话以及文件的种类（如价格文件、商务技术文件、唱标信封等）。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15.4供应商应按上述规定进行密封和标记后，将响应文件按照磋商文件中规定的时间和地址送至采购代理机构。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15.5未按上述规定进行密封、标记和递交的，采购代理机构对响应文件的不依时间递交、误投、破损、封装不合格或提前拆封不负责。</w:t>
      </w:r>
    </w:p>
    <w:p>
      <w:pPr>
        <w:pStyle w:val="6"/>
        <w:adjustRightInd/>
        <w:spacing w:line="360" w:lineRule="auto"/>
        <w:ind w:firstLine="420" w:firstLineChars="200"/>
        <w:rPr>
          <w:rFonts w:hAnsi="宋体"/>
          <w:color w:val="auto"/>
          <w:sz w:val="21"/>
          <w:szCs w:val="21"/>
          <w:highlight w:val="none"/>
        </w:rPr>
      </w:pPr>
      <w:bookmarkStart w:id="136" w:name="_Toc10017"/>
      <w:bookmarkStart w:id="137" w:name="_Toc12710"/>
      <w:bookmarkStart w:id="138" w:name="_Toc7897880"/>
      <w:bookmarkStart w:id="139" w:name="_Toc13436"/>
      <w:bookmarkStart w:id="140" w:name="_Toc110953845"/>
      <w:r>
        <w:rPr>
          <w:rFonts w:hint="eastAsia" w:hAnsi="宋体"/>
          <w:color w:val="auto"/>
          <w:sz w:val="21"/>
          <w:szCs w:val="21"/>
          <w:highlight w:val="none"/>
        </w:rPr>
        <w:t>16.响应文件的递交</w:t>
      </w:r>
      <w:bookmarkEnd w:id="136"/>
      <w:bookmarkEnd w:id="137"/>
      <w:bookmarkEnd w:id="138"/>
      <w:bookmarkEnd w:id="139"/>
      <w:bookmarkEnd w:id="14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16.1所有响应文件都必须在响应截止时间之前送至采购代理机构。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16.2采购代理机构拒绝接受以下文件：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（1）提前递交的文件，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（2）在响应截止时间后递交的响应文件，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（3）未按规定包装和密封的响应文件。</w:t>
      </w:r>
    </w:p>
    <w:p>
      <w:pPr>
        <w:spacing w:line="360" w:lineRule="auto"/>
        <w:ind w:firstLine="420" w:firstLineChars="200"/>
        <w:rPr>
          <w:rFonts w:hAnsi="宋体"/>
          <w:b/>
          <w:bCs/>
          <w:color w:val="auto"/>
          <w:sz w:val="21"/>
          <w:szCs w:val="21"/>
          <w:highlight w:val="none"/>
          <w:lang w:val="zh-CN"/>
        </w:rPr>
      </w:pPr>
      <w:r>
        <w:rPr>
          <w:rFonts w:hint="eastAsia" w:hAnsi="宋体"/>
          <w:color w:val="auto"/>
          <w:sz w:val="21"/>
          <w:szCs w:val="21"/>
          <w:highlight w:val="none"/>
        </w:rPr>
        <w:t>16.3响应文件的修改与撤回</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（1）供应商在递交响应文件后到响应截止时间之前，可以补充、修改或撤回其响应文件，但供应商必须以书面形式通知采购代理机构。补充、修改的内容与响应文件不一致的，以补偿、修改的内容为准。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（2）除法律法规允许的情况外，在响应截止时间之后至响应有效期之间的这段时间内，供应商不得对其响应文件做任何修改，亦不得撤回其响应，否则磋商保证金将不予退还。</w:t>
      </w:r>
    </w:p>
    <w:p>
      <w:pPr>
        <w:spacing w:line="360" w:lineRule="auto"/>
        <w:ind w:firstLine="420" w:firstLineChars="200"/>
        <w:rPr>
          <w:rFonts w:hAnsi="宋体"/>
          <w:color w:val="auto"/>
          <w:sz w:val="21"/>
          <w:szCs w:val="21"/>
          <w:highlight w:val="none"/>
        </w:rPr>
      </w:pPr>
    </w:p>
    <w:p>
      <w:pPr>
        <w:pStyle w:val="5"/>
        <w:adjustRightInd/>
        <w:spacing w:line="360" w:lineRule="auto"/>
        <w:ind w:firstLine="562" w:firstLineChars="200"/>
        <w:jc w:val="center"/>
        <w:rPr>
          <w:color w:val="auto"/>
          <w:sz w:val="28"/>
          <w:szCs w:val="28"/>
          <w:highlight w:val="none"/>
        </w:rPr>
      </w:pPr>
      <w:bookmarkStart w:id="141" w:name="_Toc7897881"/>
      <w:bookmarkStart w:id="142" w:name="_Toc22874"/>
      <w:bookmarkStart w:id="143" w:name="_Toc12765"/>
      <w:r>
        <w:rPr>
          <w:rFonts w:hint="eastAsia"/>
          <w:color w:val="auto"/>
          <w:sz w:val="28"/>
          <w:szCs w:val="28"/>
          <w:highlight w:val="none"/>
        </w:rPr>
        <w:t>五、采购仪式和</w:t>
      </w:r>
      <w:bookmarkEnd w:id="126"/>
      <w:bookmarkEnd w:id="127"/>
      <w:bookmarkEnd w:id="128"/>
      <w:bookmarkEnd w:id="129"/>
      <w:bookmarkEnd w:id="130"/>
      <w:r>
        <w:rPr>
          <w:rFonts w:hint="eastAsia"/>
          <w:color w:val="auto"/>
          <w:sz w:val="28"/>
          <w:szCs w:val="28"/>
          <w:highlight w:val="none"/>
        </w:rPr>
        <w:t>评审会议</w:t>
      </w:r>
      <w:bookmarkEnd w:id="141"/>
      <w:bookmarkEnd w:id="142"/>
      <w:bookmarkEnd w:id="143"/>
    </w:p>
    <w:p>
      <w:pPr>
        <w:pStyle w:val="6"/>
        <w:adjustRightInd/>
        <w:spacing w:line="360" w:lineRule="auto"/>
        <w:ind w:firstLine="422" w:firstLineChars="200"/>
        <w:rPr>
          <w:rFonts w:hAnsi="宋体"/>
          <w:b/>
          <w:color w:val="auto"/>
          <w:sz w:val="21"/>
          <w:szCs w:val="21"/>
          <w:highlight w:val="none"/>
        </w:rPr>
      </w:pPr>
      <w:bookmarkStart w:id="144" w:name="_Toc475249134"/>
      <w:bookmarkStart w:id="145" w:name="_Toc18010"/>
      <w:r>
        <w:rPr>
          <w:rFonts w:hint="eastAsia" w:hAnsi="宋体"/>
          <w:b/>
          <w:color w:val="auto"/>
          <w:sz w:val="21"/>
          <w:szCs w:val="21"/>
          <w:highlight w:val="none"/>
        </w:rPr>
        <w:t>17.</w:t>
      </w:r>
      <w:bookmarkEnd w:id="144"/>
      <w:r>
        <w:rPr>
          <w:rFonts w:hint="eastAsia" w:hAnsi="宋体"/>
          <w:b/>
          <w:color w:val="auto"/>
          <w:sz w:val="21"/>
          <w:szCs w:val="21"/>
          <w:highlight w:val="none"/>
        </w:rPr>
        <w:t>开启响应文件</w:t>
      </w:r>
      <w:bookmarkEnd w:id="145"/>
    </w:p>
    <w:p>
      <w:pPr>
        <w:spacing w:line="360" w:lineRule="auto"/>
        <w:ind w:firstLine="420" w:firstLineChars="200"/>
        <w:rPr>
          <w:rFonts w:hAnsi="宋体"/>
          <w:color w:val="auto"/>
          <w:sz w:val="21"/>
          <w:szCs w:val="21"/>
          <w:highlight w:val="none"/>
        </w:rPr>
      </w:pPr>
      <w:bookmarkStart w:id="146" w:name="_Toc475249135"/>
      <w:bookmarkStart w:id="147" w:name="_Toc475249138"/>
      <w:r>
        <w:rPr>
          <w:rFonts w:hint="eastAsia" w:hAnsi="宋体"/>
          <w:color w:val="auto"/>
          <w:sz w:val="21"/>
          <w:szCs w:val="21"/>
          <w:highlight w:val="none"/>
        </w:rPr>
        <w:t>17.1采购代理机构在《磋商邀请书》规定的日期、时间和地点在有供应商代表在场的场合组织采购仪式，参加采购仪式的代表应签名报到以证明其出席。</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17.2开启</w:t>
      </w:r>
      <w:r>
        <w:rPr>
          <w:rFonts w:hint="eastAsia" w:hAnsi="宋体"/>
          <w:color w:val="auto"/>
          <w:sz w:val="21"/>
          <w:szCs w:val="21"/>
          <w:highlight w:val="none"/>
          <w:lang w:eastAsia="zh-CN"/>
        </w:rPr>
        <w:t>响应</w:t>
      </w:r>
      <w:r>
        <w:rPr>
          <w:rFonts w:hint="eastAsia" w:hAnsi="宋体"/>
          <w:color w:val="auto"/>
          <w:sz w:val="21"/>
          <w:szCs w:val="21"/>
          <w:highlight w:val="none"/>
        </w:rPr>
        <w:t>文件前，采购人、采购代理机构和供应商将检查响应文件的密封情况。在确认密封完好后，进行拆封唱标。唱标主要内容为响应文件正本中</w:t>
      </w:r>
      <w:r>
        <w:rPr>
          <w:rFonts w:hint="eastAsia" w:hAnsi="宋体"/>
          <w:color w:val="auto"/>
          <w:sz w:val="21"/>
          <w:szCs w:val="21"/>
          <w:highlight w:val="none"/>
          <w:lang w:eastAsia="zh-CN"/>
        </w:rPr>
        <w:t>磋商保证金</w:t>
      </w:r>
      <w:r>
        <w:rPr>
          <w:rFonts w:hint="eastAsia" w:hAnsi="宋体"/>
          <w:color w:val="auto"/>
          <w:sz w:val="21"/>
          <w:szCs w:val="21"/>
          <w:highlight w:val="none"/>
        </w:rPr>
        <w:t>的内容以及采购代理机构认为合适的其他内容，并做唱标记录。</w:t>
      </w:r>
    </w:p>
    <w:p>
      <w:pPr>
        <w:pStyle w:val="6"/>
        <w:adjustRightInd/>
        <w:spacing w:line="360" w:lineRule="auto"/>
        <w:ind w:firstLine="422" w:firstLineChars="200"/>
        <w:rPr>
          <w:rFonts w:hAnsi="宋体"/>
          <w:b/>
          <w:color w:val="auto"/>
          <w:sz w:val="21"/>
          <w:szCs w:val="21"/>
          <w:highlight w:val="none"/>
        </w:rPr>
      </w:pPr>
      <w:bookmarkStart w:id="148" w:name="_Toc8627"/>
      <w:r>
        <w:rPr>
          <w:rFonts w:hint="eastAsia" w:hAnsi="宋体"/>
          <w:b/>
          <w:color w:val="auto"/>
          <w:sz w:val="21"/>
          <w:szCs w:val="21"/>
          <w:highlight w:val="none"/>
        </w:rPr>
        <w:t>18.磋商小组</w:t>
      </w:r>
      <w:bookmarkEnd w:id="146"/>
      <w:bookmarkEnd w:id="148"/>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18.1采购代理机构将根据项目特点组建磋商小组，磋商小组由采购人代表和评审专家共3人以上单数组成，其中评审专家人数不得少于磋商小组成员总数的2/3。</w:t>
      </w:r>
    </w:p>
    <w:p>
      <w:pPr>
        <w:pStyle w:val="6"/>
        <w:adjustRightInd/>
        <w:spacing w:line="360" w:lineRule="auto"/>
        <w:ind w:firstLine="422" w:firstLineChars="200"/>
        <w:rPr>
          <w:rFonts w:hAnsi="宋体"/>
          <w:b/>
          <w:color w:val="auto"/>
          <w:sz w:val="21"/>
          <w:szCs w:val="21"/>
          <w:highlight w:val="none"/>
        </w:rPr>
      </w:pPr>
      <w:bookmarkStart w:id="149" w:name="_Toc23164"/>
      <w:bookmarkStart w:id="150" w:name="_Toc535141844"/>
      <w:bookmarkStart w:id="151" w:name="_Toc37121259"/>
      <w:r>
        <w:rPr>
          <w:rFonts w:hint="eastAsia" w:hAnsi="宋体"/>
          <w:b/>
          <w:color w:val="auto"/>
          <w:sz w:val="21"/>
          <w:szCs w:val="21"/>
          <w:highlight w:val="none"/>
        </w:rPr>
        <w:t>19.对响应文件的初审</w:t>
      </w:r>
      <w:bookmarkEnd w:id="149"/>
      <w:bookmarkEnd w:id="150"/>
      <w:bookmarkEnd w:id="151"/>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19.1开启响应文件后，采购代理机构将组织磋商小组对响应文件进行初审，初审包括资格性审查和符合性审查。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19.2资格性审查是指依据法律规定和磋商文件的规定，对响应文件中的资格证明等进行审查，确定供应商是否具备响应资格。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19.5磋商小组确定响应文件的响应性，只根据响应文件本身的内容，而不寻找外部的证据。</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19.6实质上没有响应磋商文件要求的响应文件将被拒绝。供应商不得通过修正或撤销不合要求的偏离或保留从而使其响应成为实质上的响应。</w:t>
      </w:r>
    </w:p>
    <w:p>
      <w:pPr>
        <w:pStyle w:val="6"/>
        <w:adjustRightInd/>
        <w:spacing w:line="360" w:lineRule="auto"/>
        <w:ind w:firstLine="422" w:firstLineChars="200"/>
        <w:rPr>
          <w:rFonts w:hAnsi="宋体"/>
          <w:b/>
          <w:color w:val="auto"/>
          <w:sz w:val="21"/>
          <w:szCs w:val="21"/>
          <w:highlight w:val="none"/>
        </w:rPr>
      </w:pPr>
      <w:bookmarkStart w:id="152" w:name="_Toc13017"/>
      <w:r>
        <w:rPr>
          <w:rFonts w:hint="eastAsia" w:hAnsi="宋体"/>
          <w:b/>
          <w:color w:val="auto"/>
          <w:sz w:val="21"/>
          <w:szCs w:val="21"/>
          <w:highlight w:val="none"/>
        </w:rPr>
        <w:t>20.对响应文件的澄清</w:t>
      </w:r>
      <w:bookmarkEnd w:id="152"/>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20.2响应文件内容表述不一致按照以下方法处理：</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lang w:eastAsia="zh-CN"/>
        </w:rPr>
        <w:t>①</w:t>
      </w:r>
      <w:r>
        <w:rPr>
          <w:rFonts w:hint="eastAsia" w:hAnsi="宋体"/>
          <w:color w:val="auto"/>
          <w:sz w:val="21"/>
          <w:szCs w:val="21"/>
          <w:highlight w:val="none"/>
        </w:rPr>
        <w:t>响应文件中报价一览表内容与响应文件明细表内容不一致的，以报价一览表为准；</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lang w:eastAsia="zh-CN"/>
        </w:rPr>
        <w:t>②</w:t>
      </w:r>
      <w:r>
        <w:rPr>
          <w:rFonts w:hint="eastAsia" w:hAnsi="宋体"/>
          <w:color w:val="auto"/>
          <w:sz w:val="21"/>
          <w:szCs w:val="21"/>
          <w:highlight w:val="none"/>
        </w:rPr>
        <w:t>响应文件的大写金额和小写金额不一致的，以大写金额为准；</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lang w:eastAsia="zh-CN"/>
        </w:rPr>
        <w:t>③</w:t>
      </w:r>
      <w:r>
        <w:rPr>
          <w:rFonts w:hint="eastAsia" w:hAnsi="宋体"/>
          <w:color w:val="auto"/>
          <w:sz w:val="21"/>
          <w:szCs w:val="21"/>
          <w:highlight w:val="none"/>
        </w:rPr>
        <w:t>单价金额小数点</w:t>
      </w:r>
      <w:r>
        <w:rPr>
          <w:rFonts w:hint="eastAsia" w:hAnsi="宋体"/>
          <w:color w:val="auto"/>
          <w:sz w:val="21"/>
          <w:szCs w:val="21"/>
          <w:highlight w:val="none"/>
          <w:lang w:eastAsia="zh-CN"/>
        </w:rPr>
        <w:t>或者百分比</w:t>
      </w:r>
      <w:r>
        <w:rPr>
          <w:rFonts w:hint="eastAsia" w:hAnsi="宋体"/>
          <w:color w:val="auto"/>
          <w:sz w:val="21"/>
          <w:szCs w:val="21"/>
          <w:highlight w:val="none"/>
        </w:rPr>
        <w:t>有明显错位的，以报价一览表</w:t>
      </w:r>
      <w:r>
        <w:rPr>
          <w:rFonts w:hint="eastAsia" w:hAnsi="宋体"/>
          <w:color w:val="auto"/>
          <w:sz w:val="21"/>
          <w:szCs w:val="21"/>
          <w:highlight w:val="none"/>
          <w:lang w:eastAsia="zh-CN"/>
        </w:rPr>
        <w:t>的总价</w:t>
      </w:r>
      <w:r>
        <w:rPr>
          <w:rFonts w:hint="eastAsia" w:hAnsi="宋体"/>
          <w:color w:val="auto"/>
          <w:sz w:val="21"/>
          <w:szCs w:val="21"/>
          <w:highlight w:val="none"/>
        </w:rPr>
        <w:t>为准，并修改</w:t>
      </w:r>
      <w:r>
        <w:rPr>
          <w:rFonts w:hint="eastAsia" w:hAnsi="宋体"/>
          <w:color w:val="auto"/>
          <w:sz w:val="21"/>
          <w:szCs w:val="21"/>
          <w:highlight w:val="none"/>
          <w:lang w:eastAsia="zh-CN"/>
        </w:rPr>
        <w:t>单</w:t>
      </w:r>
      <w:r>
        <w:rPr>
          <w:rFonts w:hint="eastAsia" w:hAnsi="宋体"/>
          <w:color w:val="auto"/>
          <w:sz w:val="21"/>
          <w:szCs w:val="21"/>
          <w:highlight w:val="none"/>
        </w:rPr>
        <w:t>价；</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lang w:eastAsia="zh-CN"/>
        </w:rPr>
        <w:t>④</w:t>
      </w:r>
      <w:r>
        <w:rPr>
          <w:rFonts w:hint="eastAsia" w:hAnsi="宋体"/>
          <w:color w:val="auto"/>
          <w:sz w:val="21"/>
          <w:szCs w:val="21"/>
          <w:highlight w:val="none"/>
        </w:rPr>
        <w:t>总价金额与按单价汇总金额不一致的，以单价金额计算结果为准；</w:t>
      </w:r>
    </w:p>
    <w:p>
      <w:pPr>
        <w:spacing w:line="360" w:lineRule="auto"/>
        <w:ind w:firstLine="420" w:firstLineChars="200"/>
        <w:rPr>
          <w:rFonts w:hint="default" w:hAnsi="宋体" w:eastAsia="宋体"/>
          <w:color w:val="auto"/>
          <w:sz w:val="21"/>
          <w:szCs w:val="21"/>
          <w:highlight w:val="none"/>
          <w:lang w:val="en-US" w:eastAsia="zh-CN"/>
        </w:rPr>
      </w:pPr>
      <w:r>
        <w:rPr>
          <w:rFonts w:hint="eastAsia" w:hAnsi="宋体"/>
          <w:color w:val="auto"/>
          <w:sz w:val="21"/>
          <w:szCs w:val="21"/>
          <w:highlight w:val="none"/>
          <w:lang w:eastAsia="zh-CN"/>
        </w:rPr>
        <w:t>⑤同时出现两种以上不一致的，按前款规定的顺序修正</w:t>
      </w:r>
      <w:r>
        <w:rPr>
          <w:rFonts w:hint="eastAsia" w:hAnsi="宋体"/>
          <w:color w:val="auto"/>
          <w:sz w:val="21"/>
          <w:szCs w:val="21"/>
          <w:highlight w:val="none"/>
        </w:rPr>
        <w:t>。</w:t>
      </w:r>
      <w:r>
        <w:rPr>
          <w:rFonts w:hint="eastAsia" w:hAnsi="宋体"/>
          <w:color w:val="auto"/>
          <w:sz w:val="21"/>
          <w:szCs w:val="21"/>
          <w:highlight w:val="none"/>
          <w:lang w:eastAsia="zh-CN"/>
        </w:rPr>
        <w:t>修正后的报价按照本篇</w:t>
      </w:r>
      <w:r>
        <w:rPr>
          <w:rFonts w:hint="eastAsia" w:hAnsi="宋体"/>
          <w:color w:val="auto"/>
          <w:sz w:val="21"/>
          <w:szCs w:val="21"/>
          <w:highlight w:val="none"/>
          <w:lang w:val="en-US" w:eastAsia="zh-CN"/>
        </w:rPr>
        <w:t>20.1的规定经供应商确认后产生约束力，供应商不确认的，其磋商无效。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20.3供应商的法定代表人或委托代理人应当按照采购代理机构通知的时间和地点接受询问，对响应文件中含义不明确的内容作必要的澄清、说明或者纠正。</w:t>
      </w:r>
    </w:p>
    <w:p>
      <w:pPr>
        <w:pStyle w:val="6"/>
        <w:adjustRightInd/>
        <w:spacing w:line="360" w:lineRule="auto"/>
        <w:ind w:firstLine="422" w:firstLineChars="200"/>
        <w:rPr>
          <w:rFonts w:hAnsi="宋体"/>
          <w:b/>
          <w:color w:val="auto"/>
          <w:sz w:val="21"/>
          <w:szCs w:val="21"/>
          <w:highlight w:val="none"/>
        </w:rPr>
      </w:pPr>
      <w:bookmarkStart w:id="153" w:name="_Toc23140"/>
      <w:r>
        <w:rPr>
          <w:rFonts w:hint="eastAsia" w:hAnsi="宋体"/>
          <w:b/>
          <w:color w:val="auto"/>
          <w:sz w:val="21"/>
          <w:szCs w:val="21"/>
          <w:highlight w:val="none"/>
        </w:rPr>
        <w:t>21.开展磋商</w:t>
      </w:r>
      <w:bookmarkEnd w:id="153"/>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21.1主持人宣布评审纪律，磋商小组所有成员及相关工作人员签名确认。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6"/>
        <w:adjustRightInd/>
        <w:spacing w:line="360" w:lineRule="auto"/>
        <w:ind w:firstLine="422" w:firstLineChars="200"/>
        <w:rPr>
          <w:rFonts w:hAnsi="宋体"/>
          <w:b/>
          <w:color w:val="auto"/>
          <w:sz w:val="21"/>
          <w:szCs w:val="21"/>
          <w:highlight w:val="none"/>
        </w:rPr>
      </w:pPr>
      <w:bookmarkStart w:id="154" w:name="_Toc4299"/>
      <w:r>
        <w:rPr>
          <w:rFonts w:hint="eastAsia" w:hAnsi="宋体"/>
          <w:b/>
          <w:color w:val="auto"/>
          <w:sz w:val="21"/>
          <w:szCs w:val="21"/>
          <w:highlight w:val="none"/>
        </w:rPr>
        <w:t>22.最后报价</w:t>
      </w:r>
      <w:bookmarkEnd w:id="15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22.2已提交响应文件的供应商，在提交最后报价之前，可以根据磋商情况退出磋商。采购人、采购代理机构应当退还退出磋商的供应商的磋商保证金。</w:t>
      </w:r>
    </w:p>
    <w:bookmarkEnd w:id="147"/>
    <w:p>
      <w:pPr>
        <w:pStyle w:val="6"/>
        <w:adjustRightInd/>
        <w:spacing w:line="360" w:lineRule="auto"/>
        <w:ind w:firstLine="422" w:firstLineChars="200"/>
        <w:rPr>
          <w:rFonts w:hAnsi="宋体"/>
          <w:b/>
          <w:color w:val="auto"/>
          <w:sz w:val="21"/>
          <w:szCs w:val="21"/>
          <w:highlight w:val="none"/>
        </w:rPr>
      </w:pPr>
      <w:bookmarkStart w:id="155" w:name="_Toc27056"/>
      <w:r>
        <w:rPr>
          <w:rFonts w:hint="eastAsia" w:hAnsi="宋体"/>
          <w:b/>
          <w:color w:val="auto"/>
          <w:sz w:val="21"/>
          <w:szCs w:val="21"/>
          <w:highlight w:val="none"/>
        </w:rPr>
        <w:t>23.综合评分</w:t>
      </w:r>
      <w:bookmarkEnd w:id="15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pPr>
        <w:pStyle w:val="14"/>
        <w:ind w:firstLine="400"/>
        <w:rPr>
          <w:color w:val="auto"/>
          <w:highlight w:val="none"/>
        </w:rPr>
      </w:pPr>
    </w:p>
    <w:p>
      <w:pPr>
        <w:pStyle w:val="5"/>
        <w:adjustRightInd/>
        <w:spacing w:line="360" w:lineRule="auto"/>
        <w:ind w:firstLine="562" w:firstLineChars="200"/>
        <w:jc w:val="center"/>
        <w:rPr>
          <w:color w:val="auto"/>
          <w:sz w:val="28"/>
          <w:szCs w:val="28"/>
          <w:highlight w:val="none"/>
        </w:rPr>
      </w:pPr>
      <w:bookmarkStart w:id="156" w:name="_Toc7897882"/>
      <w:bookmarkStart w:id="157" w:name="_Toc8480"/>
      <w:bookmarkStart w:id="158" w:name="_Toc18625"/>
      <w:r>
        <w:rPr>
          <w:rFonts w:hint="eastAsia"/>
          <w:color w:val="auto"/>
          <w:sz w:val="28"/>
          <w:szCs w:val="28"/>
          <w:highlight w:val="none"/>
        </w:rPr>
        <w:t>六、确定成交供应商</w:t>
      </w:r>
      <w:bookmarkEnd w:id="156"/>
      <w:bookmarkEnd w:id="157"/>
      <w:bookmarkEnd w:id="158"/>
    </w:p>
    <w:p>
      <w:pPr>
        <w:pStyle w:val="6"/>
        <w:adjustRightInd/>
        <w:spacing w:line="360" w:lineRule="auto"/>
        <w:ind w:firstLine="422" w:firstLineChars="200"/>
        <w:rPr>
          <w:rFonts w:hAnsi="宋体"/>
          <w:b/>
          <w:color w:val="auto"/>
          <w:sz w:val="21"/>
          <w:szCs w:val="21"/>
          <w:highlight w:val="none"/>
        </w:rPr>
      </w:pPr>
      <w:bookmarkStart w:id="159" w:name="_Toc20771"/>
      <w:r>
        <w:rPr>
          <w:rFonts w:hint="eastAsia" w:hAnsi="宋体"/>
          <w:b/>
          <w:color w:val="auto"/>
          <w:sz w:val="21"/>
          <w:szCs w:val="21"/>
          <w:highlight w:val="none"/>
        </w:rPr>
        <w:t>24.确定成交</w:t>
      </w:r>
      <w:bookmarkEnd w:id="15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24.1磋商小组完成评审工作后，出具评审报告，推荐3名以上成交候选供应商。符合法律法规允许的情况的，可以推荐2家成交候选供应商。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24.2采购人从成交候选供应商名单中按照综合得分排序确定1名成交供应商。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6"/>
        <w:adjustRightInd/>
        <w:spacing w:line="360" w:lineRule="auto"/>
        <w:ind w:firstLine="422"/>
        <w:rPr>
          <w:b/>
          <w:color w:val="auto"/>
          <w:sz w:val="21"/>
          <w:szCs w:val="21"/>
          <w:highlight w:val="none"/>
        </w:rPr>
      </w:pPr>
      <w:bookmarkStart w:id="160" w:name="_Toc10261"/>
      <w:r>
        <w:rPr>
          <w:rFonts w:hint="eastAsia"/>
          <w:b/>
          <w:color w:val="auto"/>
          <w:sz w:val="21"/>
          <w:szCs w:val="21"/>
          <w:highlight w:val="none"/>
        </w:rPr>
        <w:t>25.资格后审</w:t>
      </w:r>
      <w:bookmarkEnd w:id="160"/>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.1</w:t>
      </w:r>
      <w:r>
        <w:rPr>
          <w:rFonts w:hint="eastAsia"/>
          <w:color w:val="auto"/>
          <w:sz w:val="21"/>
          <w:szCs w:val="21"/>
          <w:highlight w:val="none"/>
        </w:rPr>
        <w:t>采购人</w:t>
      </w:r>
      <w:r>
        <w:rPr>
          <w:color w:val="auto"/>
          <w:sz w:val="21"/>
          <w:szCs w:val="21"/>
          <w:highlight w:val="none"/>
        </w:rPr>
        <w:t>将根据</w:t>
      </w:r>
      <w:r>
        <w:rPr>
          <w:rFonts w:hint="eastAsia"/>
          <w:color w:val="auto"/>
          <w:sz w:val="21"/>
          <w:szCs w:val="21"/>
          <w:highlight w:val="none"/>
          <w:lang w:eastAsia="zh-CN"/>
        </w:rPr>
        <w:t>磋商文件</w:t>
      </w:r>
      <w:r>
        <w:rPr>
          <w:color w:val="auto"/>
          <w:sz w:val="21"/>
          <w:szCs w:val="21"/>
          <w:highlight w:val="none"/>
        </w:rPr>
        <w:t>中的要求，对评委会推荐的</w:t>
      </w:r>
      <w:r>
        <w:rPr>
          <w:rFonts w:hint="eastAsia"/>
          <w:color w:val="auto"/>
          <w:sz w:val="21"/>
          <w:szCs w:val="21"/>
          <w:highlight w:val="none"/>
        </w:rPr>
        <w:t>成交候选人</w:t>
      </w:r>
      <w:r>
        <w:rPr>
          <w:color w:val="auto"/>
          <w:sz w:val="21"/>
          <w:szCs w:val="21"/>
          <w:highlight w:val="none"/>
        </w:rPr>
        <w:t>进行资格后审。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.2</w:t>
      </w:r>
      <w:r>
        <w:rPr>
          <w:rFonts w:hint="eastAsia"/>
          <w:color w:val="auto"/>
          <w:sz w:val="21"/>
          <w:szCs w:val="21"/>
          <w:highlight w:val="none"/>
        </w:rPr>
        <w:t>成交候选人</w:t>
      </w:r>
      <w:r>
        <w:rPr>
          <w:color w:val="auto"/>
          <w:sz w:val="21"/>
          <w:szCs w:val="21"/>
          <w:highlight w:val="none"/>
        </w:rPr>
        <w:t>须无条件配合资格后审，否则</w:t>
      </w:r>
      <w:r>
        <w:rPr>
          <w:rFonts w:hint="eastAsia"/>
          <w:color w:val="auto"/>
          <w:sz w:val="21"/>
          <w:szCs w:val="21"/>
          <w:highlight w:val="none"/>
        </w:rPr>
        <w:t>采购人</w:t>
      </w:r>
      <w:r>
        <w:rPr>
          <w:color w:val="auto"/>
          <w:sz w:val="21"/>
          <w:szCs w:val="21"/>
          <w:highlight w:val="none"/>
        </w:rPr>
        <w:t>有权取消</w:t>
      </w:r>
      <w:r>
        <w:rPr>
          <w:rFonts w:hint="eastAsia"/>
          <w:color w:val="auto"/>
          <w:sz w:val="21"/>
          <w:szCs w:val="21"/>
          <w:highlight w:val="none"/>
          <w:lang w:eastAsia="zh-CN"/>
        </w:rPr>
        <w:t>成交</w:t>
      </w:r>
      <w:r>
        <w:rPr>
          <w:color w:val="auto"/>
          <w:sz w:val="21"/>
          <w:szCs w:val="21"/>
          <w:highlight w:val="none"/>
        </w:rPr>
        <w:t>资格。</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.3资格</w:t>
      </w:r>
      <w:r>
        <w:rPr>
          <w:rFonts w:hint="eastAsia"/>
          <w:color w:val="auto"/>
          <w:sz w:val="21"/>
          <w:szCs w:val="21"/>
          <w:highlight w:val="none"/>
        </w:rPr>
        <w:t>后审</w:t>
      </w:r>
      <w:r>
        <w:rPr>
          <w:color w:val="auto"/>
          <w:sz w:val="21"/>
          <w:szCs w:val="21"/>
          <w:highlight w:val="none"/>
        </w:rPr>
        <w:t>须提供包括但不限于营业执照、税务登记证和在</w:t>
      </w:r>
      <w:r>
        <w:rPr>
          <w:rFonts w:hint="eastAsia"/>
          <w:color w:val="auto"/>
          <w:sz w:val="21"/>
          <w:szCs w:val="21"/>
          <w:highlight w:val="none"/>
        </w:rPr>
        <w:t>磋商响应文件</w:t>
      </w:r>
      <w:r>
        <w:rPr>
          <w:color w:val="auto"/>
          <w:sz w:val="21"/>
          <w:szCs w:val="21"/>
          <w:highlight w:val="none"/>
        </w:rPr>
        <w:t>中提供的资质证明文件、合同等重要证明文件的原件进行核对，综合考察</w:t>
      </w:r>
      <w:r>
        <w:rPr>
          <w:rFonts w:hint="eastAsia"/>
          <w:color w:val="auto"/>
          <w:sz w:val="21"/>
          <w:szCs w:val="21"/>
          <w:highlight w:val="none"/>
        </w:rPr>
        <w:t>成交供应商</w:t>
      </w:r>
      <w:r>
        <w:rPr>
          <w:color w:val="auto"/>
          <w:sz w:val="21"/>
          <w:szCs w:val="21"/>
          <w:highlight w:val="none"/>
        </w:rPr>
        <w:t>的履约能力。如</w:t>
      </w:r>
      <w:r>
        <w:rPr>
          <w:rFonts w:hint="eastAsia"/>
          <w:color w:val="auto"/>
          <w:sz w:val="21"/>
          <w:szCs w:val="21"/>
          <w:highlight w:val="none"/>
        </w:rPr>
        <w:t>采购人</w:t>
      </w:r>
      <w:r>
        <w:rPr>
          <w:color w:val="auto"/>
          <w:sz w:val="21"/>
          <w:szCs w:val="21"/>
          <w:highlight w:val="none"/>
        </w:rPr>
        <w:t>要求还须提供业绩证明的其他材料,</w:t>
      </w:r>
      <w:r>
        <w:rPr>
          <w:rFonts w:hint="eastAsia"/>
          <w:color w:val="auto"/>
          <w:sz w:val="21"/>
          <w:szCs w:val="21"/>
          <w:highlight w:val="none"/>
        </w:rPr>
        <w:t>成交候选人</w:t>
      </w:r>
      <w:r>
        <w:rPr>
          <w:color w:val="auto"/>
          <w:sz w:val="21"/>
          <w:szCs w:val="21"/>
          <w:highlight w:val="none"/>
        </w:rPr>
        <w:t>须配合提供。如授权其分支机构进行项目实施或提供售后服务的，亦应提供其与分支机构关系的法律证明材料。</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.4如发现</w:t>
      </w:r>
      <w:r>
        <w:rPr>
          <w:rFonts w:hint="eastAsia"/>
          <w:color w:val="auto"/>
          <w:sz w:val="21"/>
          <w:szCs w:val="21"/>
          <w:highlight w:val="none"/>
        </w:rPr>
        <w:t>供应商</w:t>
      </w:r>
      <w:r>
        <w:rPr>
          <w:color w:val="auto"/>
          <w:sz w:val="21"/>
          <w:szCs w:val="21"/>
          <w:highlight w:val="none"/>
        </w:rPr>
        <w:t>提交虚假资料谋取</w:t>
      </w:r>
      <w:r>
        <w:rPr>
          <w:rFonts w:hint="eastAsia"/>
          <w:color w:val="auto"/>
          <w:sz w:val="21"/>
          <w:szCs w:val="21"/>
          <w:highlight w:val="none"/>
          <w:lang w:eastAsia="zh-CN"/>
        </w:rPr>
        <w:t>成交</w:t>
      </w:r>
      <w:r>
        <w:rPr>
          <w:color w:val="auto"/>
          <w:sz w:val="21"/>
          <w:szCs w:val="21"/>
          <w:highlight w:val="none"/>
        </w:rPr>
        <w:t>的，</w:t>
      </w:r>
      <w:r>
        <w:rPr>
          <w:rFonts w:hint="eastAsia"/>
          <w:color w:val="auto"/>
          <w:sz w:val="21"/>
          <w:szCs w:val="21"/>
          <w:highlight w:val="none"/>
        </w:rPr>
        <w:t>采购人</w:t>
      </w:r>
      <w:r>
        <w:rPr>
          <w:color w:val="auto"/>
          <w:sz w:val="21"/>
          <w:szCs w:val="21"/>
          <w:highlight w:val="none"/>
        </w:rPr>
        <w:t>有权没收其</w:t>
      </w:r>
      <w:r>
        <w:rPr>
          <w:rFonts w:hint="eastAsia"/>
          <w:color w:val="auto"/>
          <w:sz w:val="21"/>
          <w:szCs w:val="21"/>
          <w:highlight w:val="none"/>
        </w:rPr>
        <w:t>磋商</w:t>
      </w:r>
      <w:r>
        <w:rPr>
          <w:color w:val="auto"/>
          <w:sz w:val="21"/>
          <w:szCs w:val="21"/>
          <w:highlight w:val="none"/>
        </w:rPr>
        <w:t>保证金，并保留追究其赔偿</w:t>
      </w:r>
      <w:r>
        <w:rPr>
          <w:rFonts w:hint="eastAsia"/>
          <w:color w:val="auto"/>
          <w:sz w:val="21"/>
          <w:szCs w:val="21"/>
          <w:highlight w:val="none"/>
        </w:rPr>
        <w:t>采购人</w:t>
      </w:r>
      <w:r>
        <w:rPr>
          <w:color w:val="auto"/>
          <w:sz w:val="21"/>
          <w:szCs w:val="21"/>
          <w:highlight w:val="none"/>
        </w:rPr>
        <w:t>由此而造成一切损失的责任。</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.5</w:t>
      </w:r>
      <w:r>
        <w:rPr>
          <w:rFonts w:hint="eastAsia"/>
          <w:color w:val="auto"/>
          <w:sz w:val="21"/>
          <w:szCs w:val="21"/>
          <w:highlight w:val="none"/>
        </w:rPr>
        <w:t>采购人</w:t>
      </w:r>
      <w:r>
        <w:rPr>
          <w:color w:val="auto"/>
          <w:sz w:val="21"/>
          <w:szCs w:val="21"/>
          <w:highlight w:val="none"/>
        </w:rPr>
        <w:t>保留审查</w:t>
      </w:r>
      <w:r>
        <w:rPr>
          <w:rFonts w:hint="eastAsia"/>
          <w:color w:val="auto"/>
          <w:sz w:val="21"/>
          <w:szCs w:val="21"/>
          <w:highlight w:val="none"/>
        </w:rPr>
        <w:t>成交供应商</w:t>
      </w:r>
      <w:r>
        <w:rPr>
          <w:color w:val="auto"/>
          <w:sz w:val="21"/>
          <w:szCs w:val="21"/>
          <w:highlight w:val="none"/>
        </w:rPr>
        <w:t>是否有能力令</w:t>
      </w:r>
      <w:r>
        <w:rPr>
          <w:rFonts w:hint="eastAsia"/>
          <w:color w:val="auto"/>
          <w:sz w:val="21"/>
          <w:szCs w:val="21"/>
          <w:highlight w:val="none"/>
        </w:rPr>
        <w:t>采购人</w:t>
      </w:r>
      <w:r>
        <w:rPr>
          <w:color w:val="auto"/>
          <w:sz w:val="21"/>
          <w:szCs w:val="21"/>
          <w:highlight w:val="none"/>
        </w:rPr>
        <w:t>满意的履行合同的权利，包括但不限于对</w:t>
      </w:r>
      <w:r>
        <w:rPr>
          <w:rFonts w:hint="eastAsia"/>
          <w:color w:val="auto"/>
          <w:sz w:val="21"/>
          <w:szCs w:val="21"/>
          <w:highlight w:val="none"/>
        </w:rPr>
        <w:t>成交供应商</w:t>
      </w:r>
      <w:r>
        <w:rPr>
          <w:color w:val="auto"/>
          <w:sz w:val="21"/>
          <w:szCs w:val="21"/>
          <w:highlight w:val="none"/>
        </w:rPr>
        <w:t>的规模、人员、场地、生产能力、供货能力等方面的核实或现场考察。如果审查通过，</w:t>
      </w:r>
      <w:r>
        <w:rPr>
          <w:rFonts w:hint="eastAsia"/>
          <w:color w:val="auto"/>
          <w:sz w:val="21"/>
          <w:szCs w:val="21"/>
          <w:highlight w:val="none"/>
        </w:rPr>
        <w:t>采购人</w:t>
      </w:r>
      <w:r>
        <w:rPr>
          <w:color w:val="auto"/>
          <w:sz w:val="21"/>
          <w:szCs w:val="21"/>
          <w:highlight w:val="none"/>
        </w:rPr>
        <w:t>将把合同授予该</w:t>
      </w:r>
      <w:r>
        <w:rPr>
          <w:rFonts w:hint="eastAsia"/>
          <w:color w:val="auto"/>
          <w:sz w:val="21"/>
          <w:szCs w:val="21"/>
          <w:highlight w:val="none"/>
        </w:rPr>
        <w:t>供应商；</w:t>
      </w:r>
      <w:r>
        <w:rPr>
          <w:color w:val="auto"/>
          <w:sz w:val="21"/>
          <w:szCs w:val="21"/>
          <w:highlight w:val="none"/>
        </w:rPr>
        <w:t>如果审查没有通过，</w:t>
      </w:r>
      <w:r>
        <w:rPr>
          <w:rFonts w:hint="eastAsia"/>
          <w:color w:val="auto"/>
          <w:sz w:val="21"/>
          <w:szCs w:val="21"/>
          <w:highlight w:val="none"/>
        </w:rPr>
        <w:t>采购人</w:t>
      </w:r>
      <w:r>
        <w:rPr>
          <w:color w:val="auto"/>
          <w:sz w:val="21"/>
          <w:szCs w:val="21"/>
          <w:highlight w:val="none"/>
        </w:rPr>
        <w:t>将拒绝其</w:t>
      </w:r>
      <w:r>
        <w:rPr>
          <w:rFonts w:hint="eastAsia"/>
          <w:color w:val="auto"/>
          <w:sz w:val="21"/>
          <w:szCs w:val="21"/>
          <w:highlight w:val="none"/>
          <w:lang w:eastAsia="zh-CN"/>
        </w:rPr>
        <w:t>磋商</w:t>
      </w:r>
      <w:r>
        <w:rPr>
          <w:color w:val="auto"/>
          <w:sz w:val="21"/>
          <w:szCs w:val="21"/>
          <w:highlight w:val="none"/>
        </w:rPr>
        <w:t>，并对下一个候选的</w:t>
      </w:r>
      <w:r>
        <w:rPr>
          <w:rFonts w:hint="eastAsia"/>
          <w:color w:val="auto"/>
          <w:sz w:val="21"/>
          <w:szCs w:val="21"/>
          <w:highlight w:val="none"/>
        </w:rPr>
        <w:t>供应商</w:t>
      </w:r>
      <w:r>
        <w:rPr>
          <w:color w:val="auto"/>
          <w:sz w:val="21"/>
          <w:szCs w:val="21"/>
          <w:highlight w:val="none"/>
        </w:rPr>
        <w:t>能否令人满意地履行合同作类似的审查或重新采购。</w:t>
      </w:r>
    </w:p>
    <w:p>
      <w:pPr>
        <w:pStyle w:val="6"/>
        <w:adjustRightInd/>
        <w:spacing w:line="360" w:lineRule="auto"/>
        <w:ind w:firstLine="422" w:firstLineChars="200"/>
        <w:rPr>
          <w:rFonts w:hAnsi="宋体"/>
          <w:b/>
          <w:color w:val="auto"/>
          <w:sz w:val="21"/>
          <w:szCs w:val="21"/>
          <w:highlight w:val="none"/>
        </w:rPr>
      </w:pPr>
      <w:bookmarkStart w:id="161" w:name="_Toc475249142"/>
      <w:bookmarkStart w:id="162" w:name="_Toc28799"/>
      <w:r>
        <w:rPr>
          <w:rFonts w:hint="eastAsia" w:hAnsi="宋体"/>
          <w:b/>
          <w:color w:val="auto"/>
          <w:sz w:val="21"/>
          <w:szCs w:val="21"/>
          <w:highlight w:val="none"/>
        </w:rPr>
        <w:t>26.成交通知</w:t>
      </w:r>
      <w:bookmarkEnd w:id="161"/>
      <w:bookmarkEnd w:id="162"/>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26.1采购代理机构将在采购人确定成交供应商后之日起的2个工作日内发出《成交通知书》，并公告成交结果。</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26.2《成交通知书》是签订采购合同的依据和组成部分。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26.3成交结果将在</w:t>
      </w:r>
      <w:r>
        <w:rPr>
          <w:rFonts w:hint="eastAsia" w:hAnsi="宋体"/>
          <w:color w:val="auto"/>
          <w:sz w:val="21"/>
          <w:szCs w:val="21"/>
          <w:highlight w:val="none"/>
          <w:lang w:eastAsia="zh-CN"/>
        </w:rPr>
        <w:t>磋商文件</w:t>
      </w:r>
      <w:r>
        <w:rPr>
          <w:rFonts w:hint="eastAsia" w:hAnsi="宋体"/>
          <w:color w:val="auto"/>
          <w:sz w:val="21"/>
          <w:szCs w:val="21"/>
          <w:highlight w:val="none"/>
        </w:rPr>
        <w:t>指定的采购信息发布媒体上公告，同时向成交供应商发出成交通知书，并将磋商文件随成交结果同时公告。</w:t>
      </w:r>
    </w:p>
    <w:p>
      <w:pPr>
        <w:pStyle w:val="14"/>
        <w:ind w:firstLine="400"/>
        <w:rPr>
          <w:color w:val="auto"/>
          <w:highlight w:val="none"/>
        </w:rPr>
      </w:pPr>
    </w:p>
    <w:p>
      <w:pPr>
        <w:pStyle w:val="5"/>
        <w:adjustRightInd/>
        <w:spacing w:line="360" w:lineRule="auto"/>
        <w:ind w:firstLine="562" w:firstLineChars="200"/>
        <w:jc w:val="center"/>
        <w:rPr>
          <w:color w:val="auto"/>
          <w:sz w:val="28"/>
          <w:szCs w:val="28"/>
          <w:highlight w:val="none"/>
        </w:rPr>
      </w:pPr>
      <w:bookmarkStart w:id="163" w:name="_Toc28276"/>
      <w:bookmarkStart w:id="164" w:name="_Toc26865"/>
      <w:bookmarkStart w:id="165" w:name="_Toc7897883"/>
      <w:bookmarkStart w:id="166" w:name="_Toc37756778"/>
      <w:bookmarkStart w:id="167" w:name="_Toc110953852"/>
      <w:bookmarkStart w:id="168" w:name="_Toc475249143"/>
      <w:r>
        <w:rPr>
          <w:rFonts w:hint="eastAsia"/>
          <w:color w:val="auto"/>
          <w:sz w:val="28"/>
          <w:szCs w:val="28"/>
          <w:highlight w:val="none"/>
        </w:rPr>
        <w:t>七、签订采购合同</w:t>
      </w:r>
      <w:bookmarkEnd w:id="163"/>
      <w:bookmarkEnd w:id="164"/>
      <w:bookmarkEnd w:id="165"/>
      <w:bookmarkEnd w:id="166"/>
      <w:bookmarkEnd w:id="167"/>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27.采购人与成交供应商应当在成交通知书发出之日起</w:t>
      </w:r>
      <w:r>
        <w:rPr>
          <w:rFonts w:hint="eastAsia" w:hAnsi="宋体"/>
          <w:color w:val="auto"/>
          <w:sz w:val="21"/>
          <w:szCs w:val="21"/>
          <w:highlight w:val="none"/>
          <w:lang w:val="en-US" w:eastAsia="zh-CN"/>
        </w:rPr>
        <w:t>5个工作</w:t>
      </w:r>
      <w:r>
        <w:rPr>
          <w:rFonts w:hint="eastAsia" w:hAnsi="宋体"/>
          <w:color w:val="auto"/>
          <w:sz w:val="21"/>
          <w:szCs w:val="21"/>
          <w:highlight w:val="none"/>
        </w:rPr>
        <w:t>日内，按照</w:t>
      </w:r>
      <w:r>
        <w:rPr>
          <w:rFonts w:hint="eastAsia" w:hAnsi="宋体"/>
          <w:color w:val="auto"/>
          <w:sz w:val="21"/>
          <w:szCs w:val="21"/>
          <w:highlight w:val="none"/>
          <w:lang w:eastAsia="zh-CN"/>
        </w:rPr>
        <w:t>磋商文件</w:t>
      </w:r>
      <w:r>
        <w:rPr>
          <w:rFonts w:hint="eastAsia" w:hAnsi="宋体"/>
          <w:color w:val="auto"/>
          <w:sz w:val="21"/>
          <w:szCs w:val="21"/>
          <w:highlight w:val="none"/>
        </w:rPr>
        <w:t>确定的事项签订采购合同。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28.合同内容不得与磋商文件和响应文件内容有实质性偏离。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29.采购合同自签订之日起7个工作日内，采购人应将合同副本报采购代理机构归档。</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w:t>
      </w:r>
      <w:r>
        <w:rPr>
          <w:rFonts w:hint="eastAsia" w:hAnsi="宋体"/>
          <w:color w:val="auto"/>
          <w:sz w:val="21"/>
          <w:szCs w:val="21"/>
          <w:highlight w:val="none"/>
          <w:lang w:val="zh-CN"/>
        </w:rPr>
        <w:tab/>
      </w:r>
      <w:r>
        <w:rPr>
          <w:rFonts w:hint="eastAsia" w:hAnsi="宋体"/>
          <w:color w:val="auto"/>
          <w:sz w:val="21"/>
          <w:szCs w:val="21"/>
          <w:highlight w:val="none"/>
          <w:lang w:val="zh-CN"/>
        </w:rPr>
        <w:t>履约</w:t>
      </w:r>
      <w:r>
        <w:rPr>
          <w:rFonts w:hint="eastAsia" w:hAnsi="宋体"/>
          <w:color w:val="auto"/>
          <w:sz w:val="21"/>
          <w:szCs w:val="21"/>
          <w:highlight w:val="none"/>
        </w:rPr>
        <w:t>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w:t>
      </w:r>
      <w:r>
        <w:rPr>
          <w:rFonts w:hint="eastAsia" w:hAnsi="宋体"/>
          <w:color w:val="auto"/>
          <w:sz w:val="21"/>
          <w:szCs w:val="21"/>
          <w:highlight w:val="none"/>
          <w:lang w:val="zh-CN"/>
        </w:rPr>
        <w:t>.1</w:t>
      </w:r>
      <w:r>
        <w:rPr>
          <w:rFonts w:hint="eastAsia" w:hAnsi="宋体"/>
          <w:color w:val="auto"/>
          <w:sz w:val="21"/>
          <w:szCs w:val="21"/>
          <w:highlight w:val="none"/>
        </w:rPr>
        <w:t>签订合同前，成交供应商应提交履约担保。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30.2成交供应商向采购人提交履约担保，履约担保形式：☑履约保证金；☑ 银行履约保函；□担保公司履约担保书。履约担保金额：合同金额的10%。履约担保账户：采购人指定账户。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30.3</w:t>
      </w:r>
      <w:r>
        <w:rPr>
          <w:rFonts w:hint="eastAsia" w:hAnsi="宋体"/>
          <w:color w:val="auto"/>
          <w:sz w:val="21"/>
          <w:szCs w:val="21"/>
          <w:highlight w:val="none"/>
          <w:lang w:val="zh-CN"/>
        </w:rPr>
        <w:t>履约保函应是由银行支行一级或以上银行机构出具，并经甲方同意，非东莞市行政区内的银行出具的保函需经担保银行所在地公证机关公证并出具公证书。履约保函的内容，应符合磋商文件、磋商响应文件和采购合同的要求。履约保函应在采购合同有效期满后28天内继续有效。</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30.4</w:t>
      </w:r>
      <w:r>
        <w:rPr>
          <w:rFonts w:hint="eastAsia" w:hAnsi="宋体"/>
          <w:color w:val="auto"/>
          <w:sz w:val="21"/>
          <w:szCs w:val="21"/>
          <w:highlight w:val="none"/>
          <w:lang w:val="zh-CN"/>
        </w:rPr>
        <w:t>若成交供应商不按规定提交履约担保，采购人将有充分的理由解除合同，给采购人造成的损失超过履约保证金数额的，还应当对超过部分予以赔偿。</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30.5在整个项目验收合格后，成交供应商向采购人提交退回履约担保的申请，采购人办理履约担保退还手续，将履约担保退回原成交供应商的汇入帐户。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31.发票</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31</w:t>
      </w:r>
      <w:r>
        <w:rPr>
          <w:rFonts w:hint="eastAsia" w:hAnsi="宋体"/>
          <w:color w:val="auto"/>
          <w:sz w:val="21"/>
          <w:szCs w:val="21"/>
          <w:highlight w:val="none"/>
          <w:lang w:val="zh-CN"/>
        </w:rPr>
        <w:t>.1该项目获得成交的成交供应商在执行合同过程中，向采购人出具的发票必须是由成交供应商开具，不得以其他单位或个人名义出具。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31.2成交供应商需提交增值税专用发票，并于备注栏写明项目名称及合同名称。</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31.3在合同履行期间，如遇国家的税率调整，则以开具发票的时间为准，以原合同约定价格不含税金额不变作为基准，按照新税率重新计算含税价格。</w:t>
      </w:r>
    </w:p>
    <w:p>
      <w:pPr>
        <w:rPr>
          <w:color w:val="auto"/>
          <w:highlight w:val="none"/>
        </w:rPr>
      </w:pPr>
    </w:p>
    <w:bookmarkEnd w:id="168"/>
    <w:p>
      <w:pPr>
        <w:pStyle w:val="5"/>
        <w:adjustRightInd/>
        <w:spacing w:line="360" w:lineRule="auto"/>
        <w:ind w:firstLine="562" w:firstLineChars="200"/>
        <w:jc w:val="center"/>
        <w:rPr>
          <w:color w:val="auto"/>
          <w:sz w:val="21"/>
          <w:szCs w:val="21"/>
          <w:highlight w:val="none"/>
        </w:rPr>
      </w:pPr>
      <w:bookmarkStart w:id="169" w:name="_Toc8766"/>
      <w:bookmarkStart w:id="170" w:name="_Toc7897884"/>
      <w:bookmarkStart w:id="171" w:name="_Toc7736"/>
      <w:bookmarkStart w:id="172" w:name="_Toc3498"/>
      <w:bookmarkStart w:id="173" w:name="_Toc396137239"/>
      <w:bookmarkStart w:id="174" w:name="_Toc5141"/>
      <w:bookmarkStart w:id="175" w:name="_Toc396137240"/>
      <w:r>
        <w:rPr>
          <w:rFonts w:hint="eastAsia"/>
          <w:color w:val="auto"/>
          <w:sz w:val="28"/>
          <w:szCs w:val="28"/>
          <w:highlight w:val="none"/>
        </w:rPr>
        <w:t>八、成交服务费</w:t>
      </w:r>
      <w:bookmarkEnd w:id="169"/>
      <w:bookmarkEnd w:id="170"/>
      <w:bookmarkEnd w:id="171"/>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.1</w:t>
      </w:r>
      <w:r>
        <w:rPr>
          <w:rFonts w:hint="eastAsia" w:hAnsi="宋体"/>
          <w:color w:val="auto"/>
          <w:sz w:val="21"/>
          <w:szCs w:val="21"/>
          <w:highlight w:val="none"/>
          <w:lang w:eastAsia="zh-CN"/>
        </w:rPr>
        <w:t>成交供应商</w:t>
      </w:r>
      <w:r>
        <w:rPr>
          <w:rFonts w:hint="eastAsia" w:hAnsi="宋体"/>
          <w:color w:val="auto"/>
          <w:sz w:val="21"/>
          <w:szCs w:val="21"/>
          <w:highlight w:val="none"/>
        </w:rPr>
        <w:t>须向采购代理机构按如下标准和规定交纳成交服务费。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.2成交服务费</w:t>
      </w:r>
      <w:r>
        <w:rPr>
          <w:rFonts w:hint="eastAsia" w:hAnsi="宋体"/>
          <w:color w:val="auto"/>
          <w:sz w:val="21"/>
          <w:szCs w:val="21"/>
          <w:highlight w:val="none"/>
          <w:lang w:eastAsia="zh-CN"/>
        </w:rPr>
        <w:t>参照</w:t>
      </w:r>
      <w:r>
        <w:rPr>
          <w:rFonts w:hint="eastAsia" w:hAnsi="宋体"/>
          <w:color w:val="auto"/>
          <w:sz w:val="21"/>
          <w:szCs w:val="21"/>
          <w:highlight w:val="none"/>
        </w:rPr>
        <w:t>国家计委[计价格[2002]1980号]文和国家发改委[发改价格[2011]534号]文及相关规定收取，按差额定率累进法计算，按</w:t>
      </w:r>
      <w:r>
        <w:rPr>
          <w:rFonts w:hint="eastAsia" w:hAnsi="宋体"/>
          <w:color w:val="auto"/>
          <w:sz w:val="21"/>
          <w:szCs w:val="21"/>
          <w:highlight w:val="none"/>
          <w:lang w:eastAsia="zh-CN"/>
        </w:rPr>
        <w:t>工程</w:t>
      </w:r>
      <w:r>
        <w:rPr>
          <w:rFonts w:hint="eastAsia" w:hAnsi="宋体"/>
          <w:color w:val="auto"/>
          <w:sz w:val="21"/>
          <w:szCs w:val="21"/>
          <w:highlight w:val="none"/>
        </w:rPr>
        <w:t>类</w:t>
      </w:r>
      <w:r>
        <w:rPr>
          <w:rFonts w:hint="eastAsia" w:hAnsi="宋体"/>
          <w:color w:val="auto"/>
          <w:sz w:val="21"/>
          <w:szCs w:val="21"/>
          <w:highlight w:val="none"/>
          <w:lang w:eastAsia="zh-CN"/>
        </w:rPr>
        <w:t>的</w:t>
      </w:r>
      <w:r>
        <w:rPr>
          <w:rFonts w:hint="eastAsia" w:hAnsi="宋体"/>
          <w:color w:val="auto"/>
          <w:sz w:val="21"/>
          <w:szCs w:val="21"/>
          <w:highlight w:val="none"/>
          <w:lang w:val="en-US" w:eastAsia="zh-CN"/>
        </w:rPr>
        <w:t>七折</w:t>
      </w:r>
      <w:r>
        <w:rPr>
          <w:rFonts w:hint="eastAsia" w:hAnsi="宋体"/>
          <w:color w:val="auto"/>
          <w:sz w:val="21"/>
          <w:szCs w:val="21"/>
          <w:highlight w:val="none"/>
          <w:lang w:eastAsia="zh-CN"/>
        </w:rPr>
        <w:t>收取</w:t>
      </w:r>
      <w:r>
        <w:rPr>
          <w:rFonts w:hint="eastAsia" w:hAnsi="宋体"/>
          <w:color w:val="auto"/>
          <w:sz w:val="21"/>
          <w:szCs w:val="21"/>
          <w:highlight w:val="none"/>
        </w:rPr>
        <w:t>，以成交通知书中确定的成交总金额作为收费的计算依据。成交服务费最低收费标准为伍仟元整。</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.3服务费的货币为人民币。</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.4服务费应由</w:t>
      </w:r>
      <w:r>
        <w:rPr>
          <w:rFonts w:hint="eastAsia" w:hAnsi="宋体"/>
          <w:color w:val="auto"/>
          <w:sz w:val="21"/>
          <w:szCs w:val="21"/>
          <w:highlight w:val="none"/>
          <w:lang w:eastAsia="zh-CN"/>
        </w:rPr>
        <w:t>成交供应商</w:t>
      </w:r>
      <w:r>
        <w:rPr>
          <w:rFonts w:hint="eastAsia" w:hAnsi="宋体"/>
          <w:color w:val="auto"/>
          <w:sz w:val="21"/>
          <w:szCs w:val="21"/>
          <w:highlight w:val="none"/>
        </w:rPr>
        <w:t>在采购结果公示发出之后，采购人确定可签订合同时交纳，不在报价中单列。</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2</w:t>
      </w:r>
      <w:r>
        <w:rPr>
          <w:rFonts w:hint="eastAsia" w:hAnsi="宋体"/>
          <w:color w:val="auto"/>
          <w:sz w:val="21"/>
          <w:szCs w:val="21"/>
          <w:highlight w:val="none"/>
        </w:rPr>
        <w:t>.5以转账或现金的形式支付。</w:t>
      </w:r>
    </w:p>
    <w:p>
      <w:pPr>
        <w:pStyle w:val="14"/>
        <w:ind w:firstLine="400"/>
        <w:rPr>
          <w:color w:val="auto"/>
          <w:highlight w:val="none"/>
        </w:rPr>
      </w:pPr>
    </w:p>
    <w:p>
      <w:pPr>
        <w:pStyle w:val="5"/>
        <w:adjustRightInd/>
        <w:spacing w:line="360" w:lineRule="auto"/>
        <w:ind w:firstLine="562" w:firstLineChars="200"/>
        <w:jc w:val="center"/>
        <w:rPr>
          <w:color w:val="auto"/>
          <w:sz w:val="28"/>
          <w:szCs w:val="28"/>
          <w:highlight w:val="none"/>
          <w:lang w:val="zh-CN"/>
        </w:rPr>
      </w:pPr>
      <w:bookmarkStart w:id="176" w:name="_Toc10108"/>
      <w:r>
        <w:rPr>
          <w:rFonts w:hint="eastAsia"/>
          <w:color w:val="auto"/>
          <w:sz w:val="28"/>
          <w:szCs w:val="28"/>
          <w:highlight w:val="none"/>
          <w:lang w:val="zh-CN"/>
        </w:rPr>
        <w:t>九、质疑与回复</w:t>
      </w:r>
      <w:bookmarkEnd w:id="172"/>
      <w:bookmarkEnd w:id="173"/>
      <w:bookmarkEnd w:id="174"/>
      <w:bookmarkEnd w:id="17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 xml:space="preserve">   质疑与回复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.1 质疑书应当包括下列主要内容：</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（1）供应商的姓名或者名称、地址、邮编、联系人及联系电话；</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（2）质疑项目的名称、编号；</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（3）具体、明确的质疑事项和与质疑事项相关的请求；</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（4）事实依据；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（5）必要的法律依据；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（6）提出质疑的日期。</w:t>
      </w:r>
    </w:p>
    <w:p>
      <w:pPr>
        <w:spacing w:line="360" w:lineRule="auto"/>
        <w:ind w:firstLine="420" w:firstLineChars="200"/>
        <w:rPr>
          <w:rFonts w:hAnsi="宋体"/>
          <w:color w:val="auto"/>
          <w:sz w:val="21"/>
          <w:szCs w:val="21"/>
          <w:highlight w:val="none"/>
        </w:rPr>
      </w:pPr>
      <w:r>
        <w:rPr>
          <w:rFonts w:hint="eastAsia" w:hAnsi="宋体"/>
          <w:color w:val="auto"/>
          <w:kern w:val="2"/>
          <w:sz w:val="21"/>
          <w:szCs w:val="21"/>
          <w:highlight w:val="none"/>
        </w:rPr>
        <w:t>3</w:t>
      </w:r>
      <w:r>
        <w:rPr>
          <w:rFonts w:hint="eastAsia" w:hAnsi="宋体"/>
          <w:color w:val="auto"/>
          <w:kern w:val="2"/>
          <w:sz w:val="21"/>
          <w:szCs w:val="21"/>
          <w:highlight w:val="none"/>
          <w:lang w:val="en-US" w:eastAsia="zh-CN"/>
        </w:rPr>
        <w:t>3</w:t>
      </w:r>
      <w:r>
        <w:rPr>
          <w:rFonts w:hint="eastAsia" w:hAnsi="宋体"/>
          <w:color w:val="auto"/>
          <w:sz w:val="21"/>
          <w:szCs w:val="21"/>
          <w:highlight w:val="none"/>
        </w:rPr>
        <w:t>.2. 质疑书应当署名。质疑人为自然人的，应当由本人签名；质疑人为法人或者</w:t>
      </w:r>
      <w:r>
        <w:rPr>
          <w:rFonts w:hint="eastAsia" w:hAnsi="宋体"/>
          <w:color w:val="auto"/>
          <w:kern w:val="2"/>
          <w:sz w:val="21"/>
          <w:szCs w:val="21"/>
          <w:highlight w:val="none"/>
          <w:lang w:val="zh-CN"/>
        </w:rPr>
        <w:t>其他</w:t>
      </w:r>
      <w:r>
        <w:rPr>
          <w:rFonts w:hint="eastAsia" w:hAnsi="宋体"/>
          <w:color w:val="auto"/>
          <w:sz w:val="21"/>
          <w:szCs w:val="21"/>
          <w:highlight w:val="none"/>
        </w:rPr>
        <w:t>组织的，应当由法定代表人或者主要负责人签名并加盖公章。</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.4. 供应商认为采购过程和</w:t>
      </w:r>
      <w:r>
        <w:rPr>
          <w:rFonts w:hint="eastAsia" w:hAnsi="宋体"/>
          <w:color w:val="auto"/>
          <w:sz w:val="21"/>
          <w:szCs w:val="21"/>
          <w:highlight w:val="none"/>
          <w:lang w:eastAsia="zh-CN"/>
        </w:rPr>
        <w:t>成交</w:t>
      </w:r>
      <w:r>
        <w:rPr>
          <w:rFonts w:hint="eastAsia" w:hAnsi="宋体"/>
          <w:color w:val="auto"/>
          <w:sz w:val="21"/>
          <w:szCs w:val="21"/>
          <w:highlight w:val="none"/>
        </w:rPr>
        <w:t>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罗小姐/0769-22652033；联系地址：东莞市东城莞龙路下桥银门街一号办公楼七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.5.供应商在法定质疑期内一次性提出针对同一采购程序环节的质疑。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3</w:t>
      </w:r>
      <w:r>
        <w:rPr>
          <w:rFonts w:hint="eastAsia" w:hAnsi="宋体"/>
          <w:color w:val="auto"/>
          <w:sz w:val="21"/>
          <w:szCs w:val="21"/>
          <w:highlight w:val="none"/>
        </w:rPr>
        <w:t>.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pacing w:line="360" w:lineRule="auto"/>
        <w:ind w:firstLine="420" w:firstLineChars="200"/>
        <w:rPr>
          <w:bCs/>
          <w:color w:val="auto"/>
          <w:sz w:val="21"/>
          <w:szCs w:val="21"/>
          <w:highlight w:val="none"/>
        </w:rPr>
      </w:pPr>
      <w:bookmarkStart w:id="177" w:name="_Toc29421"/>
      <w:r>
        <w:rPr>
          <w:rFonts w:hint="eastAsia"/>
          <w:color w:val="auto"/>
          <w:sz w:val="21"/>
          <w:szCs w:val="21"/>
          <w:highlight w:val="none"/>
        </w:rPr>
        <w:t>3</w:t>
      </w:r>
      <w:r>
        <w:rPr>
          <w:rFonts w:hint="eastAsia"/>
          <w:color w:val="auto"/>
          <w:sz w:val="21"/>
          <w:szCs w:val="21"/>
          <w:highlight w:val="none"/>
          <w:lang w:val="en-US" w:eastAsia="zh-CN"/>
        </w:rPr>
        <w:t>3</w:t>
      </w:r>
      <w:r>
        <w:rPr>
          <w:rFonts w:hint="eastAsia"/>
          <w:color w:val="auto"/>
          <w:sz w:val="21"/>
          <w:szCs w:val="21"/>
          <w:highlight w:val="none"/>
        </w:rPr>
        <w:t>.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同级采购监督管理部门提出投诉。投诉事项应该是经过质疑的事项。</w:t>
      </w:r>
      <w:bookmarkEnd w:id="177"/>
    </w:p>
    <w:p>
      <w:pPr>
        <w:pStyle w:val="4"/>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178" w:name="_Toc16785"/>
      <w:r>
        <w:rPr>
          <w:rFonts w:hint="eastAsia" w:hAnsi="宋体"/>
          <w:b/>
          <w:bCs/>
          <w:color w:val="auto"/>
          <w:kern w:val="44"/>
          <w:sz w:val="28"/>
          <w:szCs w:val="28"/>
          <w:highlight w:val="none"/>
          <w:lang w:val="zh-CN"/>
        </w:rPr>
        <w:t>用户需求书</w:t>
      </w:r>
      <w:bookmarkEnd w:id="175"/>
      <w:bookmarkEnd w:id="178"/>
    </w:p>
    <w:p>
      <w:pPr>
        <w:pStyle w:val="5"/>
        <w:jc w:val="center"/>
        <w:outlineLvl w:val="1"/>
        <w:rPr>
          <w:b/>
          <w:bCs/>
          <w:color w:val="auto"/>
          <w:sz w:val="28"/>
          <w:szCs w:val="28"/>
          <w:highlight w:val="none"/>
        </w:rPr>
      </w:pPr>
      <w:bookmarkStart w:id="179" w:name="_Toc32290"/>
      <w:r>
        <w:rPr>
          <w:rFonts w:hint="eastAsia"/>
          <w:b/>
          <w:bCs/>
          <w:color w:val="auto"/>
          <w:sz w:val="28"/>
          <w:szCs w:val="28"/>
          <w:highlight w:val="none"/>
        </w:rPr>
        <w:t>第一部分 商务需求书</w:t>
      </w:r>
      <w:bookmarkEnd w:id="179"/>
    </w:p>
    <w:tbl>
      <w:tblPr>
        <w:tblStyle w:val="52"/>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8"/>
        <w:gridCol w:w="2049"/>
        <w:gridCol w:w="639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049"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6397"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  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49" w:type="dxa"/>
            <w:shd w:val="clear" w:color="auto" w:fill="FFFFFF" w:themeFill="background1"/>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eastAsia="zh-CN"/>
              </w:rPr>
              <w:t>工</w:t>
            </w:r>
            <w:r>
              <w:rPr>
                <w:rFonts w:hint="eastAsia" w:ascii="宋体" w:hAnsi="宋体" w:eastAsia="宋体" w:cs="宋体"/>
                <w:color w:val="auto"/>
                <w:kern w:val="2"/>
                <w:sz w:val="21"/>
                <w:szCs w:val="21"/>
                <w:highlight w:val="none"/>
              </w:rPr>
              <w:t>期</w:t>
            </w:r>
          </w:p>
        </w:tc>
        <w:tc>
          <w:tcPr>
            <w:tcW w:w="6397" w:type="dxa"/>
            <w:shd w:val="clear" w:color="auto" w:fill="FFFFFF" w:themeFill="background1"/>
            <w:noWrap w:val="0"/>
            <w:vAlign w:val="center"/>
          </w:tcPr>
          <w:p>
            <w:pPr>
              <w:pStyle w:val="145"/>
              <w:spacing w:line="360" w:lineRule="auto"/>
              <w:rPr>
                <w:rFonts w:hint="eastAsia" w:ascii="宋体" w:hAnsi="宋体" w:eastAsia="宋体" w:cs="宋体"/>
                <w:color w:val="auto"/>
                <w:sz w:val="21"/>
                <w:szCs w:val="21"/>
                <w:highlight w:val="none"/>
              </w:rPr>
            </w:pPr>
            <w:r>
              <w:rPr>
                <w:rFonts w:hint="eastAsia" w:hAnsi="宋体" w:cs="宋体"/>
                <w:b w:val="0"/>
                <w:bCs w:val="0"/>
                <w:color w:val="auto"/>
                <w:sz w:val="21"/>
                <w:szCs w:val="21"/>
                <w:highlight w:val="none"/>
              </w:rPr>
              <w:t>本项目合同工期暂定为50天，其中大岭山镇地块临时用地、寮步镇地块二临时用地为第一阶段复垦项目，同时施工，工期30个日历天</w:t>
            </w:r>
            <w:r>
              <w:rPr>
                <w:rFonts w:hint="eastAsia" w:hAnsi="宋体" w:cs="宋体"/>
                <w:b w:val="0"/>
                <w:bCs w:val="0"/>
                <w:color w:val="auto"/>
                <w:sz w:val="21"/>
                <w:szCs w:val="21"/>
                <w:highlight w:val="none"/>
                <w:lang w:eastAsia="zh-CN"/>
              </w:rPr>
              <w:t>，</w:t>
            </w:r>
            <w:r>
              <w:rPr>
                <w:rFonts w:hint="eastAsia" w:hAnsi="宋体" w:cs="宋体"/>
                <w:b w:val="0"/>
                <w:bCs w:val="0"/>
                <w:color w:val="auto"/>
                <w:sz w:val="21"/>
                <w:szCs w:val="21"/>
                <w:highlight w:val="none"/>
                <w:lang w:val="en-US" w:eastAsia="zh-CN"/>
              </w:rPr>
              <w:t>自中标通知书发出之日起算</w:t>
            </w:r>
            <w:r>
              <w:rPr>
                <w:rFonts w:hint="eastAsia" w:hAnsi="宋体" w:cs="宋体"/>
                <w:b w:val="0"/>
                <w:bCs w:val="0"/>
                <w:color w:val="auto"/>
                <w:sz w:val="21"/>
                <w:szCs w:val="21"/>
                <w:highlight w:val="none"/>
              </w:rPr>
              <w:t>；寮步镇地块一临时用地为第二阶段复垦项目，工期20个日历天，自合同签订后，以采购人发出的开工令生效之日起算。</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49" w:type="dxa"/>
            <w:shd w:val="clear" w:color="auto" w:fill="FFFFFF" w:themeFill="background1"/>
            <w:noWrap w:val="0"/>
            <w:vAlign w:val="center"/>
          </w:tcPr>
          <w:p>
            <w:pPr>
              <w:spacing w:line="360" w:lineRule="auto"/>
              <w:jc w:val="center"/>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sz w:val="21"/>
                <w:szCs w:val="21"/>
                <w:highlight w:val="none"/>
              </w:rPr>
              <w:t>报价要求</w:t>
            </w:r>
          </w:p>
        </w:tc>
        <w:tc>
          <w:tcPr>
            <w:tcW w:w="6397" w:type="dxa"/>
            <w:shd w:val="clear" w:color="auto" w:fill="FFFFFF" w:themeFill="background1"/>
            <w:noWrap w:val="0"/>
            <w:vAlign w:val="center"/>
          </w:tcPr>
          <w:p>
            <w:pPr>
              <w:pStyle w:val="145"/>
              <w:spacing w:line="360" w:lineRule="auto"/>
              <w:rPr>
                <w:rFonts w:hint="default" w:ascii="仿宋_GB2312" w:hAnsi="微软雅黑" w:eastAsia="仿宋_GB2312" w:cs="仿宋_GB2312"/>
                <w:i w:val="0"/>
                <w:caps w:val="0"/>
                <w:color w:val="auto"/>
                <w:spacing w:val="0"/>
                <w:sz w:val="24"/>
                <w:szCs w:val="24"/>
                <w:highlight w:val="none"/>
              </w:rPr>
            </w:pPr>
            <w:r>
              <w:rPr>
                <w:rFonts w:hint="eastAsia" w:ascii="宋体" w:hAnsi="宋体" w:eastAsia="宋体" w:cs="宋体"/>
                <w:i w:val="0"/>
                <w:caps w:val="0"/>
                <w:color w:val="auto"/>
                <w:spacing w:val="0"/>
                <w:sz w:val="21"/>
                <w:szCs w:val="21"/>
                <w:highlight w:val="none"/>
              </w:rPr>
              <w:t>本项目</w:t>
            </w:r>
            <w:r>
              <w:rPr>
                <w:rFonts w:hint="eastAsia" w:ascii="宋体" w:hAnsi="宋体" w:eastAsia="宋体" w:cs="宋体"/>
                <w:b w:val="0"/>
                <w:bCs w:val="0"/>
                <w:i w:val="0"/>
                <w:caps w:val="0"/>
                <w:color w:val="auto"/>
                <w:spacing w:val="0"/>
                <w:sz w:val="21"/>
                <w:szCs w:val="21"/>
                <w:highlight w:val="none"/>
              </w:rPr>
              <w:t>为</w:t>
            </w:r>
            <w:r>
              <w:rPr>
                <w:rFonts w:hint="eastAsia" w:ascii="宋体" w:hAnsi="宋体" w:cs="宋体"/>
                <w:b w:val="0"/>
                <w:bCs w:val="0"/>
                <w:i w:val="0"/>
                <w:caps w:val="0"/>
                <w:color w:val="auto"/>
                <w:spacing w:val="0"/>
                <w:sz w:val="21"/>
                <w:szCs w:val="21"/>
                <w:highlight w:val="none"/>
                <w:lang w:val="en-US" w:eastAsia="zh-CN"/>
              </w:rPr>
              <w:t>总价包干</w:t>
            </w:r>
            <w:r>
              <w:rPr>
                <w:rFonts w:hint="eastAsia" w:ascii="宋体" w:hAnsi="宋体" w:eastAsia="宋体" w:cs="宋体"/>
                <w:b w:val="0"/>
                <w:bCs w:val="0"/>
                <w:i w:val="0"/>
                <w:caps w:val="0"/>
                <w:color w:val="auto"/>
                <w:spacing w:val="0"/>
                <w:sz w:val="21"/>
                <w:szCs w:val="21"/>
                <w:highlight w:val="none"/>
                <w:lang w:val="en-US" w:eastAsia="zh-CN"/>
              </w:rPr>
              <w:t>的形式</w:t>
            </w:r>
            <w:r>
              <w:rPr>
                <w:rFonts w:hint="eastAsia" w:ascii="宋体" w:hAnsi="宋体" w:eastAsia="宋体" w:cs="宋体"/>
                <w:i w:val="0"/>
                <w:caps w:val="0"/>
                <w:color w:val="auto"/>
                <w:spacing w:val="0"/>
                <w:sz w:val="21"/>
                <w:szCs w:val="21"/>
                <w:highlight w:val="none"/>
              </w:rPr>
              <w:t>，</w:t>
            </w:r>
            <w:r>
              <w:rPr>
                <w:rFonts w:hint="eastAsia" w:ascii="宋体" w:hAnsi="宋体" w:eastAsia="宋体" w:cs="宋体"/>
                <w:i w:val="0"/>
                <w:caps w:val="0"/>
                <w:color w:val="auto"/>
                <w:spacing w:val="0"/>
                <w:sz w:val="21"/>
                <w:szCs w:val="21"/>
                <w:highlight w:val="none"/>
                <w:lang w:val="en-US" w:eastAsia="zh-CN"/>
              </w:rPr>
              <w:t>报价格式按照响应文件的分项报价表格式进行填报</w:t>
            </w:r>
            <w:r>
              <w:rPr>
                <w:rFonts w:hint="eastAsia" w:ascii="宋体" w:hAnsi="宋体" w:eastAsia="宋体" w:cs="宋体"/>
                <w:i w:val="0"/>
                <w:caps w:val="0"/>
                <w:color w:val="auto"/>
                <w:spacing w:val="0"/>
                <w:sz w:val="21"/>
                <w:szCs w:val="21"/>
                <w:highlight w:val="none"/>
              </w:rPr>
              <w:t>，</w:t>
            </w:r>
            <w:r>
              <w:rPr>
                <w:rFonts w:hint="eastAsia" w:ascii="宋体" w:hAnsi="宋体" w:eastAsia="宋体" w:cs="宋体"/>
                <w:i w:val="0"/>
                <w:caps w:val="0"/>
                <w:color w:val="auto"/>
                <w:spacing w:val="0"/>
                <w:sz w:val="21"/>
                <w:szCs w:val="21"/>
                <w:highlight w:val="none"/>
                <w:lang w:val="en-US" w:eastAsia="zh-CN"/>
              </w:rPr>
              <w:t>价格</w:t>
            </w:r>
            <w:r>
              <w:rPr>
                <w:rFonts w:hint="eastAsia" w:ascii="宋体" w:hAnsi="宋体" w:eastAsia="宋体" w:cs="宋体"/>
                <w:i w:val="0"/>
                <w:caps w:val="0"/>
                <w:color w:val="auto"/>
                <w:spacing w:val="0"/>
                <w:sz w:val="21"/>
                <w:szCs w:val="21"/>
                <w:highlight w:val="none"/>
              </w:rPr>
              <w:t>包括但不限于：完成本项目的成本、利润、税金等在项目过程中可能产生的一切费用。</w:t>
            </w:r>
            <w:r>
              <w:rPr>
                <w:rFonts w:hint="eastAsia" w:ascii="宋体" w:hAnsi="宋体" w:eastAsia="宋体" w:cs="宋体"/>
                <w:i w:val="0"/>
                <w:caps w:val="0"/>
                <w:color w:val="auto"/>
                <w:spacing w:val="0"/>
                <w:sz w:val="21"/>
                <w:szCs w:val="21"/>
                <w:highlight w:val="none"/>
                <w:lang w:eastAsia="zh-CN"/>
              </w:rPr>
              <w:t>响应人</w:t>
            </w:r>
            <w:r>
              <w:rPr>
                <w:rFonts w:hint="eastAsia" w:ascii="宋体" w:hAnsi="宋体" w:eastAsia="宋体" w:cs="宋体"/>
                <w:i w:val="0"/>
                <w:caps w:val="0"/>
                <w:color w:val="auto"/>
                <w:spacing w:val="0"/>
                <w:sz w:val="21"/>
                <w:szCs w:val="21"/>
                <w:highlight w:val="none"/>
              </w:rPr>
              <w:t>已充分考虑了本项目内容及要求描述工作量可能与最终实际工作量存在差距的风险</w:t>
            </w:r>
            <w:r>
              <w:rPr>
                <w:rFonts w:hint="default" w:ascii="仿宋_GB2312" w:hAnsi="微软雅黑" w:eastAsia="仿宋_GB2312" w:cs="仿宋_GB2312"/>
                <w:i w:val="0"/>
                <w:caps w:val="0"/>
                <w:color w:val="auto"/>
                <w:spacing w:val="0"/>
                <w:sz w:val="24"/>
                <w:szCs w:val="24"/>
                <w:highlight w:val="none"/>
              </w:rPr>
              <w:t>。</w:t>
            </w:r>
          </w:p>
          <w:p>
            <w:pPr>
              <w:pStyle w:val="145"/>
              <w:spacing w:line="360" w:lineRule="auto"/>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rPr>
              <w:t>响应人报价报价还应充分考虑包括但不限于以下内容所产生的费用：</w:t>
            </w:r>
          </w:p>
          <w:p>
            <w:pPr>
              <w:pStyle w:val="145"/>
              <w:spacing w:line="360" w:lineRule="auto"/>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rPr>
              <w:t>（1）预防一般性自然灾害所采取的措施费用；</w:t>
            </w:r>
          </w:p>
          <w:p>
            <w:pPr>
              <w:pStyle w:val="145"/>
              <w:spacing w:line="360" w:lineRule="auto"/>
              <w:ind w:firstLine="0" w:firstLineChars="0"/>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rPr>
              <w:t>（2）不可预见的施工措施费，施工辅助材料、消耗性材料和除钢材、木材及水泥之外的建筑材料的价差及施工中一般设计变更和材料代用等发生的费用；</w:t>
            </w:r>
          </w:p>
          <w:p>
            <w:pPr>
              <w:pStyle w:val="145"/>
              <w:spacing w:line="360" w:lineRule="auto"/>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rPr>
              <w:t>（3）为确保工程正常施工，根据施工组织设计采取的施工方案发生的费用；</w:t>
            </w:r>
          </w:p>
          <w:p>
            <w:pPr>
              <w:pStyle w:val="145"/>
              <w:spacing w:line="360" w:lineRule="auto"/>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rPr>
              <w:t>（4）消除设备一般性缺陷的费用；</w:t>
            </w:r>
          </w:p>
          <w:p>
            <w:pPr>
              <w:pStyle w:val="145"/>
              <w:spacing w:line="360" w:lineRule="auto"/>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rPr>
              <w:t>（5）现场配合设备厂商及其他施工单位所发生的费用；</w:t>
            </w:r>
          </w:p>
          <w:p>
            <w:pPr>
              <w:pStyle w:val="145"/>
              <w:spacing w:line="360" w:lineRule="auto"/>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rPr>
              <w:t>（6）临时设施费；</w:t>
            </w:r>
          </w:p>
          <w:p>
            <w:pPr>
              <w:pStyle w:val="145"/>
              <w:spacing w:line="360" w:lineRule="auto"/>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rPr>
              <w:t>（7）施工机构转移费；</w:t>
            </w:r>
          </w:p>
          <w:p>
            <w:pPr>
              <w:pStyle w:val="145"/>
              <w:spacing w:line="360" w:lineRule="auto"/>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rPr>
              <w:t>（8）大型施工机具拆装及轨道铺设费；</w:t>
            </w:r>
          </w:p>
          <w:p>
            <w:pPr>
              <w:pStyle w:val="145"/>
              <w:spacing w:line="360" w:lineRule="auto"/>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rPr>
              <w:t>（9）按规程、规范的要求，工程质量试验、检验的费用；</w:t>
            </w:r>
          </w:p>
          <w:p>
            <w:pPr>
              <w:pStyle w:val="145"/>
              <w:spacing w:line="360" w:lineRule="auto"/>
              <w:rPr>
                <w:rFonts w:hint="eastAsia" w:ascii="宋体" w:hAnsi="宋体" w:eastAsia="宋体" w:cs="宋体"/>
                <w:i w:val="0"/>
                <w:caps w:val="0"/>
                <w:color w:val="auto"/>
                <w:spacing w:val="0"/>
                <w:sz w:val="21"/>
                <w:szCs w:val="21"/>
                <w:highlight w:val="none"/>
              </w:rPr>
            </w:pPr>
            <w:r>
              <w:rPr>
                <w:rFonts w:hint="eastAsia" w:ascii="宋体" w:hAnsi="宋体" w:eastAsia="宋体" w:cs="宋体"/>
                <w:i w:val="0"/>
                <w:caps w:val="0"/>
                <w:color w:val="auto"/>
                <w:spacing w:val="0"/>
                <w:sz w:val="21"/>
                <w:szCs w:val="21"/>
                <w:highlight w:val="none"/>
              </w:rPr>
              <w:t>（10）响应人应充分考虑办理压力管道使用证所有可能发生的一切费用；</w:t>
            </w:r>
          </w:p>
          <w:p>
            <w:pPr>
              <w:pStyle w:val="145"/>
              <w:spacing w:line="360" w:lineRule="auto"/>
              <w:rPr>
                <w:rFonts w:hint="eastAsia" w:ascii="仿宋_GB2312" w:hAnsi="微软雅黑" w:eastAsia="仿宋_GB2312" w:cs="仿宋_GB2312"/>
                <w:i w:val="0"/>
                <w:caps w:val="0"/>
                <w:color w:val="auto"/>
                <w:spacing w:val="0"/>
                <w:sz w:val="24"/>
                <w:szCs w:val="24"/>
                <w:highlight w:val="none"/>
              </w:rPr>
            </w:pPr>
            <w:r>
              <w:rPr>
                <w:rFonts w:hint="eastAsia" w:ascii="宋体" w:hAnsi="宋体" w:eastAsia="宋体" w:cs="宋体"/>
                <w:i w:val="0"/>
                <w:caps w:val="0"/>
                <w:color w:val="auto"/>
                <w:spacing w:val="0"/>
                <w:sz w:val="21"/>
                <w:szCs w:val="21"/>
                <w:highlight w:val="none"/>
              </w:rPr>
              <w:t>（1</w:t>
            </w:r>
            <w:r>
              <w:rPr>
                <w:rFonts w:hint="eastAsia" w:ascii="宋体" w:hAnsi="宋体" w:cs="宋体"/>
                <w:i w:val="0"/>
                <w:caps w:val="0"/>
                <w:color w:val="auto"/>
                <w:spacing w:val="0"/>
                <w:sz w:val="21"/>
                <w:szCs w:val="21"/>
                <w:highlight w:val="none"/>
                <w:lang w:val="en-US" w:eastAsia="zh-CN"/>
              </w:rPr>
              <w:t>3</w:t>
            </w:r>
            <w:r>
              <w:rPr>
                <w:rFonts w:hint="eastAsia" w:ascii="宋体" w:hAnsi="宋体" w:eastAsia="宋体" w:cs="宋体"/>
                <w:i w:val="0"/>
                <w:caps w:val="0"/>
                <w:color w:val="auto"/>
                <w:spacing w:val="0"/>
                <w:sz w:val="21"/>
                <w:szCs w:val="21"/>
                <w:highlight w:val="none"/>
              </w:rPr>
              <w:t>）报价中还应考虑的费用：由于工期要求需调整工程计划而增加的各种费用，施工中的临时防暑降温；由于土建、安装交叉作业发生的各种措施费用；</w:t>
            </w:r>
            <w:r>
              <w:rPr>
                <w:rFonts w:hint="eastAsia" w:ascii="宋体" w:hAnsi="宋体" w:cs="宋体"/>
                <w:i w:val="0"/>
                <w:caps w:val="0"/>
                <w:color w:val="auto"/>
                <w:spacing w:val="0"/>
                <w:sz w:val="21"/>
                <w:szCs w:val="21"/>
                <w:highlight w:val="none"/>
                <w:lang w:eastAsia="zh-CN"/>
              </w:rPr>
              <w:t>采购人</w:t>
            </w:r>
            <w:r>
              <w:rPr>
                <w:rFonts w:hint="eastAsia" w:ascii="宋体" w:hAnsi="宋体" w:eastAsia="宋体" w:cs="宋体"/>
                <w:i w:val="0"/>
                <w:caps w:val="0"/>
                <w:color w:val="auto"/>
                <w:spacing w:val="0"/>
                <w:sz w:val="21"/>
                <w:szCs w:val="21"/>
                <w:highlight w:val="none"/>
              </w:rPr>
              <w:t>以散件形式提供的设备材料的现场组合、安装、试验、单体试运；为满足采购人规定的文明施工要求所发生的费用，其他不可预见费等。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049" w:type="dxa"/>
            <w:noWrap w:val="0"/>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付款方式</w:t>
            </w:r>
          </w:p>
        </w:tc>
        <w:tc>
          <w:tcPr>
            <w:tcW w:w="6397" w:type="dxa"/>
            <w:noWrap w:val="0"/>
            <w:vAlign w:val="center"/>
          </w:tcPr>
          <w:p>
            <w:pPr>
              <w:pStyle w:val="10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（1）完工款：每一阶段复垦工程完成并经采购人确认之后，支付至对应阶段总价的20%，</w:t>
            </w:r>
          </w:p>
          <w:p>
            <w:pPr>
              <w:pStyle w:val="10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（2）验收款：每一阶段复垦工程采购人、当地村委、自然资源、环保、农林等部门验收合格后，支付至对应阶段项目总价的80%，且中标人需确保本项目的养护期为验收完成后满</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个月。</w:t>
            </w:r>
          </w:p>
          <w:p>
            <w:pPr>
              <w:pStyle w:val="10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结算款：</w:t>
            </w:r>
            <w:r>
              <w:rPr>
                <w:rFonts w:hint="eastAsia" w:ascii="宋体" w:hAnsi="宋体" w:eastAsia="宋体" w:cs="宋体"/>
                <w:color w:val="auto"/>
                <w:sz w:val="21"/>
                <w:szCs w:val="21"/>
                <w:highlight w:val="none"/>
              </w:rPr>
              <w:t>本项目经财审审核完成或养护期满后（以后到时间为准），支付剩余结算款。若最终财审审定金额高于结算总价上浮10%，则以结算总价金额作为最终结算金额；若最终财审审定金额低于结算总价上浮10%的，则按照财审审定金额下浮10%作为最终结算金额。</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049" w:type="dxa"/>
            <w:noWrap w:val="0"/>
            <w:vAlign w:val="center"/>
          </w:tcPr>
          <w:p>
            <w:pPr>
              <w:spacing w:line="360" w:lineRule="auto"/>
              <w:jc w:val="center"/>
              <w:rPr>
                <w:rFonts w:hint="eastAsia" w:ascii="宋体" w:hAnsi="宋体" w:eastAsia="宋体" w:cs="宋体"/>
                <w:color w:val="auto"/>
                <w:kern w:val="2"/>
                <w:sz w:val="21"/>
                <w:szCs w:val="21"/>
                <w:highlight w:val="none"/>
              </w:rPr>
            </w:pPr>
            <w:r>
              <w:rPr>
                <w:rFonts w:hint="eastAsia" w:hAnsi="宋体" w:cs="宋体"/>
                <w:color w:val="auto"/>
                <w:kern w:val="2"/>
                <w:sz w:val="21"/>
                <w:szCs w:val="21"/>
                <w:highlight w:val="none"/>
                <w:lang w:val="en-US" w:eastAsia="zh-CN"/>
              </w:rPr>
              <w:t>养护期</w:t>
            </w:r>
          </w:p>
        </w:tc>
        <w:tc>
          <w:tcPr>
            <w:tcW w:w="6397" w:type="dxa"/>
            <w:noWrap w:val="0"/>
            <w:vAlign w:val="center"/>
          </w:tcPr>
          <w:p>
            <w:pPr>
              <w:pStyle w:val="101"/>
              <w:spacing w:line="360" w:lineRule="auto"/>
              <w:ind w:firstLine="0" w:firstLineChars="0"/>
              <w:rPr>
                <w:rFonts w:hint="eastAsia" w:ascii="宋体" w:hAnsi="宋体" w:eastAsia="宋体" w:cs="宋体"/>
                <w:color w:val="auto"/>
                <w:sz w:val="21"/>
                <w:szCs w:val="21"/>
                <w:highlight w:val="none"/>
              </w:rPr>
            </w:pPr>
            <w:r>
              <w:rPr>
                <w:rFonts w:hint="eastAsia"/>
                <w:b w:val="0"/>
                <w:bCs w:val="0"/>
                <w:color w:val="auto"/>
                <w:sz w:val="21"/>
                <w:szCs w:val="21"/>
                <w:highlight w:val="none"/>
                <w:lang w:val="en-US"/>
              </w:rPr>
              <w:t>自复垦验收合格通过后，管理养护期</w:t>
            </w:r>
            <w:r>
              <w:rPr>
                <w:rFonts w:hint="eastAsia"/>
                <w:b w:val="0"/>
                <w:bCs w:val="0"/>
                <w:color w:val="auto"/>
                <w:sz w:val="21"/>
                <w:szCs w:val="21"/>
                <w:highlight w:val="none"/>
                <w:lang w:val="en-US" w:eastAsia="zh-CN"/>
              </w:rPr>
              <w:t>6</w:t>
            </w:r>
            <w:r>
              <w:rPr>
                <w:rFonts w:hint="eastAsia"/>
                <w:b w:val="0"/>
                <w:bCs w:val="0"/>
                <w:color w:val="auto"/>
                <w:sz w:val="21"/>
                <w:szCs w:val="21"/>
                <w:highlight w:val="none"/>
                <w:lang w:val="en-US"/>
              </w:rPr>
              <w:t>个月。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049" w:type="dxa"/>
            <w:noWrap w:val="0"/>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服务地点</w:t>
            </w:r>
          </w:p>
        </w:tc>
        <w:tc>
          <w:tcPr>
            <w:tcW w:w="6397" w:type="dxa"/>
            <w:noWrap w:val="0"/>
            <w:vAlign w:val="center"/>
          </w:tcPr>
          <w:p>
            <w:pPr>
              <w:pStyle w:val="101"/>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采购人指定地点。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6</w:t>
            </w:r>
          </w:p>
        </w:tc>
        <w:tc>
          <w:tcPr>
            <w:tcW w:w="2049" w:type="dxa"/>
            <w:noWrap w:val="0"/>
            <w:vAlign w:val="center"/>
          </w:tcPr>
          <w:p>
            <w:pPr>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合同条款</w:t>
            </w:r>
          </w:p>
        </w:tc>
        <w:tc>
          <w:tcPr>
            <w:tcW w:w="6397" w:type="dxa"/>
            <w:noWrap w:val="0"/>
            <w:vAlign w:val="center"/>
          </w:tcPr>
          <w:p>
            <w:pPr>
              <w:pStyle w:val="101"/>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实质响应合同各条款。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7</w:t>
            </w:r>
          </w:p>
        </w:tc>
        <w:tc>
          <w:tcPr>
            <w:tcW w:w="2049" w:type="dxa"/>
            <w:noWrap w:val="0"/>
            <w:vAlign w:val="center"/>
          </w:tcPr>
          <w:p>
            <w:pPr>
              <w:spacing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其他服务要求</w:t>
            </w:r>
          </w:p>
        </w:tc>
        <w:tc>
          <w:tcPr>
            <w:tcW w:w="6397" w:type="dxa"/>
            <w:noWrap w:val="0"/>
            <w:vAlign w:val="center"/>
          </w:tcPr>
          <w:p>
            <w:pPr>
              <w:pStyle w:val="145"/>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详见技术需求书。</w:t>
            </w:r>
          </w:p>
        </w:tc>
      </w:tr>
    </w:tbl>
    <w:p>
      <w:pPr>
        <w:pStyle w:val="14"/>
        <w:rPr>
          <w:rFonts w:hint="eastAsia"/>
          <w:color w:val="auto"/>
          <w:highlight w:val="none"/>
        </w:rPr>
      </w:pPr>
    </w:p>
    <w:p>
      <w:pPr>
        <w:pStyle w:val="5"/>
        <w:numPr>
          <w:ilvl w:val="0"/>
          <w:numId w:val="14"/>
        </w:numPr>
        <w:jc w:val="center"/>
        <w:outlineLvl w:val="1"/>
        <w:rPr>
          <w:rFonts w:hint="eastAsia"/>
          <w:b/>
          <w:color w:val="auto"/>
          <w:sz w:val="28"/>
          <w:szCs w:val="28"/>
          <w:highlight w:val="none"/>
        </w:rPr>
      </w:pPr>
      <w:bookmarkStart w:id="180" w:name="_Toc25267"/>
      <w:r>
        <w:rPr>
          <w:rFonts w:hint="eastAsia"/>
          <w:b/>
          <w:color w:val="auto"/>
          <w:sz w:val="28"/>
          <w:szCs w:val="28"/>
          <w:highlight w:val="none"/>
        </w:rPr>
        <w:t>技术需求书</w:t>
      </w:r>
      <w:bookmarkEnd w:id="180"/>
    </w:p>
    <w:p>
      <w:pPr>
        <w:pStyle w:val="5"/>
        <w:spacing w:line="360" w:lineRule="auto"/>
        <w:rPr>
          <w:rFonts w:cs="宋体"/>
          <w:color w:val="auto"/>
          <w:sz w:val="21"/>
          <w:szCs w:val="21"/>
          <w:highlight w:val="none"/>
        </w:rPr>
      </w:pPr>
      <w:bookmarkStart w:id="181" w:name="_Toc20726398"/>
      <w:r>
        <w:rPr>
          <w:rFonts w:hint="eastAsia" w:cs="宋体"/>
          <w:color w:val="auto"/>
          <w:sz w:val="21"/>
          <w:szCs w:val="21"/>
          <w:highlight w:val="none"/>
        </w:rPr>
        <w:t>1</w:t>
      </w:r>
      <w:r>
        <w:rPr>
          <w:rFonts w:hint="eastAsia" w:cs="宋体"/>
          <w:color w:val="auto"/>
          <w:sz w:val="21"/>
          <w:szCs w:val="21"/>
          <w:highlight w:val="none"/>
          <w:lang w:val="en-US" w:eastAsia="zh-CN"/>
        </w:rPr>
        <w:t xml:space="preserve"> </w:t>
      </w:r>
      <w:r>
        <w:rPr>
          <w:rFonts w:hint="eastAsia" w:cs="宋体"/>
          <w:color w:val="auto"/>
          <w:sz w:val="21"/>
          <w:szCs w:val="21"/>
          <w:highlight w:val="none"/>
        </w:rPr>
        <w:t>项目概况和现场条件</w:t>
      </w:r>
      <w:bookmarkEnd w:id="181"/>
    </w:p>
    <w:p>
      <w:pPr>
        <w:pStyle w:val="6"/>
        <w:spacing w:line="360" w:lineRule="auto"/>
        <w:rPr>
          <w:rFonts w:hAnsi="宋体" w:cs="宋体"/>
          <w:color w:val="auto"/>
          <w:sz w:val="21"/>
          <w:szCs w:val="21"/>
          <w:highlight w:val="none"/>
        </w:rPr>
      </w:pPr>
      <w:bookmarkStart w:id="182" w:name="_Toc20726399"/>
      <w:r>
        <w:rPr>
          <w:rFonts w:hint="eastAsia" w:hAnsi="宋体" w:cs="宋体"/>
          <w:color w:val="auto"/>
          <w:sz w:val="21"/>
          <w:szCs w:val="21"/>
          <w:highlight w:val="none"/>
        </w:rPr>
        <w:t>1.1</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项目概况</w:t>
      </w:r>
      <w:bookmarkEnd w:id="182"/>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eastAsia="zh-CN"/>
        </w:rPr>
        <w:t>）</w:t>
      </w:r>
      <w:r>
        <w:rPr>
          <w:rFonts w:hint="eastAsia" w:hAnsi="宋体" w:cs="宋体"/>
          <w:color w:val="auto"/>
          <w:sz w:val="21"/>
          <w:szCs w:val="21"/>
          <w:highlight w:val="none"/>
        </w:rPr>
        <w:t>项目名称</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莞番高速（寮步段）垃圾填埋场治理项目土地复垦工程</w:t>
      </w:r>
      <w:r>
        <w:rPr>
          <w:rFonts w:hint="eastAsia" w:hAnsi="宋体" w:cs="宋体"/>
          <w:color w:val="auto"/>
          <w:sz w:val="21"/>
          <w:szCs w:val="21"/>
          <w:highlight w:val="none"/>
        </w:rPr>
        <w:t>。</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w:t>
      </w:r>
      <w:r>
        <w:rPr>
          <w:rFonts w:hint="eastAsia" w:hAnsi="宋体" w:cs="宋体"/>
          <w:color w:val="auto"/>
          <w:sz w:val="21"/>
          <w:szCs w:val="21"/>
          <w:highlight w:val="none"/>
        </w:rPr>
        <w:t>项目地址</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广东省东莞市</w:t>
      </w:r>
      <w:r>
        <w:rPr>
          <w:rFonts w:hint="eastAsia" w:hAnsi="宋体" w:cs="宋体"/>
          <w:color w:val="auto"/>
          <w:sz w:val="21"/>
          <w:szCs w:val="21"/>
          <w:highlight w:val="none"/>
        </w:rPr>
        <w:t>寮步镇上底雷家村珠三角环线高速西侧</w:t>
      </w:r>
      <w:r>
        <w:rPr>
          <w:rFonts w:hint="eastAsia" w:hAnsi="宋体" w:cs="宋体"/>
          <w:color w:val="auto"/>
          <w:sz w:val="21"/>
          <w:szCs w:val="21"/>
          <w:highlight w:val="none"/>
          <w:lang w:val="en-US" w:eastAsia="zh-CN"/>
        </w:rPr>
        <w:t>和东侧</w:t>
      </w:r>
      <w:r>
        <w:rPr>
          <w:rFonts w:hint="eastAsia" w:hAnsi="宋体" w:cs="宋体"/>
          <w:color w:val="auto"/>
          <w:sz w:val="21"/>
          <w:szCs w:val="21"/>
          <w:highlight w:val="none"/>
        </w:rPr>
        <w:t>。</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3</w:t>
      </w:r>
      <w:r>
        <w:rPr>
          <w:rFonts w:hint="eastAsia" w:hAnsi="宋体" w:cs="宋体"/>
          <w:color w:val="auto"/>
          <w:sz w:val="21"/>
          <w:szCs w:val="21"/>
          <w:highlight w:val="none"/>
          <w:lang w:eastAsia="zh-CN"/>
        </w:rPr>
        <w:t>）</w:t>
      </w:r>
      <w:r>
        <w:rPr>
          <w:rFonts w:hint="eastAsia" w:hAnsi="宋体" w:cs="宋体"/>
          <w:color w:val="auto"/>
          <w:sz w:val="21"/>
          <w:szCs w:val="21"/>
          <w:highlight w:val="none"/>
        </w:rPr>
        <w:t>项目规模</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大岭山镇大塘朗村周转场地复垦面积为28861平方米，该地块土地类别为农用地28737平方米（园地28724平方米，其他农用地13平方米），建设用地124平方米。</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寮步镇上底村地块二周转场地复垦面积为6077.38平方米，该地块土地类别为农用地6061.12平方米（其中带</w:t>
      </w:r>
      <w:r>
        <w:rPr>
          <w:rFonts w:hint="eastAsia" w:hAnsi="宋体" w:cs="宋体"/>
          <w:color w:val="auto"/>
          <w:sz w:val="21"/>
          <w:szCs w:val="21"/>
          <w:highlight w:val="none"/>
          <w:lang w:val="en-US" w:eastAsia="zh-CN"/>
        </w:rPr>
        <w:t>K</w:t>
      </w:r>
      <w:r>
        <w:rPr>
          <w:rFonts w:hint="eastAsia" w:hAnsi="宋体" w:cs="宋体"/>
          <w:color w:val="auto"/>
          <w:sz w:val="21"/>
          <w:szCs w:val="21"/>
          <w:highlight w:val="none"/>
        </w:rPr>
        <w:t>坑塘水面4220.33平方米、带</w:t>
      </w:r>
      <w:r>
        <w:rPr>
          <w:rFonts w:hint="eastAsia" w:hAnsi="宋体" w:cs="宋体"/>
          <w:color w:val="auto"/>
          <w:sz w:val="21"/>
          <w:szCs w:val="21"/>
          <w:highlight w:val="none"/>
          <w:lang w:val="en-US" w:eastAsia="zh-CN"/>
        </w:rPr>
        <w:t>K</w:t>
      </w:r>
      <w:r>
        <w:rPr>
          <w:rFonts w:hint="eastAsia" w:hAnsi="宋体" w:cs="宋体"/>
          <w:color w:val="auto"/>
          <w:sz w:val="21"/>
          <w:szCs w:val="21"/>
          <w:highlight w:val="none"/>
        </w:rPr>
        <w:t>果园1857.05平方米）。</w:t>
      </w:r>
    </w:p>
    <w:p>
      <w:pPr>
        <w:snapToGrid w:val="0"/>
        <w:spacing w:line="360" w:lineRule="auto"/>
        <w:ind w:firstLine="420" w:firstLineChars="200"/>
        <w:rPr>
          <w:rFonts w:hAnsi="宋体" w:cs="宋体"/>
          <w:color w:val="auto"/>
          <w:sz w:val="21"/>
          <w:szCs w:val="21"/>
          <w:highlight w:val="none"/>
          <w:u w:val="none"/>
        </w:rPr>
      </w:pPr>
      <w:r>
        <w:rPr>
          <w:rFonts w:hint="eastAsia" w:hAnsi="宋体" w:cs="宋体"/>
          <w:color w:val="auto"/>
          <w:sz w:val="21"/>
          <w:szCs w:val="21"/>
          <w:highlight w:val="none"/>
        </w:rPr>
        <w:t>寮步镇上底村地块</w:t>
      </w:r>
      <w:r>
        <w:rPr>
          <w:rFonts w:hint="eastAsia" w:hAnsi="宋体" w:cs="宋体"/>
          <w:color w:val="auto"/>
          <w:sz w:val="21"/>
          <w:szCs w:val="21"/>
          <w:highlight w:val="none"/>
          <w:lang w:val="en-US" w:eastAsia="zh-CN"/>
        </w:rPr>
        <w:t>一</w:t>
      </w:r>
      <w:r>
        <w:rPr>
          <w:rFonts w:hint="eastAsia" w:hAnsi="宋体" w:cs="宋体"/>
          <w:color w:val="auto"/>
          <w:sz w:val="21"/>
          <w:szCs w:val="21"/>
          <w:highlight w:val="none"/>
        </w:rPr>
        <w:t>周转场地复垦面积为</w:t>
      </w:r>
      <w:r>
        <w:rPr>
          <w:rFonts w:hint="eastAsia" w:hAnsi="宋体" w:cs="宋体"/>
          <w:color w:val="auto"/>
          <w:sz w:val="21"/>
          <w:szCs w:val="21"/>
          <w:highlight w:val="none"/>
          <w:lang w:val="en-US" w:eastAsia="zh-CN"/>
        </w:rPr>
        <w:t>9129.76,</w:t>
      </w:r>
      <w:r>
        <w:rPr>
          <w:rFonts w:hint="eastAsia" w:hAnsi="宋体" w:cs="宋体"/>
          <w:color w:val="auto"/>
          <w:sz w:val="21"/>
          <w:szCs w:val="21"/>
          <w:highlight w:val="none"/>
        </w:rPr>
        <w:t>平方米</w:t>
      </w:r>
      <w:r>
        <w:rPr>
          <w:rFonts w:hint="eastAsia" w:hAnsi="宋体" w:cs="宋体"/>
          <w:color w:val="auto"/>
          <w:sz w:val="21"/>
          <w:szCs w:val="21"/>
          <w:highlight w:val="none"/>
          <w:lang w:eastAsia="zh-CN"/>
        </w:rPr>
        <w:t>，</w:t>
      </w:r>
      <w:r>
        <w:rPr>
          <w:rFonts w:hint="eastAsia" w:hAnsi="宋体" w:cs="宋体"/>
          <w:color w:val="auto"/>
          <w:sz w:val="21"/>
          <w:szCs w:val="21"/>
          <w:highlight w:val="none"/>
          <w:u w:val="none"/>
        </w:rPr>
        <w:t>该地块土地类别为农用地</w:t>
      </w:r>
      <w:r>
        <w:rPr>
          <w:rFonts w:hint="eastAsia" w:hAnsi="宋体" w:cs="宋体"/>
          <w:color w:val="auto"/>
          <w:sz w:val="21"/>
          <w:szCs w:val="21"/>
          <w:highlight w:val="none"/>
          <w:lang w:val="en-US" w:eastAsia="zh-CN"/>
        </w:rPr>
        <w:t>9129.76</w:t>
      </w:r>
      <w:r>
        <w:rPr>
          <w:rFonts w:hint="eastAsia" w:hAnsi="宋体" w:cs="宋体"/>
          <w:color w:val="auto"/>
          <w:sz w:val="21"/>
          <w:szCs w:val="21"/>
          <w:highlight w:val="none"/>
          <w:u w:val="none"/>
        </w:rPr>
        <w:t>平方米（其中</w:t>
      </w:r>
      <w:r>
        <w:rPr>
          <w:rFonts w:hint="eastAsia" w:hAnsi="宋体" w:cs="宋体"/>
          <w:color w:val="auto"/>
          <w:sz w:val="21"/>
          <w:szCs w:val="21"/>
          <w:highlight w:val="none"/>
        </w:rPr>
        <w:t>带</w:t>
      </w:r>
      <w:r>
        <w:rPr>
          <w:rFonts w:hint="eastAsia" w:hAnsi="宋体" w:cs="宋体"/>
          <w:color w:val="auto"/>
          <w:sz w:val="21"/>
          <w:szCs w:val="21"/>
          <w:highlight w:val="none"/>
          <w:lang w:val="en-US" w:eastAsia="zh-CN"/>
        </w:rPr>
        <w:t>K</w:t>
      </w:r>
      <w:r>
        <w:rPr>
          <w:rFonts w:hint="eastAsia" w:hAnsi="宋体" w:cs="宋体"/>
          <w:color w:val="auto"/>
          <w:sz w:val="21"/>
          <w:szCs w:val="21"/>
          <w:highlight w:val="none"/>
        </w:rPr>
        <w:t>坑塘水面</w:t>
      </w:r>
      <w:r>
        <w:rPr>
          <w:rFonts w:hint="eastAsia" w:hAnsi="宋体" w:cs="宋体"/>
          <w:color w:val="auto"/>
          <w:sz w:val="21"/>
          <w:szCs w:val="21"/>
          <w:highlight w:val="none"/>
          <w:u w:val="none"/>
          <w:lang w:eastAsia="zh-CN"/>
        </w:rPr>
        <w:t>8</w:t>
      </w:r>
      <w:r>
        <w:rPr>
          <w:rFonts w:hint="eastAsia" w:hAnsi="宋体" w:cs="宋体"/>
          <w:color w:val="auto"/>
          <w:sz w:val="21"/>
          <w:szCs w:val="21"/>
          <w:highlight w:val="none"/>
          <w:u w:val="none"/>
          <w:lang w:val="en-US" w:eastAsia="zh-CN"/>
        </w:rPr>
        <w:t>949.29</w:t>
      </w:r>
      <w:r>
        <w:rPr>
          <w:rFonts w:hint="eastAsia" w:hAnsi="宋体" w:cs="宋体"/>
          <w:color w:val="auto"/>
          <w:sz w:val="21"/>
          <w:szCs w:val="21"/>
          <w:highlight w:val="none"/>
          <w:u w:val="none"/>
        </w:rPr>
        <w:t>平方米、</w:t>
      </w:r>
      <w:r>
        <w:rPr>
          <w:rFonts w:hint="eastAsia" w:hAnsi="宋体" w:cs="宋体"/>
          <w:color w:val="auto"/>
          <w:sz w:val="21"/>
          <w:szCs w:val="21"/>
          <w:highlight w:val="none"/>
        </w:rPr>
        <w:t>带</w:t>
      </w:r>
      <w:r>
        <w:rPr>
          <w:rFonts w:hint="eastAsia" w:hAnsi="宋体" w:cs="宋体"/>
          <w:color w:val="auto"/>
          <w:sz w:val="21"/>
          <w:szCs w:val="21"/>
          <w:highlight w:val="none"/>
          <w:lang w:val="en-US" w:eastAsia="zh-CN"/>
        </w:rPr>
        <w:t>K</w:t>
      </w:r>
      <w:r>
        <w:rPr>
          <w:rFonts w:hint="eastAsia" w:hAnsi="宋体" w:cs="宋体"/>
          <w:color w:val="auto"/>
          <w:sz w:val="21"/>
          <w:szCs w:val="21"/>
          <w:highlight w:val="none"/>
        </w:rPr>
        <w:t>果园</w:t>
      </w:r>
      <w:r>
        <w:rPr>
          <w:rFonts w:hint="eastAsia" w:hAnsi="宋体" w:cs="宋体"/>
          <w:color w:val="auto"/>
          <w:sz w:val="21"/>
          <w:szCs w:val="21"/>
          <w:highlight w:val="none"/>
          <w:u w:val="none"/>
          <w:lang w:eastAsia="zh-CN"/>
        </w:rPr>
        <w:t>1</w:t>
      </w:r>
      <w:r>
        <w:rPr>
          <w:rFonts w:hint="eastAsia" w:hAnsi="宋体" w:cs="宋体"/>
          <w:color w:val="auto"/>
          <w:sz w:val="21"/>
          <w:szCs w:val="21"/>
          <w:highlight w:val="none"/>
          <w:u w:val="none"/>
          <w:lang w:val="en-US" w:eastAsia="zh-CN"/>
        </w:rPr>
        <w:t>80.49</w:t>
      </w:r>
      <w:r>
        <w:rPr>
          <w:rFonts w:hint="eastAsia" w:hAnsi="宋体" w:cs="宋体"/>
          <w:color w:val="auto"/>
          <w:sz w:val="21"/>
          <w:szCs w:val="21"/>
          <w:highlight w:val="none"/>
          <w:u w:val="none"/>
        </w:rPr>
        <w:t>平方米）。</w:t>
      </w:r>
    </w:p>
    <w:p>
      <w:pPr>
        <w:pStyle w:val="6"/>
        <w:spacing w:line="360" w:lineRule="auto"/>
        <w:rPr>
          <w:rFonts w:hAnsi="宋体" w:cs="宋体"/>
          <w:color w:val="auto"/>
          <w:sz w:val="21"/>
          <w:szCs w:val="21"/>
          <w:highlight w:val="none"/>
        </w:rPr>
      </w:pPr>
      <w:bookmarkStart w:id="183" w:name="_Toc20726400"/>
      <w:r>
        <w:rPr>
          <w:rFonts w:hint="eastAsia" w:hAnsi="宋体" w:cs="宋体"/>
          <w:color w:val="auto"/>
          <w:sz w:val="21"/>
          <w:szCs w:val="21"/>
          <w:highlight w:val="none"/>
        </w:rPr>
        <w:t>1.2</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现场</w:t>
      </w:r>
      <w:bookmarkEnd w:id="183"/>
      <w:r>
        <w:rPr>
          <w:rFonts w:hint="eastAsia" w:hAnsi="宋体" w:cs="宋体"/>
          <w:color w:val="auto"/>
          <w:sz w:val="21"/>
          <w:szCs w:val="21"/>
          <w:highlight w:val="none"/>
        </w:rPr>
        <w:t>情况</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大岭山镇大塘朗村地块和寮步镇上底村周转场地块</w:t>
      </w:r>
      <w:r>
        <w:rPr>
          <w:rFonts w:hint="eastAsia" w:hAnsi="宋体" w:cs="宋体"/>
          <w:color w:val="auto"/>
          <w:sz w:val="21"/>
          <w:szCs w:val="21"/>
          <w:highlight w:val="none"/>
          <w:lang w:val="en-US" w:eastAsia="zh-CN"/>
        </w:rPr>
        <w:t>二</w:t>
      </w:r>
      <w:r>
        <w:rPr>
          <w:rFonts w:hint="eastAsia" w:hAnsi="宋体" w:cs="宋体"/>
          <w:color w:val="auto"/>
          <w:sz w:val="21"/>
          <w:szCs w:val="21"/>
          <w:highlight w:val="none"/>
        </w:rPr>
        <w:t>位于刘屋巷垃圾填埋场南侧，寮步镇上底村周转场地块</w:t>
      </w:r>
      <w:r>
        <w:rPr>
          <w:rFonts w:hint="eastAsia" w:hAnsi="宋体" w:cs="宋体"/>
          <w:color w:val="auto"/>
          <w:sz w:val="21"/>
          <w:szCs w:val="21"/>
          <w:highlight w:val="none"/>
          <w:lang w:val="en-US" w:eastAsia="zh-CN"/>
        </w:rPr>
        <w:t>一位于上底垃圾填埋场北侧</w:t>
      </w:r>
      <w:r>
        <w:rPr>
          <w:rFonts w:hint="eastAsia" w:hAnsi="宋体" w:cs="宋体"/>
          <w:color w:val="auto"/>
          <w:sz w:val="21"/>
          <w:szCs w:val="21"/>
          <w:highlight w:val="none"/>
        </w:rPr>
        <w:t>。</w:t>
      </w:r>
    </w:p>
    <w:p>
      <w:pPr>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由于莞番高速（寮步段）目前已经通车，该路段的规划道路穿过刘屋巷和上底垃圾填埋场，因垃圾堆体影响高速建设，2020年2月26日莞番高速（寮步段）垃圾填埋场治理项目开始施工，于2020年9月29日完成高速红线内垃圾清理搬迁，高速红线内开完出来的垃圾一部分进行筛分处理，另外一部分堆放在大岭山周转场，现状图如下：</w:t>
      </w:r>
    </w:p>
    <w:p>
      <w:pPr>
        <w:snapToGrid w:val="0"/>
        <w:spacing w:line="360" w:lineRule="auto"/>
        <w:ind w:firstLine="420" w:firstLineChars="200"/>
        <w:rPr>
          <w:rFonts w:hAnsi="宋体" w:cs="宋体"/>
          <w:color w:val="auto"/>
          <w:sz w:val="21"/>
          <w:szCs w:val="21"/>
          <w:highlight w:val="none"/>
        </w:rPr>
      </w:pPr>
      <w:r>
        <w:rPr>
          <w:rFonts w:hAnsi="宋体" w:cs="宋体"/>
          <w:color w:val="auto"/>
          <w:sz w:val="21"/>
          <w:szCs w:val="21"/>
          <w:highlight w:val="none"/>
        </w:rPr>
        <w:drawing>
          <wp:inline distT="0" distB="0" distL="114300" distR="114300">
            <wp:extent cx="5565775" cy="3710940"/>
            <wp:effectExtent l="0" t="0" r="9525" b="10160"/>
            <wp:docPr id="7" name="图片 7" descr="3db43ad413ccab5a0699536d51078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db43ad413ccab5a0699536d510782c"/>
                    <pic:cNvPicPr>
                      <a:picLocks noChangeAspect="1"/>
                    </pic:cNvPicPr>
                  </pic:nvPicPr>
                  <pic:blipFill>
                    <a:blip r:embed="rId19"/>
                    <a:stretch>
                      <a:fillRect/>
                    </a:stretch>
                  </pic:blipFill>
                  <pic:spPr>
                    <a:xfrm>
                      <a:off x="0" y="0"/>
                      <a:ext cx="5565775" cy="3710940"/>
                    </a:xfrm>
                    <a:prstGeom prst="rect">
                      <a:avLst/>
                    </a:prstGeom>
                  </pic:spPr>
                </pic:pic>
              </a:graphicData>
            </a:graphic>
          </wp:inline>
        </w:drawing>
      </w:r>
    </w:p>
    <w:p>
      <w:pPr>
        <w:pStyle w:val="6"/>
        <w:spacing w:line="360" w:lineRule="auto"/>
        <w:rPr>
          <w:rFonts w:hAnsi="宋体" w:cs="宋体"/>
          <w:color w:val="auto"/>
          <w:sz w:val="21"/>
          <w:szCs w:val="21"/>
          <w:highlight w:val="none"/>
        </w:rPr>
      </w:pPr>
      <w:bookmarkStart w:id="184" w:name="_Toc20726401"/>
      <w:bookmarkStart w:id="185" w:name="_Toc441234907"/>
      <w:r>
        <w:rPr>
          <w:rFonts w:hint="eastAsia" w:hAnsi="宋体" w:cs="宋体"/>
          <w:color w:val="auto"/>
          <w:sz w:val="21"/>
          <w:szCs w:val="21"/>
          <w:highlight w:val="none"/>
        </w:rPr>
        <w:t>1.3现场条件</w:t>
      </w:r>
      <w:bookmarkEnd w:id="184"/>
      <w:bookmarkEnd w:id="185"/>
    </w:p>
    <w:p>
      <w:pPr>
        <w:spacing w:line="360" w:lineRule="auto"/>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eastAsia="zh-CN"/>
        </w:rPr>
        <w:t>）</w:t>
      </w:r>
      <w:r>
        <w:rPr>
          <w:rFonts w:hint="eastAsia" w:hAnsi="宋体" w:cs="宋体"/>
          <w:color w:val="auto"/>
          <w:sz w:val="21"/>
          <w:szCs w:val="21"/>
          <w:highlight w:val="none"/>
        </w:rPr>
        <w:t>场地条件</w:t>
      </w:r>
    </w:p>
    <w:p>
      <w:pPr>
        <w:spacing w:line="360" w:lineRule="auto"/>
        <w:ind w:firstLine="540"/>
        <w:rPr>
          <w:rFonts w:hAnsi="宋体" w:cs="宋体"/>
          <w:color w:val="auto"/>
          <w:sz w:val="21"/>
          <w:szCs w:val="21"/>
          <w:highlight w:val="none"/>
        </w:rPr>
      </w:pPr>
      <w:r>
        <w:rPr>
          <w:rFonts w:hint="eastAsia" w:hAnsi="宋体" w:cs="宋体"/>
          <w:color w:val="auto"/>
          <w:sz w:val="21"/>
          <w:szCs w:val="21"/>
          <w:highlight w:val="none"/>
          <w:lang w:eastAsia="zh-CN"/>
        </w:rPr>
        <w:t>采购人</w:t>
      </w:r>
      <w:r>
        <w:rPr>
          <w:rFonts w:hint="eastAsia" w:hAnsi="宋体" w:cs="宋体"/>
          <w:color w:val="auto"/>
          <w:sz w:val="21"/>
          <w:szCs w:val="21"/>
          <w:highlight w:val="none"/>
        </w:rPr>
        <w:t>提供实施项目所需的场地，</w:t>
      </w:r>
      <w:r>
        <w:rPr>
          <w:rFonts w:hint="eastAsia" w:hAnsi="宋体" w:cs="宋体"/>
          <w:color w:val="auto"/>
          <w:sz w:val="21"/>
          <w:szCs w:val="21"/>
          <w:highlight w:val="none"/>
          <w:lang w:val="en-US" w:eastAsia="zh-CN"/>
        </w:rPr>
        <w:t>负责</w:t>
      </w:r>
      <w:r>
        <w:rPr>
          <w:rFonts w:hint="eastAsia" w:hAnsi="宋体" w:cs="宋体"/>
          <w:color w:val="auto"/>
          <w:sz w:val="21"/>
          <w:szCs w:val="21"/>
          <w:highlight w:val="none"/>
        </w:rPr>
        <w:t>复垦地块垃圾清理、建筑物拆除，中标人负责场地的平整，</w:t>
      </w:r>
      <w:r>
        <w:rPr>
          <w:rFonts w:hint="eastAsia" w:hAnsi="宋体" w:cs="宋体"/>
          <w:color w:val="auto"/>
          <w:sz w:val="21"/>
          <w:szCs w:val="21"/>
          <w:highlight w:val="none"/>
          <w:lang w:val="en-US" w:eastAsia="zh-CN"/>
        </w:rPr>
        <w:t>及</w:t>
      </w:r>
      <w:r>
        <w:rPr>
          <w:rFonts w:hint="eastAsia" w:hAnsi="宋体" w:cs="宋体"/>
          <w:color w:val="auto"/>
          <w:sz w:val="21"/>
          <w:szCs w:val="21"/>
          <w:highlight w:val="none"/>
        </w:rPr>
        <w:t>剩余防渗层清理</w:t>
      </w:r>
      <w:r>
        <w:rPr>
          <w:rFonts w:hint="eastAsia" w:hAnsi="宋体" w:cs="宋体"/>
          <w:color w:val="auto"/>
          <w:sz w:val="21"/>
          <w:szCs w:val="21"/>
          <w:highlight w:val="none"/>
          <w:lang w:eastAsia="zh-CN"/>
        </w:rPr>
        <w:t>、</w:t>
      </w:r>
      <w:r>
        <w:rPr>
          <w:rFonts w:hint="eastAsia" w:hAnsi="宋体" w:cs="宋体"/>
          <w:color w:val="auto"/>
          <w:sz w:val="21"/>
          <w:szCs w:val="21"/>
          <w:highlight w:val="none"/>
        </w:rPr>
        <w:t>运输</w:t>
      </w:r>
      <w:r>
        <w:rPr>
          <w:rFonts w:hint="eastAsia" w:hAnsi="宋体" w:cs="宋体"/>
          <w:color w:val="auto"/>
          <w:sz w:val="21"/>
          <w:szCs w:val="21"/>
          <w:highlight w:val="none"/>
          <w:lang w:eastAsia="zh-CN"/>
        </w:rPr>
        <w:t>、</w:t>
      </w:r>
      <w:r>
        <w:rPr>
          <w:rFonts w:hint="eastAsia" w:hAnsi="宋体" w:cs="宋体"/>
          <w:color w:val="auto"/>
          <w:sz w:val="21"/>
          <w:szCs w:val="21"/>
          <w:highlight w:val="none"/>
        </w:rPr>
        <w:t>处理，施工期间生产及生活设施由中标人自行考虑。</w:t>
      </w:r>
    </w:p>
    <w:p>
      <w:pPr>
        <w:snapToGrid w:val="0"/>
        <w:spacing w:line="360" w:lineRule="auto"/>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w:t>
      </w:r>
      <w:r>
        <w:rPr>
          <w:rFonts w:hint="eastAsia" w:hAnsi="宋体" w:cs="宋体"/>
          <w:color w:val="auto"/>
          <w:sz w:val="21"/>
          <w:szCs w:val="21"/>
          <w:highlight w:val="none"/>
        </w:rPr>
        <w:t>运输</w:t>
      </w:r>
    </w:p>
    <w:p>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工程范围内所有运输道路由中标人负责维护，如有损坏涉及到的所有费用由中标人负责，</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只负责协调管理。</w:t>
      </w:r>
    </w:p>
    <w:p>
      <w:pPr>
        <w:snapToGrid w:val="0"/>
        <w:spacing w:line="360" w:lineRule="auto"/>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3</w:t>
      </w:r>
      <w:r>
        <w:rPr>
          <w:rFonts w:hint="eastAsia" w:hAnsi="宋体" w:cs="宋体"/>
          <w:color w:val="auto"/>
          <w:sz w:val="21"/>
          <w:szCs w:val="21"/>
          <w:highlight w:val="none"/>
          <w:lang w:eastAsia="zh-CN"/>
        </w:rPr>
        <w:t>）</w:t>
      </w:r>
      <w:r>
        <w:rPr>
          <w:rFonts w:hint="eastAsia" w:hAnsi="宋体" w:cs="宋体"/>
          <w:color w:val="auto"/>
          <w:sz w:val="21"/>
          <w:szCs w:val="21"/>
          <w:highlight w:val="none"/>
        </w:rPr>
        <w:t>水电</w:t>
      </w:r>
    </w:p>
    <w:p>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本项目用水及临时施工用电由中标人自行办理，中标人应自行联系供电部门办理施工临时用电供电源的有关手续（包括办理临电接管及交纳临时接电费）</w:t>
      </w:r>
      <w:r>
        <w:rPr>
          <w:rFonts w:hint="eastAsia" w:hAnsi="宋体" w:cs="宋体"/>
          <w:color w:val="auto"/>
          <w:sz w:val="21"/>
          <w:szCs w:val="21"/>
          <w:highlight w:val="none"/>
          <w:lang w:val="en-US" w:eastAsia="zh-CN"/>
        </w:rPr>
        <w:t>并</w:t>
      </w:r>
      <w:r>
        <w:rPr>
          <w:rFonts w:hint="eastAsia" w:hAnsi="宋体" w:cs="宋体"/>
          <w:color w:val="auto"/>
          <w:sz w:val="21"/>
          <w:szCs w:val="21"/>
          <w:highlight w:val="none"/>
        </w:rPr>
        <w:t>自行联系供水部门办理临时用水供给的有关手续</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需</w:t>
      </w:r>
      <w:r>
        <w:rPr>
          <w:rFonts w:hint="eastAsia" w:hAnsi="宋体" w:cs="宋体"/>
          <w:color w:val="auto"/>
          <w:sz w:val="21"/>
          <w:szCs w:val="21"/>
          <w:highlight w:val="none"/>
        </w:rPr>
        <w:t>设分流表</w:t>
      </w:r>
      <w:r>
        <w:rPr>
          <w:rFonts w:hint="eastAsia" w:hAnsi="宋体" w:cs="宋体"/>
          <w:color w:val="auto"/>
          <w:sz w:val="21"/>
          <w:szCs w:val="21"/>
          <w:highlight w:val="none"/>
          <w:lang w:eastAsia="zh-CN"/>
        </w:rPr>
        <w:t>）</w:t>
      </w:r>
      <w:r>
        <w:rPr>
          <w:rFonts w:hint="eastAsia" w:hAnsi="宋体" w:cs="宋体"/>
          <w:color w:val="auto"/>
          <w:sz w:val="21"/>
          <w:szCs w:val="21"/>
          <w:highlight w:val="none"/>
        </w:rPr>
        <w:t>，用水、</w:t>
      </w:r>
      <w:r>
        <w:rPr>
          <w:rFonts w:hint="eastAsia" w:hAnsi="宋体" w:cs="宋体"/>
          <w:color w:val="auto"/>
          <w:sz w:val="21"/>
          <w:szCs w:val="21"/>
          <w:highlight w:val="none"/>
          <w:lang w:val="en-US" w:eastAsia="zh-CN"/>
        </w:rPr>
        <w:t>用</w:t>
      </w:r>
      <w:r>
        <w:rPr>
          <w:rFonts w:hint="eastAsia" w:hAnsi="宋体" w:cs="宋体"/>
          <w:color w:val="auto"/>
          <w:sz w:val="21"/>
          <w:szCs w:val="21"/>
          <w:highlight w:val="none"/>
        </w:rPr>
        <w:t>电</w:t>
      </w:r>
      <w:r>
        <w:rPr>
          <w:rFonts w:hint="eastAsia" w:hAnsi="宋体" w:cs="宋体"/>
          <w:color w:val="auto"/>
          <w:sz w:val="21"/>
          <w:szCs w:val="21"/>
          <w:highlight w:val="none"/>
          <w:lang w:val="en-US" w:eastAsia="zh-CN"/>
        </w:rPr>
        <w:t>及</w:t>
      </w:r>
      <w:r>
        <w:rPr>
          <w:rFonts w:hint="eastAsia" w:hAnsi="宋体" w:cs="宋体"/>
          <w:color w:val="auto"/>
          <w:sz w:val="21"/>
          <w:szCs w:val="21"/>
          <w:highlight w:val="none"/>
        </w:rPr>
        <w:t>涉及到的</w:t>
      </w:r>
      <w:r>
        <w:rPr>
          <w:rFonts w:hint="eastAsia" w:hAnsi="宋体" w:cs="宋体"/>
          <w:color w:val="auto"/>
          <w:sz w:val="21"/>
          <w:szCs w:val="21"/>
          <w:highlight w:val="none"/>
          <w:lang w:val="en-US" w:eastAsia="zh-CN"/>
        </w:rPr>
        <w:t>其他</w:t>
      </w:r>
      <w:r>
        <w:rPr>
          <w:rFonts w:hint="eastAsia" w:hAnsi="宋体" w:cs="宋体"/>
          <w:color w:val="auto"/>
          <w:sz w:val="21"/>
          <w:szCs w:val="21"/>
          <w:highlight w:val="none"/>
        </w:rPr>
        <w:t>所有费用由中标人负责。</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只负责临水、临电使用</w:t>
      </w:r>
      <w:r>
        <w:rPr>
          <w:rFonts w:hint="eastAsia" w:hAnsi="宋体" w:cs="宋体"/>
          <w:color w:val="auto"/>
          <w:sz w:val="21"/>
          <w:szCs w:val="21"/>
          <w:highlight w:val="none"/>
          <w:lang w:eastAsia="zh-CN"/>
        </w:rPr>
        <w:t>的</w:t>
      </w:r>
      <w:r>
        <w:rPr>
          <w:rFonts w:hint="eastAsia" w:hAnsi="宋体" w:cs="宋体"/>
          <w:color w:val="auto"/>
          <w:sz w:val="21"/>
          <w:szCs w:val="21"/>
          <w:highlight w:val="none"/>
          <w:lang w:val="en-US" w:eastAsia="zh-CN"/>
        </w:rPr>
        <w:t>协调</w:t>
      </w:r>
      <w:r>
        <w:rPr>
          <w:rFonts w:hint="eastAsia" w:hAnsi="宋体" w:cs="宋体"/>
          <w:color w:val="auto"/>
          <w:sz w:val="21"/>
          <w:szCs w:val="21"/>
          <w:highlight w:val="none"/>
        </w:rPr>
        <w:t>管理。</w:t>
      </w:r>
    </w:p>
    <w:p>
      <w:pPr>
        <w:pStyle w:val="5"/>
        <w:spacing w:line="360" w:lineRule="auto"/>
        <w:rPr>
          <w:rFonts w:hint="eastAsia" w:ascii="宋体" w:hAnsi="宋体" w:eastAsia="宋体" w:cs="宋体"/>
          <w:color w:val="auto"/>
          <w:sz w:val="21"/>
          <w:szCs w:val="21"/>
          <w:highlight w:val="none"/>
        </w:rPr>
      </w:pPr>
      <w:bookmarkStart w:id="186" w:name="_Toc441234908"/>
      <w:bookmarkStart w:id="187" w:name="_Toc20726402"/>
      <w:bookmarkStart w:id="188" w:name="_Toc440623102"/>
      <w:bookmarkStart w:id="189" w:name="_Toc145512405"/>
      <w:r>
        <w:rPr>
          <w:rFonts w:hint="eastAsia" w:ascii="宋体" w:hAnsi="宋体" w:eastAsia="宋体" w:cs="宋体"/>
          <w:color w:val="auto"/>
          <w:sz w:val="21"/>
          <w:szCs w:val="21"/>
          <w:highlight w:val="none"/>
        </w:rPr>
        <w:t>2  技术标准</w:t>
      </w:r>
      <w:bookmarkEnd w:id="186"/>
      <w:bookmarkEnd w:id="187"/>
      <w:bookmarkEnd w:id="188"/>
      <w:bookmarkEnd w:id="189"/>
      <w:r>
        <w:rPr>
          <w:rFonts w:hint="eastAsia" w:ascii="宋体" w:hAnsi="宋体" w:eastAsia="宋体" w:cs="宋体"/>
          <w:color w:val="auto"/>
          <w:sz w:val="21"/>
          <w:szCs w:val="21"/>
          <w:highlight w:val="none"/>
        </w:rPr>
        <w:t>及相关要求</w:t>
      </w:r>
    </w:p>
    <w:p>
      <w:pPr>
        <w:pStyle w:val="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2.1技术标准</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技术要求提出了最低技术要求，并未规定所有的技术要求和标准规范，也未充分引述有关标准和规范的条文。中标人应保证高标准提供符合本技术规范书的施工安全、质量、工期、技术要求以及相应服务，并满足国家现行有关建设工程强制性标准规定要求。</w:t>
      </w:r>
    </w:p>
    <w:p>
      <w:pPr>
        <w:pStyle w:val="145"/>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土地复垦质量控制标准</w:t>
      </w:r>
    </w:p>
    <w:p>
      <w:pPr>
        <w:pStyle w:val="2"/>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（一）大岭山镇地块复垦方向表</w:t>
      </w:r>
    </w:p>
    <w:tbl>
      <w:tblPr>
        <w:tblStyle w:val="52"/>
        <w:tblW w:w="937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418"/>
        <w:gridCol w:w="1418"/>
        <w:gridCol w:w="1135"/>
        <w:gridCol w:w="373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blHeader/>
          <w:jc w:val="center"/>
        </w:trPr>
        <w:tc>
          <w:tcPr>
            <w:tcW w:w="1667" w:type="dxa"/>
            <w:tcBorders>
              <w:top w:val="double" w:color="auto" w:sz="4" w:space="0"/>
            </w:tcBorders>
            <w:vAlign w:val="center"/>
          </w:tcPr>
          <w:p>
            <w:pPr>
              <w:widowControl/>
              <w:tabs>
                <w:tab w:val="left" w:pos="357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复垦单元</w:t>
            </w:r>
          </w:p>
        </w:tc>
        <w:tc>
          <w:tcPr>
            <w:tcW w:w="1418" w:type="dxa"/>
            <w:tcBorders>
              <w:top w:val="double" w:color="auto" w:sz="4" w:space="0"/>
            </w:tcBorders>
            <w:vAlign w:val="center"/>
          </w:tcPr>
          <w:p>
            <w:pPr>
              <w:widowControl/>
              <w:tabs>
                <w:tab w:val="left" w:pos="357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复垦前</w:t>
            </w:r>
            <w:r>
              <w:rPr>
                <w:rFonts w:hint="eastAsia" w:ascii="宋体" w:hAnsi="宋体" w:eastAsia="宋体" w:cs="宋体"/>
                <w:color w:val="auto"/>
                <w:sz w:val="21"/>
                <w:szCs w:val="21"/>
                <w:highlight w:val="none"/>
              </w:rPr>
              <w:t>土地利用现状地类</w:t>
            </w:r>
          </w:p>
        </w:tc>
        <w:tc>
          <w:tcPr>
            <w:tcW w:w="1418" w:type="dxa"/>
            <w:tcBorders>
              <w:top w:val="double" w:color="auto" w:sz="4" w:space="0"/>
            </w:tcBorders>
            <w:vAlign w:val="center"/>
          </w:tcPr>
          <w:p>
            <w:pPr>
              <w:widowControl/>
              <w:tabs>
                <w:tab w:val="left" w:pos="357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复垦方向</w:t>
            </w:r>
          </w:p>
        </w:tc>
        <w:tc>
          <w:tcPr>
            <w:tcW w:w="1135" w:type="dxa"/>
            <w:tcBorders>
              <w:top w:val="double" w:color="auto" w:sz="4" w:space="0"/>
            </w:tcBorders>
            <w:vAlign w:val="center"/>
          </w:tcPr>
          <w:p>
            <w:pPr>
              <w:widowControl/>
              <w:tabs>
                <w:tab w:val="left" w:pos="3570"/>
              </w:tabs>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面积(hm²)</w:t>
            </w:r>
          </w:p>
        </w:tc>
        <w:tc>
          <w:tcPr>
            <w:tcW w:w="3739" w:type="dxa"/>
            <w:tcBorders>
              <w:top w:val="double" w:color="auto" w:sz="4" w:space="0"/>
            </w:tcBorders>
            <w:vAlign w:val="center"/>
          </w:tcPr>
          <w:p>
            <w:pPr>
              <w:widowControl/>
              <w:tabs>
                <w:tab w:val="left" w:pos="357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667" w:type="dxa"/>
            <w:vAlign w:val="center"/>
          </w:tcPr>
          <w:p>
            <w:pPr>
              <w:widowControl/>
              <w:tabs>
                <w:tab w:val="left" w:pos="357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大岭山地块</w:t>
            </w:r>
          </w:p>
        </w:tc>
        <w:tc>
          <w:tcPr>
            <w:tcW w:w="1418" w:type="dxa"/>
            <w:vAlign w:val="center"/>
          </w:tcPr>
          <w:p>
            <w:pPr>
              <w:widowControl/>
              <w:tabs>
                <w:tab w:val="left" w:pos="357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可调整坑塘水面和可调整果园</w:t>
            </w:r>
          </w:p>
        </w:tc>
        <w:tc>
          <w:tcPr>
            <w:tcW w:w="1418" w:type="dxa"/>
            <w:vAlign w:val="center"/>
          </w:tcPr>
          <w:p>
            <w:pPr>
              <w:widowControl/>
              <w:tabs>
                <w:tab w:val="left" w:pos="357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旱地</w:t>
            </w:r>
          </w:p>
        </w:tc>
        <w:tc>
          <w:tcPr>
            <w:tcW w:w="1135" w:type="dxa"/>
            <w:vAlign w:val="center"/>
          </w:tcPr>
          <w:p>
            <w:pPr>
              <w:widowControl/>
              <w:tabs>
                <w:tab w:val="left" w:pos="3570"/>
              </w:tabs>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2.8737</w:t>
            </w:r>
          </w:p>
        </w:tc>
        <w:tc>
          <w:tcPr>
            <w:tcW w:w="3739" w:type="dxa"/>
            <w:vAlign w:val="center"/>
          </w:tcPr>
          <w:p>
            <w:pPr>
              <w:widowControl/>
              <w:tabs>
                <w:tab w:val="left" w:pos="3570"/>
              </w:tabs>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现状地类为可调整坑塘水面和可调整果园，通过征求权属人意见，拟将地块复垦为旱地。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667" w:type="dxa"/>
            <w:vAlign w:val="center"/>
          </w:tcPr>
          <w:p>
            <w:pPr>
              <w:widowControl/>
              <w:tabs>
                <w:tab w:val="left" w:pos="357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大岭山地块</w:t>
            </w:r>
          </w:p>
        </w:tc>
        <w:tc>
          <w:tcPr>
            <w:tcW w:w="1418" w:type="dxa"/>
            <w:vAlign w:val="center"/>
          </w:tcPr>
          <w:p>
            <w:pPr>
              <w:widowControl/>
              <w:tabs>
                <w:tab w:val="left" w:pos="357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其他草地</w:t>
            </w:r>
          </w:p>
        </w:tc>
        <w:tc>
          <w:tcPr>
            <w:tcW w:w="1418" w:type="dxa"/>
            <w:vAlign w:val="center"/>
          </w:tcPr>
          <w:p>
            <w:pPr>
              <w:widowControl/>
              <w:tabs>
                <w:tab w:val="left" w:pos="357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其他草地</w:t>
            </w:r>
          </w:p>
        </w:tc>
        <w:tc>
          <w:tcPr>
            <w:tcW w:w="1135" w:type="dxa"/>
            <w:vAlign w:val="center"/>
          </w:tcPr>
          <w:p>
            <w:pPr>
              <w:widowControl/>
              <w:tabs>
                <w:tab w:val="left" w:pos="3570"/>
              </w:tabs>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0.0124</w:t>
            </w:r>
          </w:p>
        </w:tc>
        <w:tc>
          <w:tcPr>
            <w:tcW w:w="3739" w:type="dxa"/>
            <w:vAlign w:val="center"/>
          </w:tcPr>
          <w:p>
            <w:pPr>
              <w:widowControl/>
              <w:tabs>
                <w:tab w:val="left" w:pos="3570"/>
              </w:tabs>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现状地类为村庄的地块恢复为原状即可，拟复垦为其他草地</w:t>
            </w:r>
            <w:r>
              <w:rPr>
                <w:rFonts w:hint="eastAsia" w:ascii="宋体" w:hAnsi="宋体" w:eastAsia="宋体" w:cs="宋体"/>
                <w:color w:val="auto"/>
                <w:sz w:val="21"/>
                <w:szCs w:val="21"/>
                <w:highlight w:val="none"/>
                <w:lang w:eastAsia="zh-CN"/>
              </w:rPr>
              <w:t>。</w:t>
            </w:r>
          </w:p>
        </w:tc>
      </w:tr>
    </w:tbl>
    <w:p>
      <w:pPr>
        <w:pStyle w:val="2"/>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（二）上底村地块二地块复垦方向表</w:t>
      </w:r>
    </w:p>
    <w:tbl>
      <w:tblPr>
        <w:tblStyle w:val="52"/>
        <w:tblW w:w="948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418"/>
        <w:gridCol w:w="1418"/>
        <w:gridCol w:w="1135"/>
        <w:gridCol w:w="384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blHeader/>
          <w:jc w:val="center"/>
        </w:trPr>
        <w:tc>
          <w:tcPr>
            <w:tcW w:w="1667" w:type="dxa"/>
            <w:tcBorders>
              <w:top w:val="double" w:color="auto" w:sz="4" w:space="0"/>
            </w:tcBorders>
            <w:vAlign w:val="center"/>
          </w:tcPr>
          <w:p>
            <w:pPr>
              <w:widowControl/>
              <w:tabs>
                <w:tab w:val="left" w:pos="357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复垦单元</w:t>
            </w:r>
          </w:p>
        </w:tc>
        <w:tc>
          <w:tcPr>
            <w:tcW w:w="1418" w:type="dxa"/>
            <w:tcBorders>
              <w:top w:val="double" w:color="auto" w:sz="4" w:space="0"/>
            </w:tcBorders>
            <w:vAlign w:val="center"/>
          </w:tcPr>
          <w:p>
            <w:pPr>
              <w:widowControl/>
              <w:tabs>
                <w:tab w:val="left" w:pos="357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复垦前</w:t>
            </w:r>
            <w:r>
              <w:rPr>
                <w:rFonts w:hint="eastAsia" w:ascii="宋体" w:hAnsi="宋体" w:eastAsia="宋体" w:cs="宋体"/>
                <w:color w:val="auto"/>
                <w:sz w:val="21"/>
                <w:szCs w:val="21"/>
                <w:highlight w:val="none"/>
              </w:rPr>
              <w:t>土地利用现状地类</w:t>
            </w:r>
          </w:p>
        </w:tc>
        <w:tc>
          <w:tcPr>
            <w:tcW w:w="1418" w:type="dxa"/>
            <w:tcBorders>
              <w:top w:val="double" w:color="auto" w:sz="4" w:space="0"/>
            </w:tcBorders>
            <w:vAlign w:val="center"/>
          </w:tcPr>
          <w:p>
            <w:pPr>
              <w:widowControl/>
              <w:tabs>
                <w:tab w:val="left" w:pos="357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复垦方向</w:t>
            </w:r>
          </w:p>
        </w:tc>
        <w:tc>
          <w:tcPr>
            <w:tcW w:w="1135" w:type="dxa"/>
            <w:tcBorders>
              <w:top w:val="double" w:color="auto" w:sz="4" w:space="0"/>
            </w:tcBorders>
            <w:vAlign w:val="center"/>
          </w:tcPr>
          <w:p>
            <w:pPr>
              <w:widowControl/>
              <w:tabs>
                <w:tab w:val="left" w:pos="3570"/>
              </w:tabs>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面积(hm²)</w:t>
            </w:r>
          </w:p>
        </w:tc>
        <w:tc>
          <w:tcPr>
            <w:tcW w:w="3847" w:type="dxa"/>
            <w:tcBorders>
              <w:top w:val="double" w:color="auto" w:sz="4" w:space="0"/>
            </w:tcBorders>
            <w:vAlign w:val="center"/>
          </w:tcPr>
          <w:p>
            <w:pPr>
              <w:widowControl/>
              <w:tabs>
                <w:tab w:val="left" w:pos="357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667" w:type="dxa"/>
            <w:vAlign w:val="center"/>
          </w:tcPr>
          <w:p>
            <w:pPr>
              <w:widowControl/>
              <w:tabs>
                <w:tab w:val="left" w:pos="357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地块二</w:t>
            </w:r>
          </w:p>
        </w:tc>
        <w:tc>
          <w:tcPr>
            <w:tcW w:w="1418" w:type="dxa"/>
            <w:vAlign w:val="center"/>
          </w:tcPr>
          <w:p>
            <w:pPr>
              <w:widowControl/>
              <w:tabs>
                <w:tab w:val="left" w:pos="357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可调整坑塘水面和可调整果园</w:t>
            </w:r>
          </w:p>
        </w:tc>
        <w:tc>
          <w:tcPr>
            <w:tcW w:w="1418" w:type="dxa"/>
            <w:vAlign w:val="center"/>
          </w:tcPr>
          <w:p>
            <w:pPr>
              <w:widowControl/>
              <w:tabs>
                <w:tab w:val="left" w:pos="357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旱地</w:t>
            </w:r>
          </w:p>
        </w:tc>
        <w:tc>
          <w:tcPr>
            <w:tcW w:w="1135" w:type="dxa"/>
            <w:vAlign w:val="center"/>
          </w:tcPr>
          <w:p>
            <w:pPr>
              <w:widowControl/>
              <w:tabs>
                <w:tab w:val="left" w:pos="3570"/>
              </w:tabs>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0.6062</w:t>
            </w:r>
          </w:p>
        </w:tc>
        <w:tc>
          <w:tcPr>
            <w:tcW w:w="3847" w:type="dxa"/>
            <w:vAlign w:val="center"/>
          </w:tcPr>
          <w:p>
            <w:pPr>
              <w:widowControl/>
              <w:tabs>
                <w:tab w:val="left" w:pos="3570"/>
              </w:tabs>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现状地类为可调整坑塘水面和可调整果园，通过征求权属人意见，拟将地块复垦为旱地。</w:t>
            </w:r>
          </w:p>
        </w:tc>
      </w:tr>
    </w:tbl>
    <w:p>
      <w:pPr>
        <w:pStyle w:val="145"/>
        <w:tabs>
          <w:tab w:val="left" w:pos="3570"/>
        </w:tabs>
        <w:spacing w:line="360" w:lineRule="auto"/>
        <w:ind w:left="0" w:leftChars="0"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val="0"/>
          <w:bCs w:val="0"/>
          <w:color w:val="auto"/>
          <w:sz w:val="21"/>
          <w:szCs w:val="21"/>
          <w:highlight w:val="none"/>
          <w:lang w:val="en-US"/>
        </w:rPr>
        <w:t>（三）上底村地块</w:t>
      </w: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lang w:val="en-US"/>
        </w:rPr>
        <w:t>地块复垦方向表</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bCs/>
          <w:color w:val="auto"/>
          <w:sz w:val="21"/>
          <w:szCs w:val="21"/>
          <w:highlight w:val="none"/>
        </w:rPr>
        <w:t>单位：h</w:t>
      </w:r>
      <w:r>
        <w:rPr>
          <w:rFonts w:hint="eastAsia" w:ascii="宋体" w:hAnsi="宋体" w:eastAsia="宋体" w:cs="宋体"/>
          <w:b/>
          <w:color w:val="auto"/>
          <w:sz w:val="21"/>
          <w:szCs w:val="21"/>
          <w:highlight w:val="none"/>
        </w:rPr>
        <w:t>m</w:t>
      </w:r>
      <w:r>
        <w:rPr>
          <w:rFonts w:hint="eastAsia" w:ascii="宋体" w:hAnsi="宋体" w:eastAsia="宋体" w:cs="宋体"/>
          <w:b/>
          <w:color w:val="auto"/>
          <w:sz w:val="21"/>
          <w:szCs w:val="21"/>
          <w:highlight w:val="none"/>
          <w:vertAlign w:val="superscript"/>
        </w:rPr>
        <w:t>2</w:t>
      </w:r>
    </w:p>
    <w:tbl>
      <w:tblPr>
        <w:tblStyle w:val="52"/>
        <w:tblW w:w="968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418"/>
        <w:gridCol w:w="1418"/>
        <w:gridCol w:w="1135"/>
        <w:gridCol w:w="405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blHeader/>
          <w:jc w:val="center"/>
        </w:trPr>
        <w:tc>
          <w:tcPr>
            <w:tcW w:w="1667" w:type="dxa"/>
            <w:tcBorders>
              <w:top w:val="double" w:color="auto" w:sz="4" w:space="0"/>
            </w:tcBorders>
            <w:vAlign w:val="center"/>
          </w:tcPr>
          <w:p>
            <w:pPr>
              <w:widowControl/>
              <w:tabs>
                <w:tab w:val="left" w:pos="357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复垦区名称</w:t>
            </w:r>
          </w:p>
        </w:tc>
        <w:tc>
          <w:tcPr>
            <w:tcW w:w="1418" w:type="dxa"/>
            <w:tcBorders>
              <w:top w:val="double" w:color="auto" w:sz="4" w:space="0"/>
            </w:tcBorders>
            <w:vAlign w:val="center"/>
          </w:tcPr>
          <w:p>
            <w:pPr>
              <w:widowControl/>
              <w:tabs>
                <w:tab w:val="left" w:pos="357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复垦前</w:t>
            </w:r>
            <w:r>
              <w:rPr>
                <w:rFonts w:hint="eastAsia" w:ascii="宋体" w:hAnsi="宋体" w:eastAsia="宋体" w:cs="宋体"/>
                <w:color w:val="auto"/>
                <w:sz w:val="21"/>
                <w:szCs w:val="21"/>
                <w:highlight w:val="none"/>
              </w:rPr>
              <w:t>土地利用现状地类</w:t>
            </w:r>
          </w:p>
        </w:tc>
        <w:tc>
          <w:tcPr>
            <w:tcW w:w="1418" w:type="dxa"/>
            <w:tcBorders>
              <w:top w:val="double" w:color="auto" w:sz="4" w:space="0"/>
            </w:tcBorders>
            <w:vAlign w:val="center"/>
          </w:tcPr>
          <w:p>
            <w:pPr>
              <w:widowControl/>
              <w:tabs>
                <w:tab w:val="left" w:pos="357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复垦方向</w:t>
            </w:r>
          </w:p>
        </w:tc>
        <w:tc>
          <w:tcPr>
            <w:tcW w:w="1135" w:type="dxa"/>
            <w:tcBorders>
              <w:top w:val="double" w:color="auto" w:sz="4" w:space="0"/>
            </w:tcBorders>
            <w:vAlign w:val="center"/>
          </w:tcPr>
          <w:p>
            <w:pPr>
              <w:widowControl/>
              <w:tabs>
                <w:tab w:val="left" w:pos="3570"/>
              </w:tabs>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面积(hm²)</w:t>
            </w:r>
          </w:p>
        </w:tc>
        <w:tc>
          <w:tcPr>
            <w:tcW w:w="4051" w:type="dxa"/>
            <w:tcBorders>
              <w:top w:val="double" w:color="auto" w:sz="4" w:space="0"/>
            </w:tcBorders>
            <w:vAlign w:val="center"/>
          </w:tcPr>
          <w:p>
            <w:pPr>
              <w:widowControl/>
              <w:tabs>
                <w:tab w:val="left" w:pos="357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667" w:type="dxa"/>
            <w:vAlign w:val="center"/>
          </w:tcPr>
          <w:p>
            <w:pPr>
              <w:widowControl/>
              <w:tabs>
                <w:tab w:val="left" w:pos="357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地块</w:t>
            </w:r>
            <w:r>
              <w:rPr>
                <w:rFonts w:hint="eastAsia" w:ascii="宋体" w:hAnsi="宋体" w:eastAsia="宋体" w:cs="宋体"/>
                <w:color w:val="auto"/>
                <w:sz w:val="21"/>
                <w:szCs w:val="21"/>
                <w:highlight w:val="none"/>
                <w:lang w:val="en-US" w:eastAsia="zh-CN"/>
              </w:rPr>
              <w:t>一</w:t>
            </w:r>
          </w:p>
        </w:tc>
        <w:tc>
          <w:tcPr>
            <w:tcW w:w="1418" w:type="dxa"/>
            <w:vAlign w:val="center"/>
          </w:tcPr>
          <w:p>
            <w:pPr>
              <w:widowControl/>
              <w:tabs>
                <w:tab w:val="left" w:pos="357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可调整坑塘水面和可调整果园</w:t>
            </w:r>
          </w:p>
        </w:tc>
        <w:tc>
          <w:tcPr>
            <w:tcW w:w="1418" w:type="dxa"/>
            <w:vAlign w:val="center"/>
          </w:tcPr>
          <w:p>
            <w:pPr>
              <w:widowControl/>
              <w:tabs>
                <w:tab w:val="left" w:pos="357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旱地</w:t>
            </w:r>
          </w:p>
        </w:tc>
        <w:tc>
          <w:tcPr>
            <w:tcW w:w="1135" w:type="dxa"/>
            <w:vAlign w:val="center"/>
          </w:tcPr>
          <w:p>
            <w:pPr>
              <w:widowControl/>
              <w:tabs>
                <w:tab w:val="left" w:pos="3570"/>
              </w:tabs>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lang w:val="en-US" w:eastAsia="zh-CN"/>
              </w:rPr>
              <w:t>129</w:t>
            </w:r>
          </w:p>
        </w:tc>
        <w:tc>
          <w:tcPr>
            <w:tcW w:w="4051" w:type="dxa"/>
            <w:vAlign w:val="center"/>
          </w:tcPr>
          <w:p>
            <w:pPr>
              <w:widowControl/>
              <w:tabs>
                <w:tab w:val="left" w:pos="3570"/>
              </w:tabs>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现状地类为可调整坑塘水面和可调整果园，通过征求权属人意见，拟将地块复垦为旱地。</w:t>
            </w:r>
          </w:p>
        </w:tc>
      </w:tr>
    </w:tbl>
    <w:p>
      <w:pPr>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根据《土地复垦质量控制标准》（TD/Y 1036-2013）的要求，采用东南沿海山地丘陵区土地恢复工程标准，确定本工程临时用地恢复工程标准：</w:t>
      </w:r>
    </w:p>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耕地（旱地）复垦标准表</w:t>
      </w:r>
    </w:p>
    <w:tbl>
      <w:tblPr>
        <w:tblStyle w:val="5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987"/>
        <w:gridCol w:w="1786"/>
        <w:gridCol w:w="2386"/>
        <w:gridCol w:w="3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965" w:type="pct"/>
            <w:gridSpan w:val="2"/>
            <w:vAlign w:val="center"/>
          </w:tcPr>
          <w:p>
            <w:pPr>
              <w:widowControl/>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复垦方向</w:t>
            </w:r>
          </w:p>
        </w:tc>
        <w:tc>
          <w:tcPr>
            <w:tcW w:w="883" w:type="pct"/>
            <w:vAlign w:val="center"/>
          </w:tcPr>
          <w:p>
            <w:pPr>
              <w:widowControl/>
              <w:spacing w:line="360" w:lineRule="auto"/>
              <w:ind w:firstLine="49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指标类型</w:t>
            </w:r>
          </w:p>
        </w:tc>
        <w:tc>
          <w:tcPr>
            <w:tcW w:w="1180" w:type="pct"/>
            <w:vAlign w:val="center"/>
          </w:tcPr>
          <w:p>
            <w:pPr>
              <w:widowControl/>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基本指标</w:t>
            </w:r>
          </w:p>
        </w:tc>
        <w:tc>
          <w:tcPr>
            <w:tcW w:w="1970" w:type="pct"/>
            <w:vAlign w:val="center"/>
          </w:tcPr>
          <w:p>
            <w:pPr>
              <w:widowControl/>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77" w:type="pct"/>
            <w:vMerge w:val="restart"/>
            <w:vAlign w:val="center"/>
          </w:tcPr>
          <w:p>
            <w:pPr>
              <w:widowControl/>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耕地</w:t>
            </w:r>
          </w:p>
        </w:tc>
        <w:tc>
          <w:tcPr>
            <w:tcW w:w="488" w:type="pct"/>
            <w:vMerge w:val="restart"/>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旱地</w:t>
            </w:r>
          </w:p>
        </w:tc>
        <w:tc>
          <w:tcPr>
            <w:tcW w:w="883" w:type="pct"/>
            <w:vAlign w:val="center"/>
          </w:tcPr>
          <w:p>
            <w:pPr>
              <w:widowControl/>
              <w:spacing w:line="360" w:lineRule="auto"/>
              <w:ind w:firstLine="49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地形</w:t>
            </w:r>
          </w:p>
        </w:tc>
        <w:tc>
          <w:tcPr>
            <w:tcW w:w="1180" w:type="pct"/>
            <w:vAlign w:val="center"/>
          </w:tcPr>
          <w:p>
            <w:pPr>
              <w:widowControl/>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地面坡度/(°)</w:t>
            </w:r>
          </w:p>
        </w:tc>
        <w:tc>
          <w:tcPr>
            <w:tcW w:w="1970" w:type="pct"/>
            <w:vAlign w:val="center"/>
          </w:tcPr>
          <w:p>
            <w:pPr>
              <w:widowControl/>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77" w:type="pct"/>
            <w:vMerge w:val="continue"/>
            <w:vAlign w:val="center"/>
          </w:tcPr>
          <w:p>
            <w:pPr>
              <w:widowControl/>
              <w:spacing w:line="360" w:lineRule="auto"/>
              <w:ind w:firstLine="490"/>
              <w:rPr>
                <w:rFonts w:hint="eastAsia" w:ascii="宋体" w:hAnsi="宋体" w:eastAsia="宋体" w:cs="宋体"/>
                <w:color w:val="auto"/>
                <w:sz w:val="21"/>
                <w:szCs w:val="21"/>
                <w:highlight w:val="none"/>
              </w:rPr>
            </w:pPr>
          </w:p>
        </w:tc>
        <w:tc>
          <w:tcPr>
            <w:tcW w:w="488" w:type="pct"/>
            <w:vMerge w:val="continue"/>
            <w:vAlign w:val="center"/>
          </w:tcPr>
          <w:p>
            <w:pPr>
              <w:spacing w:line="360" w:lineRule="auto"/>
              <w:ind w:firstLine="490"/>
              <w:rPr>
                <w:rFonts w:hint="eastAsia" w:ascii="宋体" w:hAnsi="宋体" w:eastAsia="宋体" w:cs="宋体"/>
                <w:color w:val="auto"/>
                <w:sz w:val="21"/>
                <w:szCs w:val="21"/>
                <w:highlight w:val="none"/>
              </w:rPr>
            </w:pPr>
          </w:p>
        </w:tc>
        <w:tc>
          <w:tcPr>
            <w:tcW w:w="883" w:type="pct"/>
            <w:vMerge w:val="restart"/>
            <w:vAlign w:val="center"/>
          </w:tcPr>
          <w:p>
            <w:pPr>
              <w:widowControl/>
              <w:spacing w:line="360" w:lineRule="auto"/>
              <w:ind w:firstLine="49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土壤质量</w:t>
            </w:r>
          </w:p>
        </w:tc>
        <w:tc>
          <w:tcPr>
            <w:tcW w:w="1180"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有效土层厚度/cm</w:t>
            </w:r>
          </w:p>
        </w:tc>
        <w:tc>
          <w:tcPr>
            <w:tcW w:w="1970" w:type="pct"/>
            <w:vAlign w:val="center"/>
          </w:tcPr>
          <w:p>
            <w:pPr>
              <w:widowControl/>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77" w:type="pct"/>
            <w:vMerge w:val="continue"/>
            <w:vAlign w:val="center"/>
          </w:tcPr>
          <w:p>
            <w:pPr>
              <w:widowControl/>
              <w:spacing w:line="360" w:lineRule="auto"/>
              <w:ind w:firstLine="490"/>
              <w:rPr>
                <w:rFonts w:hint="eastAsia" w:ascii="宋体" w:hAnsi="宋体" w:eastAsia="宋体" w:cs="宋体"/>
                <w:color w:val="auto"/>
                <w:sz w:val="21"/>
                <w:szCs w:val="21"/>
                <w:highlight w:val="none"/>
              </w:rPr>
            </w:pPr>
          </w:p>
        </w:tc>
        <w:tc>
          <w:tcPr>
            <w:tcW w:w="488" w:type="pct"/>
            <w:vMerge w:val="continue"/>
            <w:vAlign w:val="center"/>
          </w:tcPr>
          <w:p>
            <w:pPr>
              <w:spacing w:line="360" w:lineRule="auto"/>
              <w:ind w:firstLine="490"/>
              <w:rPr>
                <w:rFonts w:hint="eastAsia" w:ascii="宋体" w:hAnsi="宋体" w:eastAsia="宋体" w:cs="宋体"/>
                <w:color w:val="auto"/>
                <w:sz w:val="21"/>
                <w:szCs w:val="21"/>
                <w:highlight w:val="none"/>
              </w:rPr>
            </w:pPr>
          </w:p>
        </w:tc>
        <w:tc>
          <w:tcPr>
            <w:tcW w:w="883" w:type="pct"/>
            <w:vMerge w:val="continue"/>
            <w:vAlign w:val="center"/>
          </w:tcPr>
          <w:p>
            <w:pPr>
              <w:widowControl/>
              <w:spacing w:line="360" w:lineRule="auto"/>
              <w:ind w:firstLine="490"/>
              <w:jc w:val="center"/>
              <w:rPr>
                <w:rFonts w:hint="eastAsia" w:ascii="宋体" w:hAnsi="宋体" w:eastAsia="宋体" w:cs="宋体"/>
                <w:color w:val="auto"/>
                <w:sz w:val="21"/>
                <w:szCs w:val="21"/>
                <w:highlight w:val="none"/>
              </w:rPr>
            </w:pPr>
          </w:p>
        </w:tc>
        <w:tc>
          <w:tcPr>
            <w:tcW w:w="1180"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土壤容重/（g/cm3）</w:t>
            </w:r>
          </w:p>
        </w:tc>
        <w:tc>
          <w:tcPr>
            <w:tcW w:w="1970" w:type="pct"/>
            <w:vAlign w:val="center"/>
          </w:tcPr>
          <w:p>
            <w:pPr>
              <w:widowControl/>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77" w:type="pct"/>
            <w:vMerge w:val="continue"/>
            <w:vAlign w:val="center"/>
          </w:tcPr>
          <w:p>
            <w:pPr>
              <w:widowControl/>
              <w:spacing w:line="360" w:lineRule="auto"/>
              <w:ind w:firstLine="490"/>
              <w:rPr>
                <w:rFonts w:hint="eastAsia" w:ascii="宋体" w:hAnsi="宋体" w:eastAsia="宋体" w:cs="宋体"/>
                <w:color w:val="auto"/>
                <w:sz w:val="21"/>
                <w:szCs w:val="21"/>
                <w:highlight w:val="none"/>
              </w:rPr>
            </w:pPr>
          </w:p>
        </w:tc>
        <w:tc>
          <w:tcPr>
            <w:tcW w:w="488" w:type="pct"/>
            <w:vMerge w:val="continue"/>
            <w:vAlign w:val="center"/>
          </w:tcPr>
          <w:p>
            <w:pPr>
              <w:spacing w:line="360" w:lineRule="auto"/>
              <w:ind w:firstLine="490"/>
              <w:rPr>
                <w:rFonts w:hint="eastAsia" w:ascii="宋体" w:hAnsi="宋体" w:eastAsia="宋体" w:cs="宋体"/>
                <w:color w:val="auto"/>
                <w:sz w:val="21"/>
                <w:szCs w:val="21"/>
                <w:highlight w:val="none"/>
              </w:rPr>
            </w:pPr>
          </w:p>
        </w:tc>
        <w:tc>
          <w:tcPr>
            <w:tcW w:w="883" w:type="pct"/>
            <w:vMerge w:val="continue"/>
            <w:vAlign w:val="center"/>
          </w:tcPr>
          <w:p>
            <w:pPr>
              <w:widowControl/>
              <w:spacing w:line="360" w:lineRule="auto"/>
              <w:ind w:firstLine="490"/>
              <w:jc w:val="center"/>
              <w:rPr>
                <w:rFonts w:hint="eastAsia" w:ascii="宋体" w:hAnsi="宋体" w:eastAsia="宋体" w:cs="宋体"/>
                <w:color w:val="auto"/>
                <w:sz w:val="21"/>
                <w:szCs w:val="21"/>
                <w:highlight w:val="none"/>
              </w:rPr>
            </w:pPr>
          </w:p>
        </w:tc>
        <w:tc>
          <w:tcPr>
            <w:tcW w:w="1180" w:type="pct"/>
            <w:vAlign w:val="center"/>
          </w:tcPr>
          <w:p>
            <w:pPr>
              <w:widowControl/>
              <w:spacing w:line="360" w:lineRule="auto"/>
              <w:ind w:firstLine="49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土壤质地</w:t>
            </w:r>
          </w:p>
        </w:tc>
        <w:tc>
          <w:tcPr>
            <w:tcW w:w="1970" w:type="pct"/>
            <w:vAlign w:val="center"/>
          </w:tcPr>
          <w:p>
            <w:pPr>
              <w:widowControl/>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砂质壤土至壤质粘土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77" w:type="pct"/>
            <w:vMerge w:val="continue"/>
            <w:vAlign w:val="center"/>
          </w:tcPr>
          <w:p>
            <w:pPr>
              <w:widowControl/>
              <w:spacing w:line="360" w:lineRule="auto"/>
              <w:ind w:firstLine="490"/>
              <w:rPr>
                <w:rFonts w:hint="eastAsia" w:ascii="宋体" w:hAnsi="宋体" w:eastAsia="宋体" w:cs="宋体"/>
                <w:color w:val="auto"/>
                <w:sz w:val="21"/>
                <w:szCs w:val="21"/>
                <w:highlight w:val="none"/>
              </w:rPr>
            </w:pPr>
          </w:p>
        </w:tc>
        <w:tc>
          <w:tcPr>
            <w:tcW w:w="488" w:type="pct"/>
            <w:vMerge w:val="continue"/>
            <w:vAlign w:val="center"/>
          </w:tcPr>
          <w:p>
            <w:pPr>
              <w:spacing w:line="360" w:lineRule="auto"/>
              <w:ind w:firstLine="490"/>
              <w:rPr>
                <w:rFonts w:hint="eastAsia" w:ascii="宋体" w:hAnsi="宋体" w:eastAsia="宋体" w:cs="宋体"/>
                <w:color w:val="auto"/>
                <w:sz w:val="21"/>
                <w:szCs w:val="21"/>
                <w:highlight w:val="none"/>
              </w:rPr>
            </w:pPr>
          </w:p>
        </w:tc>
        <w:tc>
          <w:tcPr>
            <w:tcW w:w="883" w:type="pct"/>
            <w:vMerge w:val="continue"/>
            <w:vAlign w:val="center"/>
          </w:tcPr>
          <w:p>
            <w:pPr>
              <w:widowControl/>
              <w:spacing w:line="360" w:lineRule="auto"/>
              <w:ind w:firstLine="490"/>
              <w:jc w:val="center"/>
              <w:rPr>
                <w:rFonts w:hint="eastAsia" w:ascii="宋体" w:hAnsi="宋体" w:eastAsia="宋体" w:cs="宋体"/>
                <w:color w:val="auto"/>
                <w:sz w:val="21"/>
                <w:szCs w:val="21"/>
                <w:highlight w:val="none"/>
              </w:rPr>
            </w:pPr>
          </w:p>
        </w:tc>
        <w:tc>
          <w:tcPr>
            <w:tcW w:w="1180" w:type="pct"/>
            <w:vAlign w:val="center"/>
          </w:tcPr>
          <w:p>
            <w:pPr>
              <w:widowControl/>
              <w:spacing w:line="360" w:lineRule="auto"/>
              <w:ind w:firstLine="49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砾石含量/%</w:t>
            </w:r>
          </w:p>
        </w:tc>
        <w:tc>
          <w:tcPr>
            <w:tcW w:w="1970" w:type="pct"/>
            <w:vAlign w:val="center"/>
          </w:tcPr>
          <w:p>
            <w:pPr>
              <w:widowControl/>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77" w:type="pct"/>
            <w:vMerge w:val="continue"/>
            <w:vAlign w:val="center"/>
          </w:tcPr>
          <w:p>
            <w:pPr>
              <w:widowControl/>
              <w:spacing w:line="360" w:lineRule="auto"/>
              <w:ind w:firstLine="490"/>
              <w:rPr>
                <w:rFonts w:hint="eastAsia" w:ascii="宋体" w:hAnsi="宋体" w:eastAsia="宋体" w:cs="宋体"/>
                <w:color w:val="auto"/>
                <w:sz w:val="21"/>
                <w:szCs w:val="21"/>
                <w:highlight w:val="none"/>
              </w:rPr>
            </w:pPr>
          </w:p>
        </w:tc>
        <w:tc>
          <w:tcPr>
            <w:tcW w:w="488" w:type="pct"/>
            <w:vMerge w:val="continue"/>
            <w:vAlign w:val="center"/>
          </w:tcPr>
          <w:p>
            <w:pPr>
              <w:spacing w:line="360" w:lineRule="auto"/>
              <w:ind w:firstLine="490"/>
              <w:rPr>
                <w:rFonts w:hint="eastAsia" w:ascii="宋体" w:hAnsi="宋体" w:eastAsia="宋体" w:cs="宋体"/>
                <w:color w:val="auto"/>
                <w:sz w:val="21"/>
                <w:szCs w:val="21"/>
                <w:highlight w:val="none"/>
              </w:rPr>
            </w:pPr>
          </w:p>
        </w:tc>
        <w:tc>
          <w:tcPr>
            <w:tcW w:w="883" w:type="pct"/>
            <w:vMerge w:val="continue"/>
            <w:vAlign w:val="center"/>
          </w:tcPr>
          <w:p>
            <w:pPr>
              <w:widowControl/>
              <w:spacing w:line="360" w:lineRule="auto"/>
              <w:ind w:firstLine="490"/>
              <w:jc w:val="center"/>
              <w:rPr>
                <w:rFonts w:hint="eastAsia" w:ascii="宋体" w:hAnsi="宋体" w:eastAsia="宋体" w:cs="宋体"/>
                <w:color w:val="auto"/>
                <w:sz w:val="21"/>
                <w:szCs w:val="21"/>
                <w:highlight w:val="none"/>
              </w:rPr>
            </w:pPr>
          </w:p>
        </w:tc>
        <w:tc>
          <w:tcPr>
            <w:tcW w:w="1180" w:type="pct"/>
            <w:vAlign w:val="center"/>
          </w:tcPr>
          <w:p>
            <w:pPr>
              <w:widowControl/>
              <w:spacing w:line="360" w:lineRule="auto"/>
              <w:ind w:firstLine="49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pH值</w:t>
            </w:r>
          </w:p>
        </w:tc>
        <w:tc>
          <w:tcPr>
            <w:tcW w:w="1970" w:type="pct"/>
            <w:vAlign w:val="center"/>
          </w:tcPr>
          <w:p>
            <w:pPr>
              <w:widowControl/>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77" w:type="pct"/>
            <w:vMerge w:val="continue"/>
            <w:vAlign w:val="center"/>
          </w:tcPr>
          <w:p>
            <w:pPr>
              <w:widowControl/>
              <w:spacing w:line="360" w:lineRule="auto"/>
              <w:ind w:firstLine="490"/>
              <w:rPr>
                <w:rFonts w:hint="eastAsia" w:ascii="宋体" w:hAnsi="宋体" w:eastAsia="宋体" w:cs="宋体"/>
                <w:color w:val="auto"/>
                <w:sz w:val="21"/>
                <w:szCs w:val="21"/>
                <w:highlight w:val="none"/>
              </w:rPr>
            </w:pPr>
          </w:p>
        </w:tc>
        <w:tc>
          <w:tcPr>
            <w:tcW w:w="488" w:type="pct"/>
            <w:vMerge w:val="continue"/>
            <w:vAlign w:val="center"/>
          </w:tcPr>
          <w:p>
            <w:pPr>
              <w:spacing w:line="360" w:lineRule="auto"/>
              <w:ind w:firstLine="490"/>
              <w:rPr>
                <w:rFonts w:hint="eastAsia" w:ascii="宋体" w:hAnsi="宋体" w:eastAsia="宋体" w:cs="宋体"/>
                <w:color w:val="auto"/>
                <w:sz w:val="21"/>
                <w:szCs w:val="21"/>
                <w:highlight w:val="none"/>
              </w:rPr>
            </w:pPr>
          </w:p>
        </w:tc>
        <w:tc>
          <w:tcPr>
            <w:tcW w:w="883" w:type="pct"/>
            <w:vMerge w:val="continue"/>
            <w:vAlign w:val="center"/>
          </w:tcPr>
          <w:p>
            <w:pPr>
              <w:widowControl/>
              <w:spacing w:line="360" w:lineRule="auto"/>
              <w:ind w:firstLine="490"/>
              <w:jc w:val="center"/>
              <w:rPr>
                <w:rFonts w:hint="eastAsia" w:ascii="宋体" w:hAnsi="宋体" w:eastAsia="宋体" w:cs="宋体"/>
                <w:color w:val="auto"/>
                <w:sz w:val="21"/>
                <w:szCs w:val="21"/>
                <w:highlight w:val="none"/>
              </w:rPr>
            </w:pPr>
          </w:p>
        </w:tc>
        <w:tc>
          <w:tcPr>
            <w:tcW w:w="1180" w:type="pct"/>
            <w:vAlign w:val="center"/>
          </w:tcPr>
          <w:p>
            <w:pPr>
              <w:widowControl/>
              <w:spacing w:line="360" w:lineRule="auto"/>
              <w:ind w:firstLine="49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有机质/%</w:t>
            </w:r>
          </w:p>
        </w:tc>
        <w:tc>
          <w:tcPr>
            <w:tcW w:w="1970" w:type="pct"/>
            <w:vAlign w:val="center"/>
          </w:tcPr>
          <w:p>
            <w:pPr>
              <w:widowControl/>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77" w:type="pct"/>
            <w:vMerge w:val="continue"/>
            <w:vAlign w:val="center"/>
          </w:tcPr>
          <w:p>
            <w:pPr>
              <w:widowControl/>
              <w:spacing w:line="360" w:lineRule="auto"/>
              <w:ind w:firstLine="490"/>
              <w:rPr>
                <w:rFonts w:hint="eastAsia" w:ascii="宋体" w:hAnsi="宋体" w:eastAsia="宋体" w:cs="宋体"/>
                <w:color w:val="auto"/>
                <w:sz w:val="21"/>
                <w:szCs w:val="21"/>
                <w:highlight w:val="none"/>
              </w:rPr>
            </w:pPr>
          </w:p>
        </w:tc>
        <w:tc>
          <w:tcPr>
            <w:tcW w:w="488" w:type="pct"/>
            <w:vMerge w:val="continue"/>
            <w:vAlign w:val="center"/>
          </w:tcPr>
          <w:p>
            <w:pPr>
              <w:widowControl/>
              <w:spacing w:line="360" w:lineRule="auto"/>
              <w:ind w:firstLine="490"/>
              <w:rPr>
                <w:rFonts w:hint="eastAsia" w:ascii="宋体" w:hAnsi="宋体" w:eastAsia="宋体" w:cs="宋体"/>
                <w:color w:val="auto"/>
                <w:sz w:val="21"/>
                <w:szCs w:val="21"/>
                <w:highlight w:val="none"/>
              </w:rPr>
            </w:pPr>
          </w:p>
        </w:tc>
        <w:tc>
          <w:tcPr>
            <w:tcW w:w="883" w:type="pct"/>
            <w:vMerge w:val="continue"/>
            <w:vAlign w:val="center"/>
          </w:tcPr>
          <w:p>
            <w:pPr>
              <w:widowControl/>
              <w:spacing w:line="360" w:lineRule="auto"/>
              <w:ind w:firstLine="490"/>
              <w:jc w:val="center"/>
              <w:rPr>
                <w:rFonts w:hint="eastAsia" w:ascii="宋体" w:hAnsi="宋体" w:eastAsia="宋体" w:cs="宋体"/>
                <w:color w:val="auto"/>
                <w:sz w:val="21"/>
                <w:szCs w:val="21"/>
                <w:highlight w:val="none"/>
              </w:rPr>
            </w:pPr>
          </w:p>
        </w:tc>
        <w:tc>
          <w:tcPr>
            <w:tcW w:w="1180" w:type="pct"/>
            <w:vAlign w:val="center"/>
          </w:tcPr>
          <w:p>
            <w:pPr>
              <w:widowControl/>
              <w:spacing w:line="360" w:lineRule="auto"/>
              <w:ind w:firstLine="49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电导率/（dS/m）</w:t>
            </w:r>
          </w:p>
        </w:tc>
        <w:tc>
          <w:tcPr>
            <w:tcW w:w="1970" w:type="pct"/>
            <w:vAlign w:val="center"/>
          </w:tcPr>
          <w:p>
            <w:pPr>
              <w:widowControl/>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77" w:type="pct"/>
            <w:vMerge w:val="continue"/>
            <w:vAlign w:val="center"/>
          </w:tcPr>
          <w:p>
            <w:pPr>
              <w:widowControl/>
              <w:spacing w:line="360" w:lineRule="auto"/>
              <w:ind w:firstLine="490"/>
              <w:rPr>
                <w:rFonts w:hint="eastAsia" w:ascii="宋体" w:hAnsi="宋体" w:eastAsia="宋体" w:cs="宋体"/>
                <w:color w:val="auto"/>
                <w:sz w:val="21"/>
                <w:szCs w:val="21"/>
                <w:highlight w:val="none"/>
              </w:rPr>
            </w:pPr>
          </w:p>
        </w:tc>
        <w:tc>
          <w:tcPr>
            <w:tcW w:w="488" w:type="pct"/>
            <w:vMerge w:val="continue"/>
            <w:vAlign w:val="center"/>
          </w:tcPr>
          <w:p>
            <w:pPr>
              <w:spacing w:line="360" w:lineRule="auto"/>
              <w:ind w:firstLine="490"/>
              <w:rPr>
                <w:rFonts w:hint="eastAsia" w:ascii="宋体" w:hAnsi="宋体" w:eastAsia="宋体" w:cs="宋体"/>
                <w:color w:val="auto"/>
                <w:sz w:val="21"/>
                <w:szCs w:val="21"/>
                <w:highlight w:val="none"/>
              </w:rPr>
            </w:pPr>
          </w:p>
        </w:tc>
        <w:tc>
          <w:tcPr>
            <w:tcW w:w="883" w:type="pct"/>
            <w:vMerge w:val="restart"/>
            <w:vAlign w:val="center"/>
          </w:tcPr>
          <w:p>
            <w:pPr>
              <w:widowControl/>
              <w:spacing w:line="360" w:lineRule="auto"/>
              <w:ind w:firstLine="49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配套设施</w:t>
            </w:r>
          </w:p>
        </w:tc>
        <w:tc>
          <w:tcPr>
            <w:tcW w:w="1180" w:type="pct"/>
            <w:vAlign w:val="center"/>
          </w:tcPr>
          <w:p>
            <w:pPr>
              <w:widowControl/>
              <w:spacing w:line="360" w:lineRule="auto"/>
              <w:ind w:firstLine="49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w:t>
            </w:r>
          </w:p>
        </w:tc>
        <w:tc>
          <w:tcPr>
            <w:tcW w:w="1970" w:type="pct"/>
            <w:vMerge w:val="restart"/>
            <w:vAlign w:val="center"/>
          </w:tcPr>
          <w:p>
            <w:pPr>
              <w:widowControl/>
              <w:spacing w:line="360" w:lineRule="auto"/>
              <w:ind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达到当地各行业工程建设标准要求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77" w:type="pct"/>
            <w:vMerge w:val="continue"/>
            <w:vAlign w:val="center"/>
          </w:tcPr>
          <w:p>
            <w:pPr>
              <w:widowControl/>
              <w:spacing w:line="360" w:lineRule="auto"/>
              <w:ind w:firstLine="490"/>
              <w:rPr>
                <w:rFonts w:hint="eastAsia" w:ascii="宋体" w:hAnsi="宋体" w:eastAsia="宋体" w:cs="宋体"/>
                <w:color w:val="auto"/>
                <w:sz w:val="21"/>
                <w:szCs w:val="21"/>
                <w:highlight w:val="none"/>
              </w:rPr>
            </w:pPr>
          </w:p>
        </w:tc>
        <w:tc>
          <w:tcPr>
            <w:tcW w:w="488" w:type="pct"/>
            <w:vMerge w:val="continue"/>
            <w:vAlign w:val="center"/>
          </w:tcPr>
          <w:p>
            <w:pPr>
              <w:spacing w:line="360" w:lineRule="auto"/>
              <w:ind w:firstLine="490"/>
              <w:rPr>
                <w:rFonts w:hint="eastAsia" w:ascii="宋体" w:hAnsi="宋体" w:eastAsia="宋体" w:cs="宋体"/>
                <w:color w:val="auto"/>
                <w:sz w:val="21"/>
                <w:szCs w:val="21"/>
                <w:highlight w:val="none"/>
              </w:rPr>
            </w:pPr>
          </w:p>
        </w:tc>
        <w:tc>
          <w:tcPr>
            <w:tcW w:w="883" w:type="pct"/>
            <w:vMerge w:val="continue"/>
            <w:vAlign w:val="center"/>
          </w:tcPr>
          <w:p>
            <w:pPr>
              <w:widowControl/>
              <w:spacing w:line="360" w:lineRule="auto"/>
              <w:ind w:firstLine="490"/>
              <w:jc w:val="center"/>
              <w:rPr>
                <w:rFonts w:hint="eastAsia" w:ascii="宋体" w:hAnsi="宋体" w:eastAsia="宋体" w:cs="宋体"/>
                <w:color w:val="auto"/>
                <w:sz w:val="21"/>
                <w:szCs w:val="21"/>
                <w:highlight w:val="none"/>
              </w:rPr>
            </w:pPr>
          </w:p>
        </w:tc>
        <w:tc>
          <w:tcPr>
            <w:tcW w:w="1180" w:type="pct"/>
            <w:vAlign w:val="center"/>
          </w:tcPr>
          <w:p>
            <w:pPr>
              <w:widowControl/>
              <w:spacing w:line="360" w:lineRule="auto"/>
              <w:ind w:firstLine="49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道路</w:t>
            </w:r>
          </w:p>
        </w:tc>
        <w:tc>
          <w:tcPr>
            <w:tcW w:w="1970" w:type="pct"/>
            <w:vMerge w:val="continue"/>
            <w:vAlign w:val="center"/>
          </w:tcPr>
          <w:p>
            <w:pPr>
              <w:widowControl/>
              <w:spacing w:line="360" w:lineRule="auto"/>
              <w:ind w:firstLine="490"/>
              <w:jc w:val="both"/>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77" w:type="pct"/>
            <w:vMerge w:val="continue"/>
            <w:vAlign w:val="center"/>
          </w:tcPr>
          <w:p>
            <w:pPr>
              <w:widowControl/>
              <w:spacing w:line="360" w:lineRule="auto"/>
              <w:ind w:firstLine="490"/>
              <w:rPr>
                <w:rFonts w:hint="eastAsia" w:ascii="宋体" w:hAnsi="宋体" w:eastAsia="宋体" w:cs="宋体"/>
                <w:color w:val="auto"/>
                <w:sz w:val="21"/>
                <w:szCs w:val="21"/>
                <w:highlight w:val="none"/>
              </w:rPr>
            </w:pPr>
          </w:p>
        </w:tc>
        <w:tc>
          <w:tcPr>
            <w:tcW w:w="488" w:type="pct"/>
            <w:vMerge w:val="continue"/>
            <w:vAlign w:val="center"/>
          </w:tcPr>
          <w:p>
            <w:pPr>
              <w:spacing w:line="360" w:lineRule="auto"/>
              <w:ind w:firstLine="490"/>
              <w:rPr>
                <w:rFonts w:hint="eastAsia" w:ascii="宋体" w:hAnsi="宋体" w:eastAsia="宋体" w:cs="宋体"/>
                <w:color w:val="auto"/>
                <w:sz w:val="21"/>
                <w:szCs w:val="21"/>
                <w:highlight w:val="none"/>
              </w:rPr>
            </w:pPr>
          </w:p>
        </w:tc>
        <w:tc>
          <w:tcPr>
            <w:tcW w:w="883" w:type="pct"/>
            <w:vMerge w:val="continue"/>
            <w:vAlign w:val="center"/>
          </w:tcPr>
          <w:p>
            <w:pPr>
              <w:widowControl/>
              <w:spacing w:line="360" w:lineRule="auto"/>
              <w:ind w:firstLine="490"/>
              <w:jc w:val="center"/>
              <w:rPr>
                <w:rFonts w:hint="eastAsia" w:ascii="宋体" w:hAnsi="宋体" w:eastAsia="宋体" w:cs="宋体"/>
                <w:color w:val="auto"/>
                <w:sz w:val="21"/>
                <w:szCs w:val="21"/>
                <w:highlight w:val="none"/>
              </w:rPr>
            </w:pPr>
          </w:p>
        </w:tc>
        <w:tc>
          <w:tcPr>
            <w:tcW w:w="1180" w:type="pct"/>
            <w:vAlign w:val="center"/>
          </w:tcPr>
          <w:p>
            <w:pPr>
              <w:widowControl/>
              <w:spacing w:line="360" w:lineRule="auto"/>
              <w:ind w:firstLine="49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林网</w:t>
            </w:r>
          </w:p>
        </w:tc>
        <w:tc>
          <w:tcPr>
            <w:tcW w:w="1970" w:type="pct"/>
            <w:vMerge w:val="continue"/>
            <w:vAlign w:val="center"/>
          </w:tcPr>
          <w:p>
            <w:pPr>
              <w:widowControl/>
              <w:spacing w:line="360" w:lineRule="auto"/>
              <w:ind w:firstLine="490"/>
              <w:jc w:val="both"/>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77" w:type="pct"/>
            <w:vMerge w:val="continue"/>
            <w:vAlign w:val="center"/>
          </w:tcPr>
          <w:p>
            <w:pPr>
              <w:widowControl/>
              <w:spacing w:line="360" w:lineRule="auto"/>
              <w:ind w:firstLine="490"/>
              <w:rPr>
                <w:rFonts w:hint="eastAsia" w:ascii="宋体" w:hAnsi="宋体" w:eastAsia="宋体" w:cs="宋体"/>
                <w:color w:val="auto"/>
                <w:sz w:val="21"/>
                <w:szCs w:val="21"/>
                <w:highlight w:val="none"/>
              </w:rPr>
            </w:pPr>
          </w:p>
        </w:tc>
        <w:tc>
          <w:tcPr>
            <w:tcW w:w="488" w:type="pct"/>
            <w:vMerge w:val="continue"/>
            <w:vAlign w:val="center"/>
          </w:tcPr>
          <w:p>
            <w:pPr>
              <w:spacing w:line="360" w:lineRule="auto"/>
              <w:ind w:firstLine="490"/>
              <w:rPr>
                <w:rFonts w:hint="eastAsia" w:ascii="宋体" w:hAnsi="宋体" w:eastAsia="宋体" w:cs="宋体"/>
                <w:color w:val="auto"/>
                <w:sz w:val="21"/>
                <w:szCs w:val="21"/>
                <w:highlight w:val="none"/>
              </w:rPr>
            </w:pPr>
          </w:p>
        </w:tc>
        <w:tc>
          <w:tcPr>
            <w:tcW w:w="883" w:type="pct"/>
            <w:vAlign w:val="center"/>
          </w:tcPr>
          <w:p>
            <w:pPr>
              <w:widowControl/>
              <w:spacing w:line="360" w:lineRule="auto"/>
              <w:ind w:firstLine="49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生产力水平</w:t>
            </w:r>
          </w:p>
        </w:tc>
        <w:tc>
          <w:tcPr>
            <w:tcW w:w="1180" w:type="pct"/>
            <w:vAlign w:val="center"/>
          </w:tcPr>
          <w:p>
            <w:pPr>
              <w:widowControl/>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产量/（kg/hm2）</w:t>
            </w:r>
          </w:p>
        </w:tc>
        <w:tc>
          <w:tcPr>
            <w:tcW w:w="1970" w:type="pct"/>
            <w:vAlign w:val="center"/>
          </w:tcPr>
          <w:p>
            <w:pPr>
              <w:widowControl/>
              <w:spacing w:line="360" w:lineRule="auto"/>
              <w:ind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三年后达到周边地区同等土地利用类型水平</w:t>
            </w:r>
          </w:p>
        </w:tc>
      </w:tr>
    </w:tbl>
    <w:tbl>
      <w:tblPr>
        <w:tblStyle w:val="52"/>
        <w:tblpPr w:leftFromText="180" w:rightFromText="180" w:vertAnchor="text" w:horzAnchor="page" w:tblpX="1130" w:tblpY="456"/>
        <w:tblOverlap w:val="never"/>
        <w:tblW w:w="5123" w:type="pct"/>
        <w:tblInd w:w="0" w:type="dxa"/>
        <w:tblLayout w:type="autofit"/>
        <w:tblCellMar>
          <w:top w:w="15" w:type="dxa"/>
          <w:left w:w="15" w:type="dxa"/>
          <w:bottom w:w="15" w:type="dxa"/>
          <w:right w:w="15" w:type="dxa"/>
        </w:tblCellMar>
      </w:tblPr>
      <w:tblGrid>
        <w:gridCol w:w="628"/>
        <w:gridCol w:w="585"/>
        <w:gridCol w:w="1492"/>
        <w:gridCol w:w="2089"/>
        <w:gridCol w:w="5227"/>
      </w:tblGrid>
      <w:tr>
        <w:tblPrEx>
          <w:tblCellMar>
            <w:top w:w="15" w:type="dxa"/>
            <w:left w:w="15" w:type="dxa"/>
            <w:bottom w:w="15" w:type="dxa"/>
            <w:right w:w="15" w:type="dxa"/>
          </w:tblCellMar>
        </w:tblPrEx>
        <w:trPr>
          <w:trHeight w:val="285" w:hRule="atLeast"/>
        </w:trPr>
        <w:tc>
          <w:tcPr>
            <w:tcW w:w="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复垦方向</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指标类型</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基本指标</w:t>
            </w:r>
          </w:p>
        </w:tc>
        <w:tc>
          <w:tcPr>
            <w:tcW w:w="26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控制标准</w:t>
            </w:r>
          </w:p>
        </w:tc>
      </w:tr>
      <w:tr>
        <w:tblPrEx>
          <w:tblCellMar>
            <w:top w:w="15" w:type="dxa"/>
            <w:left w:w="15" w:type="dxa"/>
            <w:bottom w:w="15" w:type="dxa"/>
            <w:right w:w="15" w:type="dxa"/>
          </w:tblCellMar>
        </w:tblPrEx>
        <w:trPr>
          <w:trHeight w:val="285" w:hRule="atLeast"/>
        </w:trPr>
        <w:tc>
          <w:tcPr>
            <w:tcW w:w="313" w:type="pct"/>
            <w:vMerge w:val="restart"/>
            <w:tcBorders>
              <w:left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草地</w:t>
            </w:r>
          </w:p>
        </w:tc>
        <w:tc>
          <w:tcPr>
            <w:tcW w:w="2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其他草地</w:t>
            </w:r>
          </w:p>
        </w:tc>
        <w:tc>
          <w:tcPr>
            <w:tcW w:w="7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土壤质量</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有效土层厚度(cm)</w:t>
            </w:r>
          </w:p>
        </w:tc>
        <w:tc>
          <w:tcPr>
            <w:tcW w:w="2607" w:type="pct"/>
            <w:tcBorders>
              <w:top w:val="single" w:color="auto"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r>
      <w:tr>
        <w:tblPrEx>
          <w:tblCellMar>
            <w:top w:w="15" w:type="dxa"/>
            <w:left w:w="15" w:type="dxa"/>
            <w:bottom w:w="15" w:type="dxa"/>
            <w:right w:w="15" w:type="dxa"/>
          </w:tblCellMar>
        </w:tblPrEx>
        <w:trPr>
          <w:trHeight w:val="285" w:hRule="atLeast"/>
        </w:trPr>
        <w:tc>
          <w:tcPr>
            <w:tcW w:w="313" w:type="pct"/>
            <w:vMerge w:val="continue"/>
            <w:tcBorders>
              <w:left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p>
        </w:tc>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p>
        </w:tc>
        <w:tc>
          <w:tcPr>
            <w:tcW w:w="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土壤容重(g/cm³)</w:t>
            </w:r>
          </w:p>
        </w:tc>
        <w:tc>
          <w:tcPr>
            <w:tcW w:w="26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w:t>
            </w:r>
          </w:p>
        </w:tc>
      </w:tr>
      <w:tr>
        <w:tblPrEx>
          <w:tblCellMar>
            <w:top w:w="15" w:type="dxa"/>
            <w:left w:w="15" w:type="dxa"/>
            <w:bottom w:w="15" w:type="dxa"/>
            <w:right w:w="15" w:type="dxa"/>
          </w:tblCellMar>
        </w:tblPrEx>
        <w:trPr>
          <w:trHeight w:val="285" w:hRule="atLeast"/>
        </w:trPr>
        <w:tc>
          <w:tcPr>
            <w:tcW w:w="313" w:type="pct"/>
            <w:vMerge w:val="continue"/>
            <w:tcBorders>
              <w:left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p>
        </w:tc>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p>
        </w:tc>
        <w:tc>
          <w:tcPr>
            <w:tcW w:w="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土壤质地</w:t>
            </w:r>
          </w:p>
        </w:tc>
        <w:tc>
          <w:tcPr>
            <w:tcW w:w="26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砂土至壤质粘土</w:t>
            </w:r>
          </w:p>
        </w:tc>
      </w:tr>
      <w:tr>
        <w:tblPrEx>
          <w:tblCellMar>
            <w:top w:w="15" w:type="dxa"/>
            <w:left w:w="15" w:type="dxa"/>
            <w:bottom w:w="15" w:type="dxa"/>
            <w:right w:w="15" w:type="dxa"/>
          </w:tblCellMar>
        </w:tblPrEx>
        <w:trPr>
          <w:trHeight w:val="285" w:hRule="atLeast"/>
        </w:trPr>
        <w:tc>
          <w:tcPr>
            <w:tcW w:w="313" w:type="pct"/>
            <w:vMerge w:val="continue"/>
            <w:tcBorders>
              <w:left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p>
        </w:tc>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p>
        </w:tc>
        <w:tc>
          <w:tcPr>
            <w:tcW w:w="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砾石含量(%)</w:t>
            </w:r>
          </w:p>
        </w:tc>
        <w:tc>
          <w:tcPr>
            <w:tcW w:w="26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r>
      <w:tr>
        <w:tblPrEx>
          <w:tblCellMar>
            <w:top w:w="15" w:type="dxa"/>
            <w:left w:w="15" w:type="dxa"/>
            <w:bottom w:w="15" w:type="dxa"/>
            <w:right w:w="15" w:type="dxa"/>
          </w:tblCellMar>
        </w:tblPrEx>
        <w:trPr>
          <w:trHeight w:val="285" w:hRule="atLeast"/>
        </w:trPr>
        <w:tc>
          <w:tcPr>
            <w:tcW w:w="313" w:type="pct"/>
            <w:vMerge w:val="continue"/>
            <w:tcBorders>
              <w:left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p>
        </w:tc>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p>
        </w:tc>
        <w:tc>
          <w:tcPr>
            <w:tcW w:w="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PH值</w:t>
            </w:r>
          </w:p>
        </w:tc>
        <w:tc>
          <w:tcPr>
            <w:tcW w:w="26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5.0～8.0</w:t>
            </w:r>
          </w:p>
        </w:tc>
      </w:tr>
      <w:tr>
        <w:tblPrEx>
          <w:tblCellMar>
            <w:top w:w="15" w:type="dxa"/>
            <w:left w:w="15" w:type="dxa"/>
            <w:bottom w:w="15" w:type="dxa"/>
            <w:right w:w="15" w:type="dxa"/>
          </w:tblCellMar>
        </w:tblPrEx>
        <w:trPr>
          <w:trHeight w:val="285" w:hRule="atLeast"/>
        </w:trPr>
        <w:tc>
          <w:tcPr>
            <w:tcW w:w="313" w:type="pct"/>
            <w:vMerge w:val="continue"/>
            <w:tcBorders>
              <w:left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p>
        </w:tc>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p>
        </w:tc>
        <w:tc>
          <w:tcPr>
            <w:tcW w:w="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有机质(%)</w:t>
            </w:r>
          </w:p>
        </w:tc>
        <w:tc>
          <w:tcPr>
            <w:tcW w:w="26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tblPrEx>
          <w:tblCellMar>
            <w:top w:w="15" w:type="dxa"/>
            <w:left w:w="15" w:type="dxa"/>
            <w:bottom w:w="15" w:type="dxa"/>
            <w:right w:w="15" w:type="dxa"/>
          </w:tblCellMar>
        </w:tblPrEx>
        <w:trPr>
          <w:trHeight w:val="285" w:hRule="atLeast"/>
        </w:trPr>
        <w:tc>
          <w:tcPr>
            <w:tcW w:w="313" w:type="pct"/>
            <w:vMerge w:val="continue"/>
            <w:tcBorders>
              <w:left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p>
        </w:tc>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p>
        </w:tc>
        <w:tc>
          <w:tcPr>
            <w:tcW w:w="7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配套设施</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灌溉</w:t>
            </w:r>
          </w:p>
        </w:tc>
        <w:tc>
          <w:tcPr>
            <w:tcW w:w="26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达到当地各行业工程建设标准要求</w:t>
            </w:r>
          </w:p>
        </w:tc>
      </w:tr>
      <w:tr>
        <w:tblPrEx>
          <w:tblCellMar>
            <w:top w:w="15" w:type="dxa"/>
            <w:left w:w="15" w:type="dxa"/>
            <w:bottom w:w="15" w:type="dxa"/>
            <w:right w:w="15" w:type="dxa"/>
          </w:tblCellMar>
        </w:tblPrEx>
        <w:trPr>
          <w:trHeight w:val="285" w:hRule="atLeast"/>
        </w:trPr>
        <w:tc>
          <w:tcPr>
            <w:tcW w:w="313" w:type="pct"/>
            <w:vMerge w:val="continue"/>
            <w:tcBorders>
              <w:left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p>
        </w:tc>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p>
        </w:tc>
        <w:tc>
          <w:tcPr>
            <w:tcW w:w="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jc w:val="center"/>
              <w:rPr>
                <w:rFonts w:hint="eastAsia" w:ascii="宋体" w:hAnsi="宋体" w:eastAsia="宋体" w:cs="宋体"/>
                <w:color w:val="auto"/>
                <w:sz w:val="21"/>
                <w:szCs w:val="21"/>
                <w:highlight w:val="none"/>
              </w:rPr>
            </w:pP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道路</w:t>
            </w:r>
          </w:p>
        </w:tc>
        <w:tc>
          <w:tcPr>
            <w:tcW w:w="2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p>
        </w:tc>
      </w:tr>
      <w:tr>
        <w:tblPrEx>
          <w:tblCellMar>
            <w:top w:w="15" w:type="dxa"/>
            <w:left w:w="15" w:type="dxa"/>
            <w:bottom w:w="15" w:type="dxa"/>
            <w:right w:w="15" w:type="dxa"/>
          </w:tblCellMar>
        </w:tblPrEx>
        <w:trPr>
          <w:trHeight w:val="285" w:hRule="atLeast"/>
        </w:trPr>
        <w:tc>
          <w:tcPr>
            <w:tcW w:w="313" w:type="pct"/>
            <w:vMerge w:val="continue"/>
            <w:tcBorders>
              <w:left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p>
        </w:tc>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p>
        </w:tc>
        <w:tc>
          <w:tcPr>
            <w:tcW w:w="7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生产力水平</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覆盖度%</w:t>
            </w:r>
          </w:p>
        </w:tc>
        <w:tc>
          <w:tcPr>
            <w:tcW w:w="26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w:t>
            </w:r>
          </w:p>
        </w:tc>
      </w:tr>
      <w:tr>
        <w:tblPrEx>
          <w:tblCellMar>
            <w:top w:w="15" w:type="dxa"/>
            <w:left w:w="15" w:type="dxa"/>
            <w:bottom w:w="15" w:type="dxa"/>
            <w:right w:w="15" w:type="dxa"/>
          </w:tblCellMar>
        </w:tblPrEx>
        <w:trPr>
          <w:trHeight w:val="285" w:hRule="atLeast"/>
        </w:trPr>
        <w:tc>
          <w:tcPr>
            <w:tcW w:w="313" w:type="pct"/>
            <w:vMerge w:val="continue"/>
            <w:tcBorders>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p>
        </w:tc>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p>
        </w:tc>
        <w:tc>
          <w:tcPr>
            <w:tcW w:w="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产量(kg/hm²)</w:t>
            </w:r>
          </w:p>
        </w:tc>
        <w:tc>
          <w:tcPr>
            <w:tcW w:w="26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三年后达到周边地区同等土地利用类型水平</w:t>
            </w:r>
          </w:p>
        </w:tc>
      </w:tr>
    </w:tbl>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土地复垦质量控制标准（其他草地）</w:t>
      </w:r>
    </w:p>
    <w:p>
      <w:pPr>
        <w:pStyle w:val="145"/>
        <w:widowControl/>
        <w:numPr>
          <w:ilvl w:val="0"/>
          <w:numId w:val="0"/>
        </w:numPr>
        <w:spacing w:before="156" w:beforeLines="50" w:after="156" w:afterLines="50" w:line="240" w:lineRule="atLeast"/>
        <w:ind w:left="42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土地复垦质量控制标准（水浇地）</w:t>
      </w:r>
    </w:p>
    <w:tbl>
      <w:tblPr>
        <w:tblStyle w:val="52"/>
        <w:tblW w:w="5121" w:type="pct"/>
        <w:tblInd w:w="0" w:type="dxa"/>
        <w:tblLayout w:type="autofit"/>
        <w:tblCellMar>
          <w:top w:w="15" w:type="dxa"/>
          <w:left w:w="15" w:type="dxa"/>
          <w:bottom w:w="15" w:type="dxa"/>
          <w:right w:w="15" w:type="dxa"/>
        </w:tblCellMar>
      </w:tblPr>
      <w:tblGrid>
        <w:gridCol w:w="721"/>
        <w:gridCol w:w="996"/>
        <w:gridCol w:w="1249"/>
        <w:gridCol w:w="2006"/>
        <w:gridCol w:w="5045"/>
      </w:tblGrid>
      <w:tr>
        <w:tblPrEx>
          <w:tblCellMar>
            <w:top w:w="15" w:type="dxa"/>
            <w:left w:w="15" w:type="dxa"/>
            <w:bottom w:w="15" w:type="dxa"/>
            <w:right w:w="15" w:type="dxa"/>
          </w:tblCellMar>
        </w:tblPrEx>
        <w:trPr>
          <w:trHeight w:val="286" w:hRule="atLeast"/>
        </w:trPr>
        <w:tc>
          <w:tcPr>
            <w:tcW w:w="857"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复垦方向</w:t>
            </w:r>
          </w:p>
        </w:tc>
        <w:tc>
          <w:tcPr>
            <w:tcW w:w="6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指标类型</w:t>
            </w:r>
          </w:p>
        </w:tc>
        <w:tc>
          <w:tcPr>
            <w:tcW w:w="100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基本指标</w:t>
            </w:r>
          </w:p>
        </w:tc>
        <w:tc>
          <w:tcPr>
            <w:tcW w:w="25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控制标准</w:t>
            </w:r>
          </w:p>
        </w:tc>
      </w:tr>
      <w:tr>
        <w:tblPrEx>
          <w:tblCellMar>
            <w:top w:w="15" w:type="dxa"/>
            <w:left w:w="15" w:type="dxa"/>
            <w:bottom w:w="15" w:type="dxa"/>
            <w:right w:w="15" w:type="dxa"/>
          </w:tblCellMar>
        </w:tblPrEx>
        <w:trPr>
          <w:trHeight w:val="286" w:hRule="atLeast"/>
        </w:trPr>
        <w:tc>
          <w:tcPr>
            <w:tcW w:w="36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耕地</w:t>
            </w:r>
          </w:p>
        </w:tc>
        <w:tc>
          <w:tcPr>
            <w:tcW w:w="497"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水浇地</w:t>
            </w:r>
          </w:p>
        </w:tc>
        <w:tc>
          <w:tcPr>
            <w:tcW w:w="62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地形</w:t>
            </w:r>
          </w:p>
        </w:tc>
        <w:tc>
          <w:tcPr>
            <w:tcW w:w="100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地面坡度/(°)</w:t>
            </w:r>
          </w:p>
        </w:tc>
        <w:tc>
          <w:tcPr>
            <w:tcW w:w="25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r>
      <w:tr>
        <w:tblPrEx>
          <w:tblCellMar>
            <w:top w:w="15" w:type="dxa"/>
            <w:left w:w="15" w:type="dxa"/>
            <w:bottom w:w="15" w:type="dxa"/>
            <w:right w:w="15" w:type="dxa"/>
          </w:tblCellMar>
        </w:tblPrEx>
        <w:trPr>
          <w:trHeight w:val="286" w:hRule="atLeast"/>
        </w:trPr>
        <w:tc>
          <w:tcPr>
            <w:tcW w:w="360"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c>
          <w:tcPr>
            <w:tcW w:w="497"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c>
          <w:tcPr>
            <w:tcW w:w="62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c>
          <w:tcPr>
            <w:tcW w:w="100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平整度</w:t>
            </w:r>
          </w:p>
        </w:tc>
        <w:tc>
          <w:tcPr>
            <w:tcW w:w="25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田面高差±5cm之内</w:t>
            </w:r>
          </w:p>
        </w:tc>
      </w:tr>
      <w:tr>
        <w:tblPrEx>
          <w:tblCellMar>
            <w:top w:w="15" w:type="dxa"/>
            <w:left w:w="15" w:type="dxa"/>
            <w:bottom w:w="15" w:type="dxa"/>
            <w:right w:w="15" w:type="dxa"/>
          </w:tblCellMar>
        </w:tblPrEx>
        <w:trPr>
          <w:trHeight w:val="286" w:hRule="atLeast"/>
        </w:trPr>
        <w:tc>
          <w:tcPr>
            <w:tcW w:w="360"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c>
          <w:tcPr>
            <w:tcW w:w="497"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c>
          <w:tcPr>
            <w:tcW w:w="62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土壤质量</w:t>
            </w:r>
          </w:p>
        </w:tc>
        <w:tc>
          <w:tcPr>
            <w:tcW w:w="100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有效土层厚度/cm</w:t>
            </w:r>
          </w:p>
        </w:tc>
        <w:tc>
          <w:tcPr>
            <w:tcW w:w="25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r>
      <w:tr>
        <w:tblPrEx>
          <w:tblCellMar>
            <w:top w:w="15" w:type="dxa"/>
            <w:left w:w="15" w:type="dxa"/>
            <w:bottom w:w="15" w:type="dxa"/>
            <w:right w:w="15" w:type="dxa"/>
          </w:tblCellMar>
        </w:tblPrEx>
        <w:trPr>
          <w:trHeight w:val="286" w:hRule="atLeast"/>
        </w:trPr>
        <w:tc>
          <w:tcPr>
            <w:tcW w:w="360"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c>
          <w:tcPr>
            <w:tcW w:w="497"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c>
          <w:tcPr>
            <w:tcW w:w="62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c>
          <w:tcPr>
            <w:tcW w:w="100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土壤容重/(g/cm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25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r>
      <w:tr>
        <w:tblPrEx>
          <w:tblCellMar>
            <w:top w:w="15" w:type="dxa"/>
            <w:left w:w="15" w:type="dxa"/>
            <w:bottom w:w="15" w:type="dxa"/>
            <w:right w:w="15" w:type="dxa"/>
          </w:tblCellMar>
        </w:tblPrEx>
        <w:trPr>
          <w:trHeight w:val="286" w:hRule="atLeast"/>
        </w:trPr>
        <w:tc>
          <w:tcPr>
            <w:tcW w:w="360"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c>
          <w:tcPr>
            <w:tcW w:w="497"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c>
          <w:tcPr>
            <w:tcW w:w="62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c>
          <w:tcPr>
            <w:tcW w:w="100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土壤质地</w:t>
            </w:r>
          </w:p>
        </w:tc>
        <w:tc>
          <w:tcPr>
            <w:tcW w:w="25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砂质壤土至壤质粘土</w:t>
            </w:r>
          </w:p>
        </w:tc>
      </w:tr>
      <w:tr>
        <w:tblPrEx>
          <w:tblCellMar>
            <w:top w:w="15" w:type="dxa"/>
            <w:left w:w="15" w:type="dxa"/>
            <w:bottom w:w="15" w:type="dxa"/>
            <w:right w:w="15" w:type="dxa"/>
          </w:tblCellMar>
        </w:tblPrEx>
        <w:trPr>
          <w:trHeight w:val="286" w:hRule="atLeast"/>
        </w:trPr>
        <w:tc>
          <w:tcPr>
            <w:tcW w:w="360"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c>
          <w:tcPr>
            <w:tcW w:w="497"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c>
          <w:tcPr>
            <w:tcW w:w="62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c>
          <w:tcPr>
            <w:tcW w:w="100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砾石含量/%</w:t>
            </w:r>
          </w:p>
        </w:tc>
        <w:tc>
          <w:tcPr>
            <w:tcW w:w="25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r>
      <w:tr>
        <w:tblPrEx>
          <w:tblCellMar>
            <w:top w:w="15" w:type="dxa"/>
            <w:left w:w="15" w:type="dxa"/>
            <w:bottom w:w="15" w:type="dxa"/>
            <w:right w:w="15" w:type="dxa"/>
          </w:tblCellMar>
        </w:tblPrEx>
        <w:trPr>
          <w:trHeight w:val="286" w:hRule="atLeast"/>
        </w:trPr>
        <w:tc>
          <w:tcPr>
            <w:tcW w:w="360"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c>
          <w:tcPr>
            <w:tcW w:w="497"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c>
          <w:tcPr>
            <w:tcW w:w="62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c>
          <w:tcPr>
            <w:tcW w:w="100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PH值</w:t>
            </w:r>
          </w:p>
        </w:tc>
        <w:tc>
          <w:tcPr>
            <w:tcW w:w="25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5.5～8.0</w:t>
            </w:r>
          </w:p>
        </w:tc>
      </w:tr>
      <w:tr>
        <w:tblPrEx>
          <w:tblCellMar>
            <w:top w:w="15" w:type="dxa"/>
            <w:left w:w="15" w:type="dxa"/>
            <w:bottom w:w="15" w:type="dxa"/>
            <w:right w:w="15" w:type="dxa"/>
          </w:tblCellMar>
        </w:tblPrEx>
        <w:trPr>
          <w:trHeight w:val="286" w:hRule="atLeast"/>
        </w:trPr>
        <w:tc>
          <w:tcPr>
            <w:tcW w:w="360"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c>
          <w:tcPr>
            <w:tcW w:w="497"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c>
          <w:tcPr>
            <w:tcW w:w="62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c>
          <w:tcPr>
            <w:tcW w:w="100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有机质/%</w:t>
            </w:r>
          </w:p>
        </w:tc>
        <w:tc>
          <w:tcPr>
            <w:tcW w:w="25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r>
      <w:tr>
        <w:tblPrEx>
          <w:tblCellMar>
            <w:top w:w="15" w:type="dxa"/>
            <w:left w:w="15" w:type="dxa"/>
            <w:bottom w:w="15" w:type="dxa"/>
            <w:right w:w="15" w:type="dxa"/>
          </w:tblCellMar>
        </w:tblPrEx>
        <w:trPr>
          <w:trHeight w:val="286" w:hRule="atLeast"/>
        </w:trPr>
        <w:tc>
          <w:tcPr>
            <w:tcW w:w="360"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c>
          <w:tcPr>
            <w:tcW w:w="497"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c>
          <w:tcPr>
            <w:tcW w:w="62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c>
          <w:tcPr>
            <w:tcW w:w="100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电导率/(dS/m)</w:t>
            </w:r>
          </w:p>
        </w:tc>
        <w:tc>
          <w:tcPr>
            <w:tcW w:w="25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r>
      <w:tr>
        <w:tblPrEx>
          <w:tblCellMar>
            <w:top w:w="15" w:type="dxa"/>
            <w:left w:w="15" w:type="dxa"/>
            <w:bottom w:w="15" w:type="dxa"/>
            <w:right w:w="15" w:type="dxa"/>
          </w:tblCellMar>
        </w:tblPrEx>
        <w:trPr>
          <w:trHeight w:val="286" w:hRule="atLeast"/>
        </w:trPr>
        <w:tc>
          <w:tcPr>
            <w:tcW w:w="360"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c>
          <w:tcPr>
            <w:tcW w:w="497"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c>
          <w:tcPr>
            <w:tcW w:w="62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配套设施</w:t>
            </w:r>
          </w:p>
        </w:tc>
        <w:tc>
          <w:tcPr>
            <w:tcW w:w="100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灌溉</w:t>
            </w:r>
          </w:p>
        </w:tc>
        <w:tc>
          <w:tcPr>
            <w:tcW w:w="2517"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达到当地各行业工程建设标准要求</w:t>
            </w:r>
          </w:p>
        </w:tc>
      </w:tr>
      <w:tr>
        <w:tblPrEx>
          <w:tblCellMar>
            <w:top w:w="15" w:type="dxa"/>
            <w:left w:w="15" w:type="dxa"/>
            <w:bottom w:w="15" w:type="dxa"/>
            <w:right w:w="15" w:type="dxa"/>
          </w:tblCellMar>
        </w:tblPrEx>
        <w:trPr>
          <w:trHeight w:val="286" w:hRule="atLeast"/>
        </w:trPr>
        <w:tc>
          <w:tcPr>
            <w:tcW w:w="360"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c>
          <w:tcPr>
            <w:tcW w:w="497"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c>
          <w:tcPr>
            <w:tcW w:w="623" w:type="pct"/>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c>
          <w:tcPr>
            <w:tcW w:w="100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w:t>
            </w:r>
          </w:p>
        </w:tc>
        <w:tc>
          <w:tcPr>
            <w:tcW w:w="2517" w:type="pct"/>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r>
      <w:tr>
        <w:tblPrEx>
          <w:tblCellMar>
            <w:top w:w="15" w:type="dxa"/>
            <w:left w:w="15" w:type="dxa"/>
            <w:bottom w:w="15" w:type="dxa"/>
            <w:right w:w="15" w:type="dxa"/>
          </w:tblCellMar>
        </w:tblPrEx>
        <w:trPr>
          <w:trHeight w:val="286" w:hRule="atLeast"/>
        </w:trPr>
        <w:tc>
          <w:tcPr>
            <w:tcW w:w="360"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c>
          <w:tcPr>
            <w:tcW w:w="497"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c>
          <w:tcPr>
            <w:tcW w:w="62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c>
          <w:tcPr>
            <w:tcW w:w="100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道路</w:t>
            </w:r>
          </w:p>
        </w:tc>
        <w:tc>
          <w:tcPr>
            <w:tcW w:w="2517"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r>
      <w:tr>
        <w:tblPrEx>
          <w:tblCellMar>
            <w:top w:w="15" w:type="dxa"/>
            <w:left w:w="15" w:type="dxa"/>
            <w:bottom w:w="15" w:type="dxa"/>
            <w:right w:w="15" w:type="dxa"/>
          </w:tblCellMar>
        </w:tblPrEx>
        <w:trPr>
          <w:trHeight w:val="286" w:hRule="atLeast"/>
        </w:trPr>
        <w:tc>
          <w:tcPr>
            <w:tcW w:w="360"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c>
          <w:tcPr>
            <w:tcW w:w="497"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p>
        </w:tc>
        <w:tc>
          <w:tcPr>
            <w:tcW w:w="6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生产力水平</w:t>
            </w:r>
          </w:p>
        </w:tc>
        <w:tc>
          <w:tcPr>
            <w:tcW w:w="100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产量/(kg/hm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w:t>
            </w:r>
          </w:p>
        </w:tc>
        <w:tc>
          <w:tcPr>
            <w:tcW w:w="25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三年后达到周边地区同等土地利用类型水平</w:t>
            </w:r>
          </w:p>
        </w:tc>
      </w:tr>
    </w:tbl>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（2）灌溉工程建设标准</w:t>
      </w:r>
    </w:p>
    <w:p>
      <w:pPr>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项目区属水资源丰富地区，地形平坦，参照《广东省高标准基本农田建设规范(试行)》的相关规定，确定灌溉设计保证率为90%，农业灌溉用水达到三类水以上。</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（3）排水工程建设标准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排水设施满足场地要求，项目区复垦时排水设施应采用十年一遇设计标准。</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(4)耕地质量标准</w:t>
      </w:r>
    </w:p>
    <w:p>
      <w:pPr>
        <w:spacing w:line="360" w:lineRule="auto"/>
        <w:ind w:firstLine="4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根据耕地质量，土地复垦后，项目区的农用地质量等别不降低，详见下表5-3。</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表1-3项目区复垦后农用地质量等别表</w:t>
      </w:r>
    </w:p>
    <w:tbl>
      <w:tblPr>
        <w:tblStyle w:val="52"/>
        <w:tblW w:w="51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3"/>
        <w:gridCol w:w="934"/>
        <w:gridCol w:w="922"/>
        <w:gridCol w:w="1156"/>
        <w:gridCol w:w="813"/>
        <w:gridCol w:w="1228"/>
        <w:gridCol w:w="1031"/>
        <w:gridCol w:w="815"/>
        <w:gridCol w:w="905"/>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703"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现状地类</w:t>
            </w:r>
          </w:p>
        </w:tc>
        <w:tc>
          <w:tcPr>
            <w:tcW w:w="455"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地形</w:t>
            </w:r>
          </w:p>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坡度</w:t>
            </w:r>
          </w:p>
        </w:tc>
        <w:tc>
          <w:tcPr>
            <w:tcW w:w="449"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田面</w:t>
            </w:r>
          </w:p>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坡度</w:t>
            </w:r>
          </w:p>
        </w:tc>
        <w:tc>
          <w:tcPr>
            <w:tcW w:w="563"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土层</w:t>
            </w:r>
          </w:p>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厚度</w:t>
            </w:r>
          </w:p>
        </w:tc>
        <w:tc>
          <w:tcPr>
            <w:tcW w:w="396"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土壤质地</w:t>
            </w:r>
          </w:p>
        </w:tc>
        <w:tc>
          <w:tcPr>
            <w:tcW w:w="598"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有机质含量（g/kg）</w:t>
            </w:r>
          </w:p>
        </w:tc>
        <w:tc>
          <w:tcPr>
            <w:tcW w:w="502"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pH值</w:t>
            </w:r>
          </w:p>
        </w:tc>
        <w:tc>
          <w:tcPr>
            <w:tcW w:w="397"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排水条件</w:t>
            </w:r>
          </w:p>
        </w:tc>
        <w:tc>
          <w:tcPr>
            <w:tcW w:w="441"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灌溉保证率</w:t>
            </w:r>
          </w:p>
        </w:tc>
        <w:tc>
          <w:tcPr>
            <w:tcW w:w="490"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w:t>
            </w:r>
          </w:p>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利用等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3"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果园和可调整果园</w:t>
            </w:r>
          </w:p>
        </w:tc>
        <w:tc>
          <w:tcPr>
            <w:tcW w:w="455" w:type="pct"/>
            <w:vAlign w:val="center"/>
          </w:tcPr>
          <w:p>
            <w:pPr>
              <w:widowControl/>
              <w:spacing w:line="360" w:lineRule="auto"/>
              <w:ind w:hanging="6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49" w:type="pct"/>
            <w:vAlign w:val="center"/>
          </w:tcPr>
          <w:p>
            <w:pPr>
              <w:widowControl/>
              <w:spacing w:line="360" w:lineRule="auto"/>
              <w:ind w:firstLine="1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63" w:type="pct"/>
            <w:noWrap/>
            <w:vAlign w:val="center"/>
          </w:tcPr>
          <w:p>
            <w:pPr>
              <w:widowControl/>
              <w:spacing w:line="360" w:lineRule="auto"/>
              <w:ind w:firstLine="9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110cm</w:t>
            </w:r>
          </w:p>
        </w:tc>
        <w:tc>
          <w:tcPr>
            <w:tcW w:w="396"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砂土</w:t>
            </w:r>
          </w:p>
        </w:tc>
        <w:tc>
          <w:tcPr>
            <w:tcW w:w="598" w:type="pct"/>
            <w:noWrap/>
            <w:vAlign w:val="center"/>
          </w:tcPr>
          <w:p>
            <w:pPr>
              <w:widowControl/>
              <w:spacing w:line="360" w:lineRule="auto"/>
              <w:ind w:firstLine="49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502" w:type="pct"/>
            <w:vAlign w:val="center"/>
          </w:tcPr>
          <w:p>
            <w:pPr>
              <w:widowControl/>
              <w:spacing w:line="360" w:lineRule="auto"/>
              <w:ind w:firstLine="23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6.7</w:t>
            </w:r>
          </w:p>
        </w:tc>
        <w:tc>
          <w:tcPr>
            <w:tcW w:w="397"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2级</w:t>
            </w:r>
          </w:p>
        </w:tc>
        <w:tc>
          <w:tcPr>
            <w:tcW w:w="441"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1级</w:t>
            </w:r>
          </w:p>
        </w:tc>
        <w:tc>
          <w:tcPr>
            <w:tcW w:w="490"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3"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可调整坑塘水面和可调整果园</w:t>
            </w:r>
          </w:p>
        </w:tc>
        <w:tc>
          <w:tcPr>
            <w:tcW w:w="455" w:type="pct"/>
            <w:vAlign w:val="center"/>
          </w:tcPr>
          <w:p>
            <w:pPr>
              <w:widowControl/>
              <w:spacing w:line="360" w:lineRule="auto"/>
              <w:ind w:hanging="6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49" w:type="pct"/>
            <w:vAlign w:val="center"/>
          </w:tcPr>
          <w:p>
            <w:pPr>
              <w:widowControl/>
              <w:spacing w:line="360" w:lineRule="auto"/>
              <w:ind w:firstLine="1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63" w:type="pct"/>
            <w:noWrap/>
            <w:vAlign w:val="center"/>
          </w:tcPr>
          <w:p>
            <w:pPr>
              <w:widowControl/>
              <w:spacing w:line="360" w:lineRule="auto"/>
              <w:ind w:firstLine="9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90cm</w:t>
            </w:r>
          </w:p>
        </w:tc>
        <w:tc>
          <w:tcPr>
            <w:tcW w:w="396"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砂壌</w:t>
            </w:r>
          </w:p>
        </w:tc>
        <w:tc>
          <w:tcPr>
            <w:tcW w:w="598" w:type="pct"/>
            <w:noWrap/>
            <w:vAlign w:val="center"/>
          </w:tcPr>
          <w:p>
            <w:pPr>
              <w:widowControl/>
              <w:spacing w:line="360" w:lineRule="auto"/>
              <w:ind w:firstLine="49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502" w:type="pct"/>
            <w:vAlign w:val="center"/>
          </w:tcPr>
          <w:p>
            <w:pPr>
              <w:widowControl/>
              <w:spacing w:line="360" w:lineRule="auto"/>
              <w:ind w:firstLine="23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6.7</w:t>
            </w:r>
          </w:p>
        </w:tc>
        <w:tc>
          <w:tcPr>
            <w:tcW w:w="397"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2级</w:t>
            </w:r>
          </w:p>
        </w:tc>
        <w:tc>
          <w:tcPr>
            <w:tcW w:w="441"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1级</w:t>
            </w:r>
          </w:p>
        </w:tc>
        <w:tc>
          <w:tcPr>
            <w:tcW w:w="490"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3"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水浇地</w:t>
            </w:r>
          </w:p>
        </w:tc>
        <w:tc>
          <w:tcPr>
            <w:tcW w:w="455" w:type="pct"/>
            <w:vAlign w:val="center"/>
          </w:tcPr>
          <w:p>
            <w:pPr>
              <w:widowControl/>
              <w:spacing w:line="360" w:lineRule="auto"/>
              <w:ind w:hanging="6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49" w:type="pct"/>
            <w:vAlign w:val="center"/>
          </w:tcPr>
          <w:p>
            <w:pPr>
              <w:widowControl/>
              <w:spacing w:line="360" w:lineRule="auto"/>
              <w:ind w:firstLine="1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63" w:type="pct"/>
            <w:noWrap/>
            <w:vAlign w:val="center"/>
          </w:tcPr>
          <w:p>
            <w:pPr>
              <w:widowControl/>
              <w:spacing w:line="360" w:lineRule="auto"/>
              <w:ind w:firstLine="9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100cm</w:t>
            </w:r>
          </w:p>
        </w:tc>
        <w:tc>
          <w:tcPr>
            <w:tcW w:w="396"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重壤</w:t>
            </w:r>
          </w:p>
        </w:tc>
        <w:tc>
          <w:tcPr>
            <w:tcW w:w="598" w:type="pct"/>
            <w:noWrap/>
            <w:vAlign w:val="center"/>
          </w:tcPr>
          <w:p>
            <w:pPr>
              <w:widowControl/>
              <w:spacing w:line="360" w:lineRule="auto"/>
              <w:ind w:firstLine="49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502" w:type="pct"/>
            <w:vAlign w:val="center"/>
          </w:tcPr>
          <w:p>
            <w:pPr>
              <w:widowControl/>
              <w:spacing w:line="360" w:lineRule="auto"/>
              <w:ind w:firstLine="23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w:t>
            </w:r>
          </w:p>
        </w:tc>
        <w:tc>
          <w:tcPr>
            <w:tcW w:w="397"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2级</w:t>
            </w:r>
          </w:p>
        </w:tc>
        <w:tc>
          <w:tcPr>
            <w:tcW w:w="441"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1级</w:t>
            </w:r>
          </w:p>
        </w:tc>
        <w:tc>
          <w:tcPr>
            <w:tcW w:w="490"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3"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可调整果园</w:t>
            </w:r>
          </w:p>
        </w:tc>
        <w:tc>
          <w:tcPr>
            <w:tcW w:w="455" w:type="pct"/>
            <w:vAlign w:val="center"/>
          </w:tcPr>
          <w:p>
            <w:pPr>
              <w:widowControl/>
              <w:spacing w:line="360" w:lineRule="auto"/>
              <w:ind w:hanging="6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49" w:type="pct"/>
            <w:vAlign w:val="center"/>
          </w:tcPr>
          <w:p>
            <w:pPr>
              <w:widowControl/>
              <w:spacing w:line="360" w:lineRule="auto"/>
              <w:ind w:firstLine="1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63" w:type="pct"/>
            <w:noWrap/>
            <w:vAlign w:val="center"/>
          </w:tcPr>
          <w:p>
            <w:pPr>
              <w:widowControl/>
              <w:spacing w:line="360" w:lineRule="auto"/>
              <w:ind w:firstLine="9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45cm</w:t>
            </w:r>
          </w:p>
        </w:tc>
        <w:tc>
          <w:tcPr>
            <w:tcW w:w="396"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砂土</w:t>
            </w:r>
          </w:p>
        </w:tc>
        <w:tc>
          <w:tcPr>
            <w:tcW w:w="598" w:type="pct"/>
            <w:noWrap/>
            <w:vAlign w:val="center"/>
          </w:tcPr>
          <w:p>
            <w:pPr>
              <w:widowControl/>
              <w:spacing w:line="360" w:lineRule="auto"/>
              <w:ind w:firstLine="49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502" w:type="pct"/>
            <w:vAlign w:val="center"/>
          </w:tcPr>
          <w:p>
            <w:pPr>
              <w:widowControl/>
              <w:spacing w:line="360" w:lineRule="auto"/>
              <w:ind w:firstLine="23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w:t>
            </w:r>
          </w:p>
        </w:tc>
        <w:tc>
          <w:tcPr>
            <w:tcW w:w="397"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2级</w:t>
            </w:r>
          </w:p>
        </w:tc>
        <w:tc>
          <w:tcPr>
            <w:tcW w:w="441"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4级</w:t>
            </w:r>
          </w:p>
        </w:tc>
        <w:tc>
          <w:tcPr>
            <w:tcW w:w="490"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03"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可调整人工牧草地</w:t>
            </w:r>
          </w:p>
        </w:tc>
        <w:tc>
          <w:tcPr>
            <w:tcW w:w="455" w:type="pct"/>
            <w:vAlign w:val="center"/>
          </w:tcPr>
          <w:p>
            <w:pPr>
              <w:widowControl/>
              <w:spacing w:line="360" w:lineRule="auto"/>
              <w:ind w:hanging="6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49" w:type="pct"/>
            <w:vAlign w:val="center"/>
          </w:tcPr>
          <w:p>
            <w:pPr>
              <w:widowControl/>
              <w:spacing w:line="360" w:lineRule="auto"/>
              <w:ind w:firstLine="1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63" w:type="pct"/>
            <w:noWrap/>
            <w:vAlign w:val="center"/>
          </w:tcPr>
          <w:p>
            <w:pPr>
              <w:widowControl/>
              <w:spacing w:line="360" w:lineRule="auto"/>
              <w:ind w:firstLine="9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100cm</w:t>
            </w:r>
          </w:p>
        </w:tc>
        <w:tc>
          <w:tcPr>
            <w:tcW w:w="396"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重壤</w:t>
            </w:r>
          </w:p>
        </w:tc>
        <w:tc>
          <w:tcPr>
            <w:tcW w:w="598" w:type="pct"/>
            <w:noWrap/>
            <w:vAlign w:val="center"/>
          </w:tcPr>
          <w:p>
            <w:pPr>
              <w:widowControl/>
              <w:spacing w:line="360" w:lineRule="auto"/>
              <w:ind w:firstLine="49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502" w:type="pct"/>
            <w:vAlign w:val="center"/>
          </w:tcPr>
          <w:p>
            <w:pPr>
              <w:widowControl/>
              <w:spacing w:line="360" w:lineRule="auto"/>
              <w:ind w:firstLine="23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w:t>
            </w:r>
          </w:p>
        </w:tc>
        <w:tc>
          <w:tcPr>
            <w:tcW w:w="397"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2级</w:t>
            </w:r>
          </w:p>
        </w:tc>
        <w:tc>
          <w:tcPr>
            <w:tcW w:w="441"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4级</w:t>
            </w:r>
          </w:p>
        </w:tc>
        <w:tc>
          <w:tcPr>
            <w:tcW w:w="490" w:type="pct"/>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7等</w:t>
            </w:r>
          </w:p>
        </w:tc>
      </w:tr>
    </w:tbl>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在签订合同之后，到项目竣工之前的时间内，</w:t>
      </w:r>
      <w:r>
        <w:rPr>
          <w:rFonts w:hint="eastAsia" w:hAnsi="宋体" w:cs="宋体"/>
          <w:color w:val="auto"/>
          <w:sz w:val="21"/>
          <w:szCs w:val="21"/>
          <w:highlight w:val="none"/>
          <w:lang w:eastAsia="zh-CN"/>
        </w:rPr>
        <w:t>采购人</w:t>
      </w:r>
      <w:r>
        <w:rPr>
          <w:rFonts w:hint="eastAsia" w:ascii="宋体" w:hAnsi="宋体" w:eastAsia="宋体" w:cs="宋体"/>
          <w:color w:val="auto"/>
          <w:sz w:val="21"/>
          <w:szCs w:val="21"/>
          <w:highlight w:val="none"/>
        </w:rPr>
        <w:t>有权提出因标准和规程发生变化而产生的一些补充修改要求，具体项目由</w:t>
      </w:r>
      <w:r>
        <w:rPr>
          <w:rFonts w:hint="eastAsia" w:hAnsi="宋体" w:cs="宋体"/>
          <w:color w:val="auto"/>
          <w:sz w:val="21"/>
          <w:szCs w:val="21"/>
          <w:highlight w:val="none"/>
          <w:lang w:eastAsia="zh-CN"/>
        </w:rPr>
        <w:t>采购人</w:t>
      </w:r>
      <w:r>
        <w:rPr>
          <w:rFonts w:hint="eastAsia" w:ascii="宋体" w:hAnsi="宋体" w:eastAsia="宋体" w:cs="宋体"/>
          <w:color w:val="auto"/>
          <w:sz w:val="21"/>
          <w:szCs w:val="21"/>
          <w:highlight w:val="none"/>
        </w:rPr>
        <w:t>和中标人共同协商确定。本技术规范书所使用的标准，如遇到与中标人所执行的标准不一致时，按较高的标准执行，但不得低于最新国家标准中标人除按本技术规范、设计文件施工要求外，所有施工及工程质量、验收应符合中华人民共和国国家行业标准、规范要求。包括但不限于：</w:t>
      </w:r>
    </w:p>
    <w:p>
      <w:pPr>
        <w:pStyle w:val="42"/>
        <w:widowControl/>
        <w:tabs>
          <w:tab w:val="left" w:pos="3570"/>
        </w:tabs>
        <w:ind w:left="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《土地利用现状分类》(GB/T21010-2007)；</w:t>
      </w:r>
    </w:p>
    <w:p>
      <w:pPr>
        <w:pStyle w:val="42"/>
        <w:widowControl/>
        <w:tabs>
          <w:tab w:val="left" w:pos="3570"/>
        </w:tabs>
        <w:ind w:left="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《土地开发整理项目资金管理暂行办法》(国土资发〔2000〕282号)；</w:t>
      </w:r>
    </w:p>
    <w:p>
      <w:pPr>
        <w:pStyle w:val="42"/>
        <w:widowControl/>
        <w:tabs>
          <w:tab w:val="left" w:pos="3570"/>
        </w:tabs>
        <w:ind w:left="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《土地开发整理项目规划设计规范》(TD/T1012-2000)；</w:t>
      </w:r>
    </w:p>
    <w:p>
      <w:pPr>
        <w:pStyle w:val="42"/>
        <w:widowControl/>
        <w:tabs>
          <w:tab w:val="left" w:pos="3570"/>
        </w:tabs>
        <w:ind w:left="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《土地开发整理项目预算定额标准》；</w:t>
      </w:r>
    </w:p>
    <w:p>
      <w:pPr>
        <w:pStyle w:val="42"/>
        <w:widowControl/>
        <w:tabs>
          <w:tab w:val="left" w:pos="3570"/>
        </w:tabs>
        <w:ind w:left="0" w:leftChars="0" w:firstLine="210" w:firstLineChars="100"/>
        <w:rPr>
          <w:rFonts w:hAnsi="宋体" w:cs="宋体"/>
          <w:color w:val="auto"/>
          <w:sz w:val="21"/>
          <w:szCs w:val="21"/>
          <w:highlight w:val="none"/>
        </w:rPr>
      </w:pPr>
      <w:r>
        <w:rPr>
          <w:rFonts w:hint="eastAsia" w:hAnsi="宋体" w:cs="宋体"/>
          <w:color w:val="auto"/>
          <w:sz w:val="21"/>
          <w:szCs w:val="21"/>
          <w:highlight w:val="none"/>
        </w:rPr>
        <w:t>《土地复垦技术标准(试行)》(UDC-TD) (1995)；</w:t>
      </w:r>
    </w:p>
    <w:p>
      <w:pPr>
        <w:pStyle w:val="42"/>
        <w:widowControl/>
        <w:tabs>
          <w:tab w:val="left" w:pos="3570"/>
        </w:tabs>
        <w:ind w:left="0" w:leftChars="0" w:firstLine="210" w:firstLineChars="100"/>
        <w:rPr>
          <w:rFonts w:hAnsi="宋体" w:cs="宋体"/>
          <w:color w:val="auto"/>
          <w:sz w:val="21"/>
          <w:szCs w:val="21"/>
          <w:highlight w:val="none"/>
        </w:rPr>
      </w:pPr>
      <w:r>
        <w:rPr>
          <w:rFonts w:hint="eastAsia" w:hAnsi="宋体" w:cs="宋体"/>
          <w:color w:val="auto"/>
          <w:sz w:val="21"/>
          <w:szCs w:val="21"/>
          <w:highlight w:val="none"/>
        </w:rPr>
        <w:t>《土地复垦方案编制规程》(TD/T1031-2011)；</w:t>
      </w:r>
    </w:p>
    <w:p>
      <w:pPr>
        <w:pStyle w:val="42"/>
        <w:widowControl/>
        <w:tabs>
          <w:tab w:val="left" w:pos="3570"/>
        </w:tabs>
        <w:ind w:left="0" w:leftChars="0" w:firstLine="210" w:firstLineChars="100"/>
        <w:rPr>
          <w:rFonts w:hAnsi="宋体" w:cs="宋体"/>
          <w:color w:val="auto"/>
          <w:sz w:val="21"/>
          <w:szCs w:val="21"/>
          <w:highlight w:val="none"/>
        </w:rPr>
      </w:pPr>
      <w:r>
        <w:rPr>
          <w:rFonts w:hint="eastAsia" w:hAnsi="宋体" w:cs="宋体"/>
          <w:color w:val="auto"/>
          <w:sz w:val="21"/>
          <w:szCs w:val="21"/>
          <w:highlight w:val="none"/>
        </w:rPr>
        <w:t>《土地复垦质量控制标准》(TD/T 1036-2013)；</w:t>
      </w:r>
    </w:p>
    <w:p>
      <w:pPr>
        <w:pStyle w:val="42"/>
        <w:widowControl/>
        <w:tabs>
          <w:tab w:val="left" w:pos="3570"/>
        </w:tabs>
        <w:ind w:left="0" w:leftChars="0" w:firstLine="210" w:firstLineChars="100"/>
        <w:rPr>
          <w:rFonts w:hAnsi="宋体" w:cs="宋体"/>
          <w:color w:val="auto"/>
          <w:sz w:val="21"/>
          <w:szCs w:val="21"/>
          <w:highlight w:val="none"/>
        </w:rPr>
      </w:pPr>
      <w:r>
        <w:rPr>
          <w:rFonts w:hint="eastAsia" w:hAnsi="宋体" w:cs="宋体"/>
          <w:color w:val="auto"/>
          <w:sz w:val="21"/>
          <w:szCs w:val="21"/>
          <w:highlight w:val="none"/>
        </w:rPr>
        <w:t>《农用地质量分等规程》(GB/28407-2012)；</w:t>
      </w:r>
    </w:p>
    <w:p>
      <w:pPr>
        <w:pStyle w:val="42"/>
        <w:widowControl/>
        <w:tabs>
          <w:tab w:val="left" w:pos="3570"/>
        </w:tabs>
        <w:ind w:left="0" w:leftChars="0" w:firstLine="210" w:firstLineChars="100"/>
        <w:rPr>
          <w:rFonts w:hAnsi="宋体" w:cs="宋体"/>
          <w:color w:val="auto"/>
          <w:sz w:val="21"/>
          <w:szCs w:val="21"/>
          <w:highlight w:val="none"/>
        </w:rPr>
      </w:pPr>
      <w:r>
        <w:rPr>
          <w:rFonts w:hint="eastAsia" w:hAnsi="宋体" w:cs="宋体"/>
          <w:color w:val="auto"/>
          <w:sz w:val="21"/>
          <w:szCs w:val="21"/>
          <w:highlight w:val="none"/>
        </w:rPr>
        <w:t>《灌溉与排水工程设计规范》(GB/50288-99)；</w:t>
      </w:r>
    </w:p>
    <w:p>
      <w:pPr>
        <w:pStyle w:val="42"/>
        <w:widowControl/>
        <w:tabs>
          <w:tab w:val="left" w:pos="3570"/>
        </w:tabs>
        <w:ind w:left="0" w:leftChars="0" w:firstLine="210" w:firstLineChars="100"/>
        <w:rPr>
          <w:rFonts w:hAnsi="宋体" w:cs="宋体"/>
          <w:color w:val="auto"/>
          <w:sz w:val="21"/>
          <w:szCs w:val="21"/>
          <w:highlight w:val="none"/>
        </w:rPr>
      </w:pPr>
      <w:r>
        <w:rPr>
          <w:rFonts w:hint="eastAsia" w:hAnsi="宋体" w:cs="宋体"/>
          <w:color w:val="auto"/>
          <w:sz w:val="21"/>
          <w:szCs w:val="21"/>
          <w:highlight w:val="none"/>
        </w:rPr>
        <w:t>《地表水环境质量标准》(GB3838-2002)；</w:t>
      </w:r>
    </w:p>
    <w:p>
      <w:pPr>
        <w:pStyle w:val="42"/>
        <w:widowControl/>
        <w:tabs>
          <w:tab w:val="left" w:pos="3570"/>
        </w:tabs>
        <w:ind w:left="0" w:leftChars="0" w:firstLine="210" w:firstLineChars="100"/>
        <w:rPr>
          <w:rFonts w:hAnsi="宋体" w:cs="宋体"/>
          <w:color w:val="auto"/>
          <w:sz w:val="21"/>
          <w:szCs w:val="21"/>
          <w:highlight w:val="none"/>
        </w:rPr>
      </w:pPr>
      <w:r>
        <w:rPr>
          <w:rFonts w:hint="eastAsia" w:hAnsi="宋体" w:cs="宋体"/>
          <w:color w:val="auto"/>
          <w:sz w:val="21"/>
          <w:szCs w:val="21"/>
          <w:highlight w:val="none"/>
        </w:rPr>
        <w:t>《水土保持综合治理技术规范》(GB/T16453.1-6-2008)；</w:t>
      </w:r>
    </w:p>
    <w:p>
      <w:pPr>
        <w:pStyle w:val="42"/>
        <w:widowControl/>
        <w:tabs>
          <w:tab w:val="left" w:pos="3570"/>
        </w:tabs>
        <w:ind w:left="0" w:leftChars="0" w:firstLine="210" w:firstLineChars="100"/>
        <w:rPr>
          <w:rFonts w:hAnsi="宋体" w:cs="宋体"/>
          <w:color w:val="auto"/>
          <w:sz w:val="21"/>
          <w:szCs w:val="21"/>
          <w:highlight w:val="none"/>
        </w:rPr>
      </w:pPr>
      <w:r>
        <w:rPr>
          <w:rFonts w:hint="eastAsia" w:hAnsi="宋体" w:cs="宋体"/>
          <w:color w:val="auto"/>
          <w:sz w:val="21"/>
          <w:szCs w:val="21"/>
          <w:highlight w:val="none"/>
        </w:rPr>
        <w:t>《生态环境状况评价技术规范》(HJ192-2015)；</w:t>
      </w:r>
    </w:p>
    <w:p>
      <w:pPr>
        <w:pStyle w:val="42"/>
        <w:widowControl/>
        <w:tabs>
          <w:tab w:val="left" w:pos="3570"/>
        </w:tabs>
        <w:ind w:left="0" w:leftChars="0" w:firstLine="210" w:firstLineChars="100"/>
        <w:rPr>
          <w:rFonts w:hAnsi="宋体" w:cs="宋体"/>
          <w:color w:val="auto"/>
          <w:sz w:val="21"/>
          <w:szCs w:val="21"/>
          <w:highlight w:val="none"/>
        </w:rPr>
      </w:pPr>
      <w:r>
        <w:rPr>
          <w:rFonts w:hint="eastAsia" w:hAnsi="宋体" w:cs="宋体"/>
          <w:color w:val="auto"/>
          <w:sz w:val="21"/>
          <w:szCs w:val="21"/>
          <w:highlight w:val="none"/>
        </w:rPr>
        <w:t>《土地开发整理工程制图标准》(GDY11-2004)；</w:t>
      </w:r>
    </w:p>
    <w:p>
      <w:pPr>
        <w:pStyle w:val="42"/>
        <w:widowControl/>
        <w:tabs>
          <w:tab w:val="left" w:pos="3570"/>
        </w:tabs>
        <w:ind w:left="0" w:leftChars="0" w:firstLine="210" w:firstLineChars="100"/>
        <w:rPr>
          <w:rFonts w:hint="eastAsia" w:hAnsi="宋体" w:cs="宋体"/>
          <w:color w:val="auto"/>
          <w:sz w:val="21"/>
          <w:szCs w:val="21"/>
          <w:highlight w:val="none"/>
        </w:rPr>
      </w:pPr>
      <w:r>
        <w:rPr>
          <w:rFonts w:hint="eastAsia" w:hAnsi="宋体" w:cs="宋体"/>
          <w:color w:val="auto"/>
          <w:sz w:val="21"/>
          <w:szCs w:val="21"/>
          <w:highlight w:val="none"/>
        </w:rPr>
        <w:t>《广东省土地开发整理工程建设标准》(试行)；</w:t>
      </w:r>
    </w:p>
    <w:p>
      <w:pPr>
        <w:pStyle w:val="42"/>
        <w:widowControl/>
        <w:tabs>
          <w:tab w:val="left" w:pos="3570"/>
        </w:tabs>
        <w:ind w:left="0" w:leftChars="0" w:firstLine="210" w:firstLineChars="100"/>
        <w:rPr>
          <w:rFonts w:hint="eastAsia" w:hAnsi="宋体" w:cs="宋体"/>
          <w:color w:val="auto"/>
          <w:sz w:val="21"/>
          <w:szCs w:val="21"/>
          <w:highlight w:val="none"/>
        </w:rPr>
      </w:pPr>
      <w:r>
        <w:rPr>
          <w:rFonts w:hint="eastAsia" w:hAnsi="宋体" w:cs="宋体"/>
          <w:color w:val="auto"/>
          <w:sz w:val="21"/>
          <w:szCs w:val="21"/>
          <w:highlight w:val="none"/>
        </w:rPr>
        <w:t>《土壤环境质量农用地土壤污染风险管控标准(试行)》(GB15618-2018)。</w:t>
      </w:r>
    </w:p>
    <w:p>
      <w:pPr>
        <w:pStyle w:val="42"/>
        <w:widowControl/>
        <w:tabs>
          <w:tab w:val="left" w:pos="3570"/>
        </w:tabs>
        <w:ind w:left="0" w:leftChars="0" w:firstLine="210" w:firstLineChars="100"/>
        <w:rPr>
          <w:rFonts w:hint="eastAsia" w:hAnsi="宋体" w:cs="宋体"/>
          <w:color w:val="auto"/>
          <w:sz w:val="21"/>
          <w:szCs w:val="21"/>
          <w:highlight w:val="none"/>
        </w:rPr>
      </w:pPr>
      <w:r>
        <w:rPr>
          <w:rFonts w:hint="eastAsia" w:hAnsi="宋体" w:cs="宋体"/>
          <w:color w:val="auto"/>
          <w:sz w:val="21"/>
          <w:szCs w:val="21"/>
          <w:highlight w:val="none"/>
        </w:rPr>
        <w:t>《建筑工程施工质量验收统一标准》（GB50300-2013）；</w:t>
      </w:r>
    </w:p>
    <w:p>
      <w:pPr>
        <w:pStyle w:val="42"/>
        <w:widowControl/>
        <w:tabs>
          <w:tab w:val="left" w:pos="3570"/>
        </w:tabs>
        <w:ind w:left="0" w:leftChars="0" w:firstLine="210" w:firstLineChars="100"/>
        <w:rPr>
          <w:rFonts w:hint="eastAsia" w:hAnsi="宋体" w:cs="宋体"/>
          <w:color w:val="auto"/>
          <w:sz w:val="21"/>
          <w:szCs w:val="21"/>
          <w:highlight w:val="none"/>
        </w:rPr>
      </w:pPr>
      <w:r>
        <w:rPr>
          <w:rFonts w:hint="eastAsia" w:hAnsi="宋体" w:cs="宋体"/>
          <w:color w:val="auto"/>
          <w:sz w:val="21"/>
          <w:szCs w:val="21"/>
          <w:highlight w:val="none"/>
        </w:rPr>
        <w:t>《砌体结构工程施工质量验收规范》（GB50203-2011）；</w:t>
      </w:r>
    </w:p>
    <w:p>
      <w:pPr>
        <w:pStyle w:val="6"/>
        <w:spacing w:line="360" w:lineRule="auto"/>
        <w:rPr>
          <w:rFonts w:hAnsi="宋体" w:cs="宋体"/>
          <w:color w:val="auto"/>
          <w:sz w:val="21"/>
          <w:szCs w:val="21"/>
          <w:highlight w:val="none"/>
        </w:rPr>
      </w:pPr>
      <w:r>
        <w:rPr>
          <w:rFonts w:hint="eastAsia" w:hAnsi="宋体" w:cs="宋体"/>
          <w:color w:val="auto"/>
          <w:sz w:val="21"/>
          <w:szCs w:val="21"/>
          <w:highlight w:val="none"/>
        </w:rPr>
        <w:t>2.2施工要求</w:t>
      </w:r>
    </w:p>
    <w:p>
      <w:pPr>
        <w:pStyle w:val="42"/>
        <w:tabs>
          <w:tab w:val="left" w:pos="3570"/>
        </w:tabs>
        <w:ind w:firstLine="420"/>
        <w:rPr>
          <w:rFonts w:hAnsi="宋体" w:cs="宋体"/>
          <w:color w:val="auto"/>
          <w:sz w:val="21"/>
          <w:szCs w:val="21"/>
          <w:highlight w:val="none"/>
        </w:rPr>
      </w:pPr>
      <w:r>
        <w:rPr>
          <w:rFonts w:hint="eastAsia" w:hAnsi="宋体" w:cs="宋体"/>
          <w:color w:val="auto"/>
          <w:sz w:val="21"/>
          <w:szCs w:val="21"/>
          <w:highlight w:val="none"/>
          <w:lang w:val="en-US" w:eastAsia="zh-CN"/>
        </w:rPr>
        <w:t>(1）</w:t>
      </w:r>
      <w:r>
        <w:rPr>
          <w:rFonts w:hint="eastAsia" w:hAnsi="宋体" w:cs="宋体"/>
          <w:color w:val="auto"/>
          <w:sz w:val="21"/>
          <w:szCs w:val="21"/>
          <w:highlight w:val="none"/>
        </w:rPr>
        <w:t>本工程土地平整主要为耕地的平整，根据设计要求依据现状地形地势，便于农业机械化耕作的农艺要求进行土地平整，平整后为梯田形式每一格田1～10亩，田面按设计高程施工，应便于土方量少、排水顺畅；土地平整田面高差控制在±10cm，耕作层在20cm以上。具体施工工艺流程如下：</w:t>
      </w:r>
    </w:p>
    <w:p>
      <w:pPr>
        <w:pStyle w:val="42"/>
        <w:tabs>
          <w:tab w:val="left" w:pos="3570"/>
        </w:tabs>
        <w:ind w:firstLine="420"/>
        <w:rPr>
          <w:rFonts w:hint="default" w:hAnsi="宋体" w:eastAsia="宋体" w:cs="宋体"/>
          <w:color w:val="auto"/>
          <w:sz w:val="21"/>
          <w:szCs w:val="21"/>
          <w:highlight w:val="none"/>
          <w:lang w:val="en-US" w:eastAsia="zh-CN"/>
        </w:rPr>
      </w:pPr>
      <w:r>
        <w:rPr>
          <w:rFonts w:hint="eastAsia" w:hAnsi="宋体" w:cs="宋体"/>
          <w:color w:val="auto"/>
          <w:sz w:val="21"/>
          <w:szCs w:val="21"/>
          <w:highlight w:val="none"/>
        </w:rPr>
        <w:t>施工准备→</w:t>
      </w:r>
      <w:r>
        <w:rPr>
          <w:rFonts w:hint="eastAsia" w:hAnsi="宋体" w:cs="宋体"/>
          <w:color w:val="auto"/>
          <w:sz w:val="21"/>
          <w:szCs w:val="21"/>
          <w:highlight w:val="none"/>
          <w:lang w:val="en-US" w:eastAsia="zh-CN"/>
        </w:rPr>
        <w:t>根据批复的</w:t>
      </w:r>
      <w:r>
        <w:rPr>
          <w:rFonts w:hint="eastAsia" w:hAnsi="宋体" w:cs="宋体"/>
          <w:color w:val="auto"/>
          <w:sz w:val="21"/>
          <w:szCs w:val="21"/>
          <w:highlight w:val="none"/>
        </w:rPr>
        <w:t>复垦方案</w:t>
      </w:r>
      <w:r>
        <w:rPr>
          <w:rFonts w:hint="eastAsia" w:hAnsi="宋体" w:cs="宋体"/>
          <w:color w:val="auto"/>
          <w:sz w:val="21"/>
          <w:szCs w:val="21"/>
          <w:highlight w:val="none"/>
          <w:lang w:val="en-US" w:eastAsia="zh-CN"/>
        </w:rPr>
        <w:t>形成</w:t>
      </w:r>
      <w:r>
        <w:rPr>
          <w:rFonts w:hint="eastAsia" w:hAnsi="宋体" w:cs="宋体"/>
          <w:color w:val="auto"/>
          <w:sz w:val="21"/>
          <w:szCs w:val="21"/>
          <w:highlight w:val="none"/>
        </w:rPr>
        <w:t>设计图纸→</w:t>
      </w:r>
      <w:r>
        <w:rPr>
          <w:rFonts w:hint="eastAsia" w:hAnsi="宋体" w:cs="宋体"/>
          <w:color w:val="auto"/>
          <w:sz w:val="21"/>
          <w:szCs w:val="21"/>
          <w:highlight w:val="none"/>
          <w:lang w:val="en-US" w:eastAsia="zh-CN"/>
        </w:rPr>
        <w:t>清理残渣废料</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客土回填</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土地翻耕</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土地平整</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土壤施肥</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土壤灌溉</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修建田间道路</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植被种植存活</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交付验收。</w:t>
      </w:r>
    </w:p>
    <w:p>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w:t>
      </w:r>
      <w:r>
        <w:rPr>
          <w:rFonts w:hint="eastAsia" w:hAnsi="宋体" w:cs="宋体"/>
          <w:color w:val="auto"/>
          <w:sz w:val="21"/>
          <w:szCs w:val="21"/>
          <w:highlight w:val="none"/>
        </w:rPr>
        <w:t>项目范围内的原有道路原有管线拆改等涉及到的所有费用由中标人负责，</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只负责协调管理。</w:t>
      </w:r>
    </w:p>
    <w:p>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3</w:t>
      </w:r>
      <w:r>
        <w:rPr>
          <w:rFonts w:hint="eastAsia" w:hAnsi="宋体" w:cs="宋体"/>
          <w:color w:val="auto"/>
          <w:sz w:val="21"/>
          <w:szCs w:val="21"/>
          <w:highlight w:val="none"/>
          <w:lang w:eastAsia="zh-CN"/>
        </w:rPr>
        <w:t>）</w:t>
      </w:r>
      <w:r>
        <w:rPr>
          <w:rFonts w:hint="eastAsia" w:hAnsi="宋体" w:cs="宋体"/>
          <w:color w:val="auto"/>
          <w:sz w:val="21"/>
          <w:szCs w:val="21"/>
          <w:highlight w:val="none"/>
        </w:rPr>
        <w:t>周边居民关系协调：运营单位需要做好敦亲睦邻工作，运输道路上的所有协调工作由中标人负责，协调解决好村民投诉。</w:t>
      </w:r>
    </w:p>
    <w:p>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4</w:t>
      </w:r>
      <w:r>
        <w:rPr>
          <w:rFonts w:hint="eastAsia" w:hAnsi="宋体" w:cs="宋体"/>
          <w:color w:val="auto"/>
          <w:sz w:val="21"/>
          <w:szCs w:val="21"/>
          <w:highlight w:val="none"/>
          <w:lang w:eastAsia="zh-CN"/>
        </w:rPr>
        <w:t>）</w:t>
      </w:r>
      <w:r>
        <w:rPr>
          <w:rFonts w:hint="eastAsia" w:hAnsi="宋体" w:cs="宋体"/>
          <w:color w:val="auto"/>
          <w:sz w:val="21"/>
          <w:szCs w:val="21"/>
          <w:highlight w:val="none"/>
        </w:rPr>
        <w:t>中标人应建立扬尘污染防治公示制度以及现场视频监控管理制度并配备专人负责扬尘防治工作，在项目现场采取分段作业，择时施工，洒水抑尘，冲洗地面，车辆进出等级，车辆出场清洁等有效防尘降尘措施。扬尘污染防治措施费用包含在投标报价中。</w:t>
      </w:r>
    </w:p>
    <w:p>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5</w:t>
      </w:r>
      <w:r>
        <w:rPr>
          <w:rFonts w:hint="eastAsia" w:hAnsi="宋体" w:cs="宋体"/>
          <w:color w:val="auto"/>
          <w:sz w:val="21"/>
          <w:szCs w:val="21"/>
          <w:highlight w:val="none"/>
          <w:lang w:eastAsia="zh-CN"/>
        </w:rPr>
        <w:t>）</w:t>
      </w:r>
      <w:r>
        <w:rPr>
          <w:rFonts w:hint="eastAsia" w:hAnsi="宋体" w:cs="宋体"/>
          <w:color w:val="auto"/>
          <w:sz w:val="21"/>
          <w:szCs w:val="21"/>
          <w:highlight w:val="none"/>
        </w:rPr>
        <w:t>项目过程中因雨天等因素导致临时道路不能正常使用时，由中标人采取措施，以保证临时道路能正常使用，涉及到的所有费用由中标人负责。</w:t>
      </w:r>
    </w:p>
    <w:p>
      <w:pPr>
        <w:pStyle w:val="5"/>
        <w:spacing w:line="360" w:lineRule="auto"/>
        <w:rPr>
          <w:rFonts w:cs="宋体"/>
          <w:color w:val="auto"/>
          <w:sz w:val="21"/>
          <w:szCs w:val="21"/>
          <w:highlight w:val="none"/>
        </w:rPr>
      </w:pPr>
      <w:bookmarkStart w:id="190" w:name="_Toc441234910"/>
      <w:bookmarkStart w:id="191" w:name="_Toc20726403"/>
      <w:r>
        <w:rPr>
          <w:rFonts w:hint="eastAsia" w:cs="宋体"/>
          <w:color w:val="auto"/>
          <w:sz w:val="21"/>
          <w:szCs w:val="21"/>
          <w:highlight w:val="none"/>
        </w:rPr>
        <w:t>3 项目范围及工程量</w:t>
      </w:r>
      <w:bookmarkEnd w:id="190"/>
      <w:bookmarkEnd w:id="191"/>
    </w:p>
    <w:p>
      <w:pPr>
        <w:pStyle w:val="6"/>
        <w:spacing w:line="360" w:lineRule="auto"/>
        <w:rPr>
          <w:rFonts w:hint="eastAsia" w:hAnsi="宋体"/>
          <w:color w:val="auto"/>
          <w:sz w:val="21"/>
          <w:szCs w:val="21"/>
          <w:highlight w:val="none"/>
        </w:rPr>
      </w:pPr>
      <w:bookmarkStart w:id="192" w:name="_Toc441234911"/>
      <w:bookmarkStart w:id="193" w:name="_Toc20726404"/>
      <w:r>
        <w:rPr>
          <w:rFonts w:hint="eastAsia" w:hAnsi="宋体" w:cs="宋体"/>
          <w:color w:val="auto"/>
          <w:sz w:val="21"/>
          <w:szCs w:val="21"/>
          <w:highlight w:val="none"/>
        </w:rPr>
        <w:t>3.1项目范围</w:t>
      </w:r>
      <w:bookmarkEnd w:id="192"/>
      <w:bookmarkEnd w:id="193"/>
      <w:r>
        <w:rPr>
          <w:rFonts w:hint="eastAsia" w:hAnsi="宋体"/>
          <w:color w:val="auto"/>
          <w:sz w:val="21"/>
          <w:szCs w:val="21"/>
          <w:highlight w:val="none"/>
        </w:rPr>
        <w:t>要求</w:t>
      </w:r>
    </w:p>
    <w:p>
      <w:pPr>
        <w:pStyle w:val="6"/>
        <w:spacing w:line="360" w:lineRule="auto"/>
        <w:ind w:firstLine="420" w:firstLineChars="200"/>
        <w:rPr>
          <w:color w:val="auto"/>
          <w:highlight w:val="none"/>
        </w:rPr>
      </w:pPr>
      <w:r>
        <w:rPr>
          <w:rFonts w:hint="eastAsia" w:hAnsi="宋体"/>
          <w:color w:val="auto"/>
          <w:sz w:val="21"/>
          <w:szCs w:val="21"/>
          <w:highlight w:val="none"/>
        </w:rPr>
        <w:t>中标人</w:t>
      </w:r>
      <w:r>
        <w:rPr>
          <w:rFonts w:hint="eastAsia" w:hAnsi="宋体"/>
          <w:color w:val="auto"/>
          <w:sz w:val="21"/>
          <w:szCs w:val="21"/>
          <w:highlight w:val="none"/>
          <w:lang w:val="en-US" w:eastAsia="zh-CN"/>
        </w:rPr>
        <w:t>按照</w:t>
      </w:r>
      <w:r>
        <w:rPr>
          <w:rFonts w:hint="eastAsia" w:hAnsi="宋体"/>
          <w:color w:val="auto"/>
          <w:sz w:val="21"/>
          <w:szCs w:val="21"/>
          <w:highlight w:val="none"/>
        </w:rPr>
        <w:t>本项目条件、</w:t>
      </w:r>
      <w:r>
        <w:rPr>
          <w:rFonts w:hint="eastAsia" w:hAnsi="宋体"/>
          <w:color w:val="auto"/>
          <w:sz w:val="21"/>
          <w:szCs w:val="21"/>
          <w:highlight w:val="none"/>
          <w:lang w:val="en-US" w:eastAsia="zh-CN"/>
        </w:rPr>
        <w:t>图纸、工程量清单</w:t>
      </w:r>
      <w:r>
        <w:rPr>
          <w:rFonts w:hint="eastAsia" w:hAnsi="宋体"/>
          <w:color w:val="auto"/>
          <w:sz w:val="21"/>
          <w:szCs w:val="21"/>
          <w:highlight w:val="none"/>
        </w:rPr>
        <w:t>和复垦方案、有关技术资料，完成莞番高速（寮步段）垃圾填埋场治理项目大岭山镇地块临时用地土地复垦</w:t>
      </w:r>
      <w:r>
        <w:rPr>
          <w:rFonts w:hint="eastAsia" w:hAnsi="宋体"/>
          <w:color w:val="auto"/>
          <w:sz w:val="21"/>
          <w:szCs w:val="21"/>
          <w:highlight w:val="none"/>
          <w:lang w:val="en-US" w:eastAsia="zh-CN"/>
        </w:rPr>
        <w:t>整治</w:t>
      </w:r>
      <w:r>
        <w:rPr>
          <w:rFonts w:hint="eastAsia" w:hAnsi="宋体"/>
          <w:color w:val="auto"/>
          <w:sz w:val="21"/>
          <w:szCs w:val="21"/>
          <w:highlight w:val="none"/>
        </w:rPr>
        <w:t>、莞番高速（寮步段）垃圾填埋场治理项目寮步镇地块二临时用地土地复垦</w:t>
      </w:r>
      <w:r>
        <w:rPr>
          <w:rFonts w:hint="eastAsia" w:hAnsi="宋体"/>
          <w:color w:val="auto"/>
          <w:sz w:val="21"/>
          <w:szCs w:val="21"/>
          <w:highlight w:val="none"/>
          <w:lang w:val="en-US" w:eastAsia="zh-CN"/>
        </w:rPr>
        <w:t>整治</w:t>
      </w:r>
      <w:r>
        <w:rPr>
          <w:rFonts w:hint="eastAsia" w:hAnsi="宋体"/>
          <w:color w:val="auto"/>
          <w:sz w:val="21"/>
          <w:szCs w:val="21"/>
          <w:highlight w:val="none"/>
        </w:rPr>
        <w:t>、莞番高速（寮步段）垃圾填埋场治理项目寮步镇地块一临时用地土地复垦</w:t>
      </w:r>
      <w:r>
        <w:rPr>
          <w:rFonts w:hint="eastAsia" w:hAnsi="宋体"/>
          <w:color w:val="auto"/>
          <w:sz w:val="21"/>
          <w:szCs w:val="21"/>
          <w:highlight w:val="none"/>
          <w:lang w:val="en-US" w:eastAsia="zh-CN"/>
        </w:rPr>
        <w:t>整治；</w:t>
      </w:r>
      <w:bookmarkStart w:id="194" w:name="_Toc441234912"/>
      <w:bookmarkStart w:id="195" w:name="_Toc20726405"/>
      <w:r>
        <w:rPr>
          <w:rFonts w:hint="eastAsia" w:hAnsi="宋体"/>
          <w:color w:val="auto"/>
          <w:sz w:val="21"/>
          <w:szCs w:val="21"/>
          <w:highlight w:val="none"/>
        </w:rPr>
        <w:t>项目竣工验收后，中标人向</w:t>
      </w:r>
      <w:r>
        <w:rPr>
          <w:rFonts w:hint="eastAsia" w:hAnsi="宋体"/>
          <w:color w:val="auto"/>
          <w:sz w:val="21"/>
          <w:szCs w:val="21"/>
          <w:highlight w:val="none"/>
          <w:lang w:eastAsia="zh-CN"/>
        </w:rPr>
        <w:t>采购人</w:t>
      </w:r>
      <w:r>
        <w:rPr>
          <w:rFonts w:hint="eastAsia" w:hAnsi="宋体"/>
          <w:color w:val="auto"/>
          <w:sz w:val="21"/>
          <w:szCs w:val="21"/>
          <w:highlight w:val="none"/>
        </w:rPr>
        <w:t>移交场地和合格的项目竣工资料，</w:t>
      </w:r>
      <w:r>
        <w:rPr>
          <w:rFonts w:hint="eastAsia" w:hAnsi="宋体"/>
          <w:color w:val="auto"/>
          <w:sz w:val="21"/>
          <w:szCs w:val="21"/>
          <w:highlight w:val="none"/>
          <w:lang w:val="en-US" w:eastAsia="zh-CN"/>
        </w:rPr>
        <w:t>并</w:t>
      </w:r>
      <w:r>
        <w:rPr>
          <w:rFonts w:hint="eastAsia" w:hAnsi="宋体"/>
          <w:color w:val="auto"/>
          <w:sz w:val="21"/>
          <w:szCs w:val="21"/>
          <w:highlight w:val="none"/>
        </w:rPr>
        <w:t>包办政府相关部门及第三方复垦验收手续</w:t>
      </w:r>
      <w:r>
        <w:rPr>
          <w:rFonts w:hint="eastAsia" w:hAnsi="宋体"/>
          <w:color w:val="auto"/>
          <w:sz w:val="21"/>
          <w:szCs w:val="21"/>
          <w:highlight w:val="none"/>
          <w:lang w:eastAsia="zh-CN"/>
        </w:rPr>
        <w:t>；</w:t>
      </w:r>
      <w:r>
        <w:rPr>
          <w:rFonts w:hint="eastAsia" w:hAnsi="宋体"/>
          <w:color w:val="auto"/>
          <w:sz w:val="21"/>
          <w:szCs w:val="21"/>
          <w:highlight w:val="none"/>
        </w:rPr>
        <w:t>将所有设备自行拆离现场（此工程范围包工、包料、包工期、包质量、包安全、包文明施工、包竣工验收）。</w:t>
      </w:r>
    </w:p>
    <w:p>
      <w:pPr>
        <w:pStyle w:val="6"/>
        <w:spacing w:line="360" w:lineRule="auto"/>
        <w:rPr>
          <w:rFonts w:hAnsi="宋体" w:cs="宋体"/>
          <w:color w:val="auto"/>
          <w:sz w:val="21"/>
          <w:szCs w:val="21"/>
          <w:highlight w:val="none"/>
        </w:rPr>
      </w:pPr>
      <w:r>
        <w:rPr>
          <w:rFonts w:hint="eastAsia" w:hAnsi="宋体" w:cs="宋体"/>
          <w:color w:val="auto"/>
          <w:sz w:val="21"/>
          <w:szCs w:val="21"/>
          <w:highlight w:val="none"/>
        </w:rPr>
        <w:t>3.2</w:t>
      </w:r>
      <w:bookmarkEnd w:id="194"/>
      <w:r>
        <w:rPr>
          <w:rFonts w:hint="eastAsia" w:hAnsi="宋体" w:cs="宋体"/>
          <w:color w:val="auto"/>
          <w:sz w:val="21"/>
          <w:szCs w:val="21"/>
          <w:highlight w:val="none"/>
        </w:rPr>
        <w:t>工程量</w:t>
      </w:r>
      <w:bookmarkEnd w:id="195"/>
    </w:p>
    <w:p>
      <w:pPr>
        <w:numPr>
          <w:ilvl w:val="-1"/>
          <w:numId w:val="0"/>
        </w:numPr>
        <w:snapToGrid w:val="0"/>
        <w:spacing w:line="360" w:lineRule="auto"/>
        <w:ind w:left="480" w:firstLine="0" w:firstLineChars="0"/>
        <w:rPr>
          <w:rFonts w:hAnsi="宋体" w:cs="宋体"/>
          <w:color w:val="auto"/>
          <w:sz w:val="21"/>
          <w:szCs w:val="21"/>
          <w:highlight w:val="none"/>
        </w:rPr>
      </w:pPr>
      <w:bookmarkStart w:id="196" w:name="_Toc20726406"/>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eastAsia="zh-CN"/>
        </w:rPr>
        <w:t>）</w:t>
      </w:r>
      <w:r>
        <w:rPr>
          <w:rFonts w:hint="eastAsia" w:hAnsi="宋体" w:cs="宋体"/>
          <w:color w:val="auto"/>
          <w:sz w:val="21"/>
          <w:szCs w:val="21"/>
          <w:highlight w:val="none"/>
        </w:rPr>
        <w:t>莞番高速（寮步段）垃圾填埋场治理项目大岭山镇地块临时用地复垦工程</w:t>
      </w:r>
    </w:p>
    <w:tbl>
      <w:tblPr>
        <w:tblStyle w:val="5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2512"/>
        <w:gridCol w:w="1992"/>
        <w:gridCol w:w="1696"/>
        <w:gridCol w:w="2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pct"/>
            <w:vAlign w:val="center"/>
          </w:tcPr>
          <w:p>
            <w:pPr>
              <w:numPr>
                <w:ilvl w:val="255"/>
                <w:numId w:val="0"/>
              </w:numPr>
              <w:snapToGrid w:val="0"/>
              <w:spacing w:line="360" w:lineRule="auto"/>
              <w:jc w:val="center"/>
              <w:rPr>
                <w:rFonts w:hAnsi="宋体" w:cs="宋体"/>
                <w:color w:val="auto"/>
                <w:sz w:val="21"/>
                <w:szCs w:val="21"/>
                <w:highlight w:val="none"/>
              </w:rPr>
            </w:pPr>
            <w:r>
              <w:rPr>
                <w:rFonts w:hint="eastAsia" w:hAnsi="宋体" w:cs="宋体"/>
                <w:color w:val="auto"/>
                <w:sz w:val="21"/>
                <w:szCs w:val="21"/>
                <w:highlight w:val="none"/>
              </w:rPr>
              <w:t>序号</w:t>
            </w:r>
          </w:p>
        </w:tc>
        <w:tc>
          <w:tcPr>
            <w:tcW w:w="1261" w:type="pct"/>
            <w:vAlign w:val="center"/>
          </w:tcPr>
          <w:p>
            <w:pPr>
              <w:numPr>
                <w:ilvl w:val="255"/>
                <w:numId w:val="0"/>
              </w:numPr>
              <w:snapToGrid w:val="0"/>
              <w:spacing w:line="360" w:lineRule="auto"/>
              <w:jc w:val="center"/>
              <w:rPr>
                <w:rFonts w:hAnsi="宋体" w:cs="宋体"/>
                <w:color w:val="auto"/>
                <w:sz w:val="21"/>
                <w:szCs w:val="21"/>
                <w:highlight w:val="none"/>
              </w:rPr>
            </w:pPr>
            <w:r>
              <w:rPr>
                <w:rFonts w:hint="eastAsia" w:hAnsi="宋体" w:cs="宋体"/>
                <w:color w:val="auto"/>
                <w:sz w:val="21"/>
                <w:szCs w:val="21"/>
                <w:highlight w:val="none"/>
              </w:rPr>
              <w:t>单项名称</w:t>
            </w:r>
          </w:p>
        </w:tc>
        <w:tc>
          <w:tcPr>
            <w:tcW w:w="1000" w:type="pct"/>
            <w:vAlign w:val="center"/>
          </w:tcPr>
          <w:p>
            <w:pPr>
              <w:numPr>
                <w:ilvl w:val="255"/>
                <w:numId w:val="0"/>
              </w:numPr>
              <w:snapToGrid w:val="0"/>
              <w:spacing w:line="360" w:lineRule="auto"/>
              <w:jc w:val="center"/>
              <w:rPr>
                <w:rFonts w:hAnsi="宋体" w:cs="宋体"/>
                <w:color w:val="auto"/>
                <w:sz w:val="21"/>
                <w:szCs w:val="21"/>
                <w:highlight w:val="none"/>
              </w:rPr>
            </w:pPr>
            <w:r>
              <w:rPr>
                <w:rFonts w:hint="eastAsia" w:hAnsi="宋体" w:cs="宋体"/>
                <w:color w:val="auto"/>
                <w:sz w:val="21"/>
                <w:szCs w:val="21"/>
                <w:highlight w:val="none"/>
              </w:rPr>
              <w:t>单位</w:t>
            </w:r>
          </w:p>
        </w:tc>
        <w:tc>
          <w:tcPr>
            <w:tcW w:w="851" w:type="pct"/>
            <w:vAlign w:val="center"/>
          </w:tcPr>
          <w:p>
            <w:pPr>
              <w:numPr>
                <w:ilvl w:val="255"/>
                <w:numId w:val="0"/>
              </w:numPr>
              <w:snapToGrid w:val="0"/>
              <w:spacing w:line="360" w:lineRule="auto"/>
              <w:jc w:val="center"/>
              <w:rPr>
                <w:rFonts w:hAnsi="宋体" w:cs="宋体"/>
                <w:color w:val="auto"/>
                <w:sz w:val="21"/>
                <w:szCs w:val="21"/>
                <w:highlight w:val="none"/>
              </w:rPr>
            </w:pPr>
            <w:r>
              <w:rPr>
                <w:rFonts w:hint="eastAsia" w:hAnsi="宋体" w:cs="宋体"/>
                <w:color w:val="auto"/>
                <w:sz w:val="21"/>
                <w:szCs w:val="21"/>
                <w:highlight w:val="none"/>
              </w:rPr>
              <w:t>数量</w:t>
            </w:r>
          </w:p>
        </w:tc>
        <w:tc>
          <w:tcPr>
            <w:tcW w:w="1148" w:type="pct"/>
            <w:vAlign w:val="center"/>
          </w:tcPr>
          <w:p>
            <w:pPr>
              <w:numPr>
                <w:ilvl w:val="255"/>
                <w:numId w:val="0"/>
              </w:numPr>
              <w:snapToGrid w:val="0"/>
              <w:spacing w:line="360" w:lineRule="auto"/>
              <w:jc w:val="center"/>
              <w:rPr>
                <w:rFonts w:hAnsi="宋体" w:cs="宋体"/>
                <w:color w:val="auto"/>
                <w:sz w:val="21"/>
                <w:szCs w:val="21"/>
                <w:highlight w:val="none"/>
              </w:rPr>
            </w:pPr>
            <w:r>
              <w:rPr>
                <w:rFonts w:hint="eastAsia" w:hAnsi="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5"/>
            <w:vAlign w:val="center"/>
          </w:tcPr>
          <w:p>
            <w:pPr>
              <w:numPr>
                <w:ilvl w:val="255"/>
                <w:numId w:val="0"/>
              </w:numPr>
              <w:snapToGrid w:val="0"/>
              <w:spacing w:line="360" w:lineRule="auto"/>
              <w:jc w:val="left"/>
              <w:rPr>
                <w:rFonts w:hAnsi="宋体" w:cs="宋体"/>
                <w:color w:val="auto"/>
                <w:sz w:val="21"/>
                <w:szCs w:val="21"/>
                <w:highlight w:val="none"/>
              </w:rPr>
            </w:pPr>
            <w:r>
              <w:rPr>
                <w:rFonts w:hint="eastAsia" w:hAnsi="宋体" w:cs="宋体"/>
                <w:color w:val="auto"/>
                <w:sz w:val="21"/>
                <w:szCs w:val="21"/>
                <w:highlight w:val="none"/>
              </w:rPr>
              <w:t>一、土方平整工程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pct"/>
            <w:vAlign w:val="center"/>
          </w:tcPr>
          <w:p>
            <w:pPr>
              <w:numPr>
                <w:ilvl w:val="255"/>
                <w:numId w:val="0"/>
              </w:numPr>
              <w:snapToGrid w:val="0"/>
              <w:spacing w:line="360" w:lineRule="auto"/>
              <w:jc w:val="center"/>
              <w:rPr>
                <w:rFonts w:hAnsi="宋体" w:cs="宋体"/>
                <w:color w:val="auto"/>
                <w:sz w:val="21"/>
                <w:szCs w:val="21"/>
                <w:highlight w:val="none"/>
              </w:rPr>
            </w:pPr>
            <w:r>
              <w:rPr>
                <w:rFonts w:hint="eastAsia" w:hAnsi="宋体" w:cs="宋体"/>
                <w:color w:val="auto"/>
                <w:sz w:val="21"/>
                <w:szCs w:val="21"/>
                <w:highlight w:val="none"/>
              </w:rPr>
              <w:t>1.1</w:t>
            </w:r>
          </w:p>
        </w:tc>
        <w:tc>
          <w:tcPr>
            <w:tcW w:w="1261" w:type="pct"/>
            <w:vAlign w:val="center"/>
          </w:tcPr>
          <w:p>
            <w:pPr>
              <w:keepNext w:val="0"/>
              <w:keepLines w:val="0"/>
              <w:widowControl/>
              <w:suppressLineNumbers w:val="0"/>
              <w:jc w:val="left"/>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防渗膜清除</w:t>
            </w:r>
          </w:p>
        </w:tc>
        <w:tc>
          <w:tcPr>
            <w:tcW w:w="1000" w:type="pct"/>
            <w:vAlign w:val="center"/>
          </w:tcPr>
          <w:p>
            <w:pPr>
              <w:keepNext w:val="0"/>
              <w:keepLines w:val="0"/>
              <w:widowControl/>
              <w:suppressLineNumbers w:val="0"/>
              <w:jc w:val="center"/>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51" w:type="pct"/>
            <w:vAlign w:val="center"/>
          </w:tcPr>
          <w:p>
            <w:pPr>
              <w:keepNext w:val="0"/>
              <w:keepLines w:val="0"/>
              <w:widowControl/>
              <w:suppressLineNumbers w:val="0"/>
              <w:jc w:val="right"/>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28861</w:t>
            </w:r>
          </w:p>
        </w:tc>
        <w:tc>
          <w:tcPr>
            <w:tcW w:w="1148" w:type="pct"/>
            <w:vAlign w:val="center"/>
          </w:tcPr>
          <w:p>
            <w:pPr>
              <w:numPr>
                <w:ilvl w:val="255"/>
                <w:numId w:val="0"/>
              </w:numPr>
              <w:snapToGrid w:val="0"/>
              <w:spacing w:line="360" w:lineRule="auto"/>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pct"/>
            <w:vAlign w:val="center"/>
          </w:tcPr>
          <w:p>
            <w:pPr>
              <w:numPr>
                <w:ilvl w:val="255"/>
                <w:numId w:val="0"/>
              </w:numPr>
              <w:snapToGrid w:val="0"/>
              <w:spacing w:line="360" w:lineRule="auto"/>
              <w:jc w:val="center"/>
              <w:rPr>
                <w:rFonts w:hAnsi="宋体" w:cs="宋体"/>
                <w:color w:val="auto"/>
                <w:sz w:val="21"/>
                <w:szCs w:val="21"/>
                <w:highlight w:val="none"/>
              </w:rPr>
            </w:pPr>
            <w:r>
              <w:rPr>
                <w:rFonts w:hint="eastAsia" w:hAnsi="宋体" w:cs="宋体"/>
                <w:color w:val="auto"/>
                <w:sz w:val="21"/>
                <w:szCs w:val="21"/>
                <w:highlight w:val="none"/>
              </w:rPr>
              <w:t>1.2</w:t>
            </w:r>
          </w:p>
        </w:tc>
        <w:tc>
          <w:tcPr>
            <w:tcW w:w="1261" w:type="pct"/>
            <w:vAlign w:val="center"/>
          </w:tcPr>
          <w:p>
            <w:pPr>
              <w:keepNext w:val="0"/>
              <w:keepLines w:val="0"/>
              <w:widowControl/>
              <w:suppressLineNumbers w:val="0"/>
              <w:jc w:val="left"/>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土方场内运输</w:t>
            </w:r>
          </w:p>
        </w:tc>
        <w:tc>
          <w:tcPr>
            <w:tcW w:w="1000" w:type="pct"/>
            <w:vAlign w:val="center"/>
          </w:tcPr>
          <w:p>
            <w:pPr>
              <w:keepNext w:val="0"/>
              <w:keepLines w:val="0"/>
              <w:widowControl/>
              <w:suppressLineNumbers w:val="0"/>
              <w:jc w:val="center"/>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851" w:type="pct"/>
            <w:vAlign w:val="center"/>
          </w:tcPr>
          <w:p>
            <w:pPr>
              <w:keepNext w:val="0"/>
              <w:keepLines w:val="0"/>
              <w:widowControl/>
              <w:suppressLineNumbers w:val="0"/>
              <w:jc w:val="right"/>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79186.8</w:t>
            </w:r>
          </w:p>
        </w:tc>
        <w:tc>
          <w:tcPr>
            <w:tcW w:w="1148" w:type="pct"/>
            <w:vAlign w:val="center"/>
          </w:tcPr>
          <w:p>
            <w:pPr>
              <w:numPr>
                <w:ilvl w:val="255"/>
                <w:numId w:val="0"/>
              </w:numPr>
              <w:snapToGrid w:val="0"/>
              <w:spacing w:line="360" w:lineRule="auto"/>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pct"/>
            <w:vAlign w:val="center"/>
          </w:tcPr>
          <w:p>
            <w:pPr>
              <w:numPr>
                <w:ilvl w:val="255"/>
                <w:numId w:val="0"/>
              </w:numPr>
              <w:snapToGrid w:val="0"/>
              <w:spacing w:line="360" w:lineRule="auto"/>
              <w:jc w:val="center"/>
              <w:rPr>
                <w:rFonts w:hAnsi="宋体" w:cs="宋体"/>
                <w:color w:val="auto"/>
                <w:sz w:val="21"/>
                <w:szCs w:val="21"/>
                <w:highlight w:val="none"/>
              </w:rPr>
            </w:pPr>
            <w:r>
              <w:rPr>
                <w:rFonts w:hint="eastAsia" w:hAnsi="宋体" w:cs="宋体"/>
                <w:color w:val="auto"/>
                <w:sz w:val="21"/>
                <w:szCs w:val="21"/>
                <w:highlight w:val="none"/>
              </w:rPr>
              <w:t>1.3</w:t>
            </w:r>
          </w:p>
        </w:tc>
        <w:tc>
          <w:tcPr>
            <w:tcW w:w="1261" w:type="pct"/>
            <w:vAlign w:val="center"/>
          </w:tcPr>
          <w:p>
            <w:pPr>
              <w:keepNext w:val="0"/>
              <w:keepLines w:val="0"/>
              <w:widowControl/>
              <w:suppressLineNumbers w:val="0"/>
              <w:jc w:val="left"/>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外运土回填压实</w:t>
            </w:r>
          </w:p>
        </w:tc>
        <w:tc>
          <w:tcPr>
            <w:tcW w:w="1000" w:type="pct"/>
            <w:vAlign w:val="center"/>
          </w:tcPr>
          <w:p>
            <w:pPr>
              <w:keepNext w:val="0"/>
              <w:keepLines w:val="0"/>
              <w:widowControl/>
              <w:suppressLineNumbers w:val="0"/>
              <w:jc w:val="center"/>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851" w:type="pct"/>
            <w:vAlign w:val="center"/>
          </w:tcPr>
          <w:p>
            <w:pPr>
              <w:keepNext w:val="0"/>
              <w:keepLines w:val="0"/>
              <w:widowControl/>
              <w:suppressLineNumbers w:val="0"/>
              <w:jc w:val="right"/>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11385.3</w:t>
            </w:r>
          </w:p>
        </w:tc>
        <w:tc>
          <w:tcPr>
            <w:tcW w:w="1148" w:type="pct"/>
            <w:vAlign w:val="center"/>
          </w:tcPr>
          <w:p>
            <w:pPr>
              <w:numPr>
                <w:ilvl w:val="255"/>
                <w:numId w:val="0"/>
              </w:numPr>
              <w:snapToGrid w:val="0"/>
              <w:spacing w:line="360" w:lineRule="auto"/>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pct"/>
            <w:vAlign w:val="center"/>
          </w:tcPr>
          <w:p>
            <w:pPr>
              <w:numPr>
                <w:ilvl w:val="255"/>
                <w:numId w:val="0"/>
              </w:numPr>
              <w:snapToGrid w:val="0"/>
              <w:spacing w:line="360" w:lineRule="auto"/>
              <w:jc w:val="center"/>
              <w:rPr>
                <w:rFonts w:hAnsi="宋体" w:cs="宋体"/>
                <w:color w:val="auto"/>
                <w:sz w:val="21"/>
                <w:szCs w:val="21"/>
                <w:highlight w:val="none"/>
              </w:rPr>
            </w:pPr>
            <w:r>
              <w:rPr>
                <w:rFonts w:hint="eastAsia" w:hAnsi="宋体" w:cs="宋体"/>
                <w:color w:val="auto"/>
                <w:sz w:val="21"/>
                <w:szCs w:val="21"/>
                <w:highlight w:val="none"/>
              </w:rPr>
              <w:t>1.4</w:t>
            </w:r>
          </w:p>
        </w:tc>
        <w:tc>
          <w:tcPr>
            <w:tcW w:w="1261" w:type="pct"/>
            <w:vAlign w:val="center"/>
          </w:tcPr>
          <w:p>
            <w:pPr>
              <w:keepNext w:val="0"/>
              <w:keepLines w:val="0"/>
              <w:widowControl/>
              <w:suppressLineNumbers w:val="0"/>
              <w:jc w:val="left"/>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排灌土沟</w:t>
            </w:r>
          </w:p>
        </w:tc>
        <w:tc>
          <w:tcPr>
            <w:tcW w:w="1000" w:type="pct"/>
            <w:vAlign w:val="center"/>
          </w:tcPr>
          <w:p>
            <w:pPr>
              <w:keepNext w:val="0"/>
              <w:keepLines w:val="0"/>
              <w:widowControl/>
              <w:suppressLineNumbers w:val="0"/>
              <w:jc w:val="center"/>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851" w:type="pct"/>
            <w:vAlign w:val="center"/>
          </w:tcPr>
          <w:p>
            <w:pPr>
              <w:keepNext w:val="0"/>
              <w:keepLines w:val="0"/>
              <w:widowControl/>
              <w:suppressLineNumbers w:val="0"/>
              <w:jc w:val="right"/>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398</w:t>
            </w:r>
          </w:p>
        </w:tc>
        <w:tc>
          <w:tcPr>
            <w:tcW w:w="1148" w:type="pct"/>
            <w:vAlign w:val="center"/>
          </w:tcPr>
          <w:p>
            <w:pPr>
              <w:numPr>
                <w:ilvl w:val="255"/>
                <w:numId w:val="0"/>
              </w:numPr>
              <w:snapToGrid w:val="0"/>
              <w:spacing w:line="360" w:lineRule="auto"/>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pct"/>
            <w:vAlign w:val="center"/>
          </w:tcPr>
          <w:p>
            <w:pPr>
              <w:numPr>
                <w:ilvl w:val="255"/>
                <w:numId w:val="0"/>
              </w:numPr>
              <w:snapToGrid w:val="0"/>
              <w:spacing w:line="360" w:lineRule="auto"/>
              <w:jc w:val="center"/>
              <w:rPr>
                <w:rFonts w:hint="eastAsia" w:hAnsi="宋体" w:eastAsia="宋体" w:cs="宋体"/>
                <w:color w:val="auto"/>
                <w:sz w:val="21"/>
                <w:szCs w:val="21"/>
                <w:highlight w:val="none"/>
                <w:lang w:eastAsia="zh-CN"/>
              </w:rPr>
            </w:pPr>
            <w:r>
              <w:rPr>
                <w:rFonts w:hint="eastAsia" w:hAnsi="宋体" w:cs="宋体"/>
                <w:color w:val="auto"/>
                <w:sz w:val="21"/>
                <w:szCs w:val="21"/>
                <w:highlight w:val="none"/>
                <w:lang w:val="en-US" w:eastAsia="zh-CN"/>
              </w:rPr>
              <w:t>1</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5</w:t>
            </w:r>
          </w:p>
        </w:tc>
        <w:tc>
          <w:tcPr>
            <w:tcW w:w="1261" w:type="pct"/>
            <w:vAlign w:val="center"/>
          </w:tcPr>
          <w:p>
            <w:pPr>
              <w:keepNext w:val="0"/>
              <w:keepLines w:val="0"/>
              <w:widowControl/>
              <w:suppressLineNumbers w:val="0"/>
              <w:jc w:val="left"/>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路床(槽)整形</w:t>
            </w:r>
          </w:p>
        </w:tc>
        <w:tc>
          <w:tcPr>
            <w:tcW w:w="1000" w:type="pct"/>
            <w:vAlign w:val="center"/>
          </w:tcPr>
          <w:p>
            <w:pPr>
              <w:jc w:val="left"/>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51" w:type="pct"/>
            <w:vAlign w:val="center"/>
          </w:tcPr>
          <w:p>
            <w:pPr>
              <w:keepNext w:val="0"/>
              <w:keepLines w:val="0"/>
              <w:widowControl/>
              <w:suppressLineNumbers w:val="0"/>
              <w:jc w:val="center"/>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1313.4</w:t>
            </w:r>
          </w:p>
        </w:tc>
        <w:tc>
          <w:tcPr>
            <w:tcW w:w="1148" w:type="pct"/>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pct"/>
            <w:vAlign w:val="center"/>
          </w:tcPr>
          <w:p>
            <w:pPr>
              <w:numPr>
                <w:ilvl w:val="255"/>
                <w:numId w:val="0"/>
              </w:numPr>
              <w:snapToGrid w:val="0"/>
              <w:spacing w:line="360" w:lineRule="auto"/>
              <w:ind w:left="0" w:leftChars="0" w:firstLine="0" w:firstLineChars="0"/>
              <w:jc w:val="center"/>
              <w:rPr>
                <w:rFonts w:hint="eastAsia" w:hAnsi="宋体" w:eastAsia="宋体" w:cs="宋体"/>
                <w:color w:val="auto"/>
                <w:sz w:val="21"/>
                <w:szCs w:val="21"/>
                <w:highlight w:val="none"/>
                <w:lang w:eastAsia="zh-CN"/>
              </w:rPr>
            </w:pPr>
            <w:r>
              <w:rPr>
                <w:rFonts w:hint="eastAsia" w:hAnsi="宋体" w:cs="宋体"/>
                <w:color w:val="auto"/>
                <w:sz w:val="21"/>
                <w:szCs w:val="21"/>
                <w:highlight w:val="none"/>
                <w:lang w:val="en-US" w:eastAsia="zh-CN"/>
              </w:rPr>
              <w:t>1</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6</w:t>
            </w:r>
          </w:p>
        </w:tc>
        <w:tc>
          <w:tcPr>
            <w:tcW w:w="1261" w:type="pct"/>
            <w:vAlign w:val="center"/>
          </w:tcPr>
          <w:p>
            <w:pPr>
              <w:keepNext w:val="0"/>
              <w:keepLines w:val="0"/>
              <w:widowControl/>
              <w:suppressLineNumbers w:val="0"/>
              <w:jc w:val="left"/>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级配碎石路面</w:t>
            </w:r>
          </w:p>
        </w:tc>
        <w:tc>
          <w:tcPr>
            <w:tcW w:w="1000" w:type="pct"/>
            <w:vAlign w:val="center"/>
          </w:tcPr>
          <w:p>
            <w:pPr>
              <w:keepNext w:val="0"/>
              <w:keepLines w:val="0"/>
              <w:widowControl/>
              <w:suppressLineNumbers w:val="0"/>
              <w:jc w:val="center"/>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51" w:type="pct"/>
            <w:vAlign w:val="center"/>
          </w:tcPr>
          <w:p>
            <w:pPr>
              <w:keepNext w:val="0"/>
              <w:keepLines w:val="0"/>
              <w:widowControl/>
              <w:suppressLineNumbers w:val="0"/>
              <w:jc w:val="right"/>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1313.4</w:t>
            </w:r>
          </w:p>
        </w:tc>
        <w:tc>
          <w:tcPr>
            <w:tcW w:w="1148" w:type="pct"/>
            <w:vAlign w:val="center"/>
          </w:tcPr>
          <w:p>
            <w:pPr>
              <w:numPr>
                <w:ilvl w:val="255"/>
                <w:numId w:val="0"/>
              </w:numPr>
              <w:snapToGrid w:val="0"/>
              <w:spacing w:line="360" w:lineRule="auto"/>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pct"/>
            <w:vAlign w:val="center"/>
          </w:tcPr>
          <w:p>
            <w:pPr>
              <w:numPr>
                <w:ilvl w:val="255"/>
                <w:numId w:val="0"/>
              </w:numPr>
              <w:snapToGrid w:val="0"/>
              <w:spacing w:line="360" w:lineRule="auto"/>
              <w:ind w:left="0" w:leftChars="0" w:firstLine="0" w:firstLineChars="0"/>
              <w:jc w:val="center"/>
              <w:rPr>
                <w:rFonts w:hint="eastAsia" w:hAnsi="宋体" w:eastAsia="宋体" w:cs="宋体"/>
                <w:color w:val="auto"/>
                <w:sz w:val="21"/>
                <w:szCs w:val="21"/>
                <w:highlight w:val="none"/>
                <w:lang w:eastAsia="zh-CN"/>
              </w:rPr>
            </w:pPr>
            <w:r>
              <w:rPr>
                <w:rFonts w:hint="eastAsia" w:hAnsi="宋体" w:cs="宋体"/>
                <w:color w:val="auto"/>
                <w:sz w:val="21"/>
                <w:szCs w:val="21"/>
                <w:highlight w:val="none"/>
                <w:lang w:val="en-US" w:eastAsia="zh-CN"/>
              </w:rPr>
              <w:t>1</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7</w:t>
            </w:r>
          </w:p>
        </w:tc>
        <w:tc>
          <w:tcPr>
            <w:tcW w:w="1261" w:type="pct"/>
            <w:vAlign w:val="center"/>
          </w:tcPr>
          <w:p>
            <w:pPr>
              <w:keepNext w:val="0"/>
              <w:keepLines w:val="0"/>
              <w:widowControl/>
              <w:suppressLineNumbers w:val="0"/>
              <w:jc w:val="left"/>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新建涵管</w:t>
            </w:r>
          </w:p>
        </w:tc>
        <w:tc>
          <w:tcPr>
            <w:tcW w:w="1000" w:type="pct"/>
            <w:vAlign w:val="center"/>
          </w:tcPr>
          <w:p>
            <w:pPr>
              <w:keepNext w:val="0"/>
              <w:keepLines w:val="0"/>
              <w:widowControl/>
              <w:suppressLineNumbers w:val="0"/>
              <w:jc w:val="center"/>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851" w:type="pct"/>
            <w:vAlign w:val="center"/>
          </w:tcPr>
          <w:p>
            <w:pPr>
              <w:keepNext w:val="0"/>
              <w:keepLines w:val="0"/>
              <w:widowControl/>
              <w:suppressLineNumbers w:val="0"/>
              <w:jc w:val="right"/>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148" w:type="pct"/>
            <w:vAlign w:val="center"/>
          </w:tcPr>
          <w:p>
            <w:pPr>
              <w:numPr>
                <w:ilvl w:val="255"/>
                <w:numId w:val="0"/>
              </w:numPr>
              <w:snapToGrid w:val="0"/>
              <w:spacing w:line="360" w:lineRule="auto"/>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pct"/>
            <w:vAlign w:val="center"/>
          </w:tcPr>
          <w:p>
            <w:pPr>
              <w:numPr>
                <w:ilvl w:val="255"/>
                <w:numId w:val="0"/>
              </w:numPr>
              <w:snapToGrid w:val="0"/>
              <w:spacing w:line="360" w:lineRule="auto"/>
              <w:ind w:left="0" w:leftChars="0" w:firstLine="0" w:firstLineChars="0"/>
              <w:jc w:val="center"/>
              <w:rPr>
                <w:rFonts w:hint="default" w:hAnsi="宋体" w:cs="宋体"/>
                <w:color w:val="auto"/>
                <w:sz w:val="21"/>
                <w:szCs w:val="21"/>
                <w:highlight w:val="none"/>
                <w:lang w:val="en-US"/>
              </w:rPr>
            </w:pPr>
            <w:r>
              <w:rPr>
                <w:rFonts w:hint="eastAsia" w:hAnsi="宋体" w:cs="宋体"/>
                <w:color w:val="auto"/>
                <w:sz w:val="21"/>
                <w:szCs w:val="21"/>
                <w:highlight w:val="none"/>
                <w:lang w:val="en-US" w:eastAsia="zh-CN"/>
              </w:rPr>
              <w:t>1</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8</w:t>
            </w:r>
          </w:p>
        </w:tc>
        <w:tc>
          <w:tcPr>
            <w:tcW w:w="1261" w:type="pct"/>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种植甘薯苗</w:t>
            </w:r>
          </w:p>
        </w:tc>
        <w:tc>
          <w:tcPr>
            <w:tcW w:w="1000" w:type="pct"/>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株</w:t>
            </w:r>
          </w:p>
        </w:tc>
        <w:tc>
          <w:tcPr>
            <w:tcW w:w="851" w:type="pct"/>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114948</w:t>
            </w:r>
          </w:p>
        </w:tc>
        <w:tc>
          <w:tcPr>
            <w:tcW w:w="1148" w:type="pct"/>
            <w:vAlign w:val="center"/>
          </w:tcPr>
          <w:p>
            <w:pPr>
              <w:numPr>
                <w:ilvl w:val="255"/>
                <w:numId w:val="0"/>
              </w:numPr>
              <w:snapToGrid w:val="0"/>
              <w:spacing w:line="360" w:lineRule="auto"/>
              <w:jc w:val="center"/>
              <w:rPr>
                <w:rFonts w:hint="eastAsia" w:hAnsi="宋体" w:cs="宋体"/>
                <w:color w:val="auto"/>
                <w:sz w:val="21"/>
                <w:szCs w:val="21"/>
                <w:highlight w:val="none"/>
              </w:rPr>
            </w:pPr>
          </w:p>
        </w:tc>
      </w:tr>
    </w:tbl>
    <w:p>
      <w:pPr>
        <w:pStyle w:val="2"/>
        <w:jc w:val="both"/>
        <w:rPr>
          <w:rFonts w:hAnsi="宋体" w:cs="宋体"/>
          <w:b w:val="0"/>
          <w:bCs w:val="0"/>
          <w:color w:val="auto"/>
          <w:sz w:val="21"/>
          <w:szCs w:val="21"/>
          <w:highlight w:val="none"/>
          <w:lang w:val="en-US"/>
        </w:rPr>
      </w:pPr>
    </w:p>
    <w:p>
      <w:pPr>
        <w:numPr>
          <w:ilvl w:val="-1"/>
          <w:numId w:val="0"/>
        </w:numPr>
        <w:snapToGrid w:val="0"/>
        <w:spacing w:line="360" w:lineRule="auto"/>
        <w:ind w:left="480" w:firstLine="0" w:firstLineChars="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w:t>
      </w:r>
      <w:r>
        <w:rPr>
          <w:rFonts w:hint="eastAsia" w:hAnsi="宋体" w:cs="宋体"/>
          <w:color w:val="auto"/>
          <w:sz w:val="21"/>
          <w:szCs w:val="21"/>
          <w:highlight w:val="none"/>
        </w:rPr>
        <w:t>莞番高速寮步段垃圾填埋场治理项目寮步镇地块二临时用地复垦工程</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2486"/>
        <w:gridCol w:w="1971"/>
        <w:gridCol w:w="1678"/>
        <w:gridCol w:w="2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vAlign w:val="center"/>
          </w:tcPr>
          <w:p>
            <w:pPr>
              <w:numPr>
                <w:ilvl w:val="255"/>
                <w:numId w:val="0"/>
              </w:numPr>
              <w:snapToGrid w:val="0"/>
              <w:spacing w:line="360" w:lineRule="auto"/>
              <w:jc w:val="center"/>
              <w:rPr>
                <w:rFonts w:hAnsi="宋体" w:cs="宋体"/>
                <w:color w:val="auto"/>
                <w:sz w:val="21"/>
                <w:szCs w:val="21"/>
                <w:highlight w:val="none"/>
              </w:rPr>
            </w:pPr>
            <w:r>
              <w:rPr>
                <w:rFonts w:hint="eastAsia" w:hAnsi="宋体" w:cs="宋体"/>
                <w:color w:val="auto"/>
                <w:sz w:val="21"/>
                <w:szCs w:val="21"/>
                <w:highlight w:val="none"/>
              </w:rPr>
              <w:t>序号</w:t>
            </w:r>
          </w:p>
        </w:tc>
        <w:tc>
          <w:tcPr>
            <w:tcW w:w="2486" w:type="dxa"/>
            <w:vAlign w:val="center"/>
          </w:tcPr>
          <w:p>
            <w:pPr>
              <w:numPr>
                <w:ilvl w:val="255"/>
                <w:numId w:val="0"/>
              </w:numPr>
              <w:snapToGrid w:val="0"/>
              <w:spacing w:line="360" w:lineRule="auto"/>
              <w:jc w:val="center"/>
              <w:rPr>
                <w:rFonts w:hAnsi="宋体" w:cs="宋体"/>
                <w:color w:val="auto"/>
                <w:sz w:val="21"/>
                <w:szCs w:val="21"/>
                <w:highlight w:val="none"/>
              </w:rPr>
            </w:pPr>
            <w:r>
              <w:rPr>
                <w:rFonts w:hint="eastAsia" w:hAnsi="宋体" w:cs="宋体"/>
                <w:color w:val="auto"/>
                <w:sz w:val="21"/>
                <w:szCs w:val="21"/>
                <w:highlight w:val="none"/>
              </w:rPr>
              <w:t>项目名称</w:t>
            </w:r>
          </w:p>
        </w:tc>
        <w:tc>
          <w:tcPr>
            <w:tcW w:w="1971" w:type="dxa"/>
            <w:vAlign w:val="center"/>
          </w:tcPr>
          <w:p>
            <w:pPr>
              <w:numPr>
                <w:ilvl w:val="255"/>
                <w:numId w:val="0"/>
              </w:numPr>
              <w:snapToGrid w:val="0"/>
              <w:spacing w:line="360" w:lineRule="auto"/>
              <w:jc w:val="center"/>
              <w:rPr>
                <w:rFonts w:hAnsi="宋体" w:cs="宋体"/>
                <w:color w:val="auto"/>
                <w:sz w:val="21"/>
                <w:szCs w:val="21"/>
                <w:highlight w:val="none"/>
              </w:rPr>
            </w:pPr>
            <w:r>
              <w:rPr>
                <w:rFonts w:hint="eastAsia" w:hAnsi="宋体" w:cs="宋体"/>
                <w:color w:val="auto"/>
                <w:sz w:val="21"/>
                <w:szCs w:val="21"/>
                <w:highlight w:val="none"/>
              </w:rPr>
              <w:t>单位</w:t>
            </w:r>
          </w:p>
        </w:tc>
        <w:tc>
          <w:tcPr>
            <w:tcW w:w="1678" w:type="dxa"/>
            <w:vAlign w:val="center"/>
          </w:tcPr>
          <w:p>
            <w:pPr>
              <w:numPr>
                <w:ilvl w:val="255"/>
                <w:numId w:val="0"/>
              </w:numPr>
              <w:snapToGrid w:val="0"/>
              <w:spacing w:line="360" w:lineRule="auto"/>
              <w:jc w:val="center"/>
              <w:rPr>
                <w:rFonts w:hAnsi="宋体" w:cs="宋体"/>
                <w:color w:val="auto"/>
                <w:sz w:val="21"/>
                <w:szCs w:val="21"/>
                <w:highlight w:val="none"/>
              </w:rPr>
            </w:pPr>
            <w:r>
              <w:rPr>
                <w:rFonts w:hint="eastAsia" w:hAnsi="宋体" w:cs="宋体"/>
                <w:color w:val="auto"/>
                <w:sz w:val="21"/>
                <w:szCs w:val="21"/>
                <w:highlight w:val="none"/>
              </w:rPr>
              <w:t>数量</w:t>
            </w:r>
          </w:p>
        </w:tc>
        <w:tc>
          <w:tcPr>
            <w:tcW w:w="2264" w:type="dxa"/>
            <w:vAlign w:val="center"/>
          </w:tcPr>
          <w:p>
            <w:pPr>
              <w:numPr>
                <w:ilvl w:val="255"/>
                <w:numId w:val="0"/>
              </w:numPr>
              <w:snapToGrid w:val="0"/>
              <w:spacing w:line="360" w:lineRule="auto"/>
              <w:jc w:val="center"/>
              <w:rPr>
                <w:rFonts w:hAnsi="宋体" w:cs="宋体"/>
                <w:color w:val="auto"/>
                <w:sz w:val="21"/>
                <w:szCs w:val="21"/>
                <w:highlight w:val="none"/>
              </w:rPr>
            </w:pPr>
            <w:r>
              <w:rPr>
                <w:rFonts w:hint="eastAsia" w:hAnsi="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5"/>
            <w:vAlign w:val="center"/>
          </w:tcPr>
          <w:p>
            <w:pPr>
              <w:numPr>
                <w:ilvl w:val="255"/>
                <w:numId w:val="0"/>
              </w:numPr>
              <w:snapToGrid w:val="0"/>
              <w:spacing w:line="360" w:lineRule="auto"/>
              <w:jc w:val="left"/>
              <w:rPr>
                <w:rFonts w:hAnsi="宋体" w:cs="宋体"/>
                <w:color w:val="auto"/>
                <w:sz w:val="21"/>
                <w:szCs w:val="21"/>
                <w:highlight w:val="none"/>
              </w:rPr>
            </w:pPr>
            <w:r>
              <w:rPr>
                <w:rFonts w:hint="eastAsia" w:hAnsi="宋体" w:cs="宋体"/>
                <w:color w:val="auto"/>
                <w:sz w:val="21"/>
                <w:szCs w:val="21"/>
                <w:highlight w:val="none"/>
              </w:rPr>
              <w:t>一、土方平整工程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vAlign w:val="center"/>
          </w:tcPr>
          <w:p>
            <w:pPr>
              <w:numPr>
                <w:ilvl w:val="255"/>
                <w:numId w:val="0"/>
              </w:numPr>
              <w:snapToGrid w:val="0"/>
              <w:spacing w:line="360" w:lineRule="auto"/>
              <w:jc w:val="center"/>
              <w:rPr>
                <w:rFonts w:hAnsi="宋体" w:cs="宋体"/>
                <w:color w:val="auto"/>
                <w:sz w:val="21"/>
                <w:szCs w:val="21"/>
                <w:highlight w:val="none"/>
              </w:rPr>
            </w:pPr>
            <w:r>
              <w:rPr>
                <w:rFonts w:hint="eastAsia" w:hAnsi="宋体" w:cs="宋体"/>
                <w:color w:val="auto"/>
                <w:sz w:val="21"/>
                <w:szCs w:val="21"/>
                <w:highlight w:val="none"/>
              </w:rPr>
              <w:t>1.1</w:t>
            </w:r>
          </w:p>
        </w:tc>
        <w:tc>
          <w:tcPr>
            <w:tcW w:w="2486" w:type="dxa"/>
            <w:vAlign w:val="center"/>
          </w:tcPr>
          <w:p>
            <w:pPr>
              <w:keepNext w:val="0"/>
              <w:keepLines w:val="0"/>
              <w:widowControl/>
              <w:suppressLineNumbers w:val="0"/>
              <w:jc w:val="left"/>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防渗膜清除</w:t>
            </w:r>
          </w:p>
        </w:tc>
        <w:tc>
          <w:tcPr>
            <w:tcW w:w="1971" w:type="dxa"/>
            <w:vAlign w:val="center"/>
          </w:tcPr>
          <w:p>
            <w:pPr>
              <w:keepNext w:val="0"/>
              <w:keepLines w:val="0"/>
              <w:widowControl/>
              <w:suppressLineNumbers w:val="0"/>
              <w:jc w:val="center"/>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678" w:type="dxa"/>
            <w:vAlign w:val="center"/>
          </w:tcPr>
          <w:p>
            <w:pPr>
              <w:keepNext w:val="0"/>
              <w:keepLines w:val="0"/>
              <w:widowControl/>
              <w:suppressLineNumbers w:val="0"/>
              <w:jc w:val="right"/>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6077</w:t>
            </w:r>
          </w:p>
        </w:tc>
        <w:tc>
          <w:tcPr>
            <w:tcW w:w="2264" w:type="dxa"/>
            <w:vAlign w:val="center"/>
          </w:tcPr>
          <w:p>
            <w:pPr>
              <w:numPr>
                <w:ilvl w:val="255"/>
                <w:numId w:val="0"/>
              </w:numPr>
              <w:snapToGrid w:val="0"/>
              <w:spacing w:line="360" w:lineRule="auto"/>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vAlign w:val="center"/>
          </w:tcPr>
          <w:p>
            <w:pPr>
              <w:numPr>
                <w:ilvl w:val="255"/>
                <w:numId w:val="0"/>
              </w:numPr>
              <w:snapToGrid w:val="0"/>
              <w:spacing w:line="360" w:lineRule="auto"/>
              <w:jc w:val="center"/>
              <w:rPr>
                <w:rFonts w:hAnsi="宋体" w:cs="宋体"/>
                <w:color w:val="auto"/>
                <w:sz w:val="21"/>
                <w:szCs w:val="21"/>
                <w:highlight w:val="none"/>
              </w:rPr>
            </w:pPr>
            <w:r>
              <w:rPr>
                <w:rFonts w:hint="eastAsia" w:hAnsi="宋体" w:cs="宋体"/>
                <w:color w:val="auto"/>
                <w:sz w:val="21"/>
                <w:szCs w:val="21"/>
                <w:highlight w:val="none"/>
              </w:rPr>
              <w:t>1.2</w:t>
            </w:r>
          </w:p>
        </w:tc>
        <w:tc>
          <w:tcPr>
            <w:tcW w:w="2486" w:type="dxa"/>
            <w:vAlign w:val="center"/>
          </w:tcPr>
          <w:p>
            <w:pPr>
              <w:keepNext w:val="0"/>
              <w:keepLines w:val="0"/>
              <w:widowControl/>
              <w:suppressLineNumbers w:val="0"/>
              <w:jc w:val="left"/>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土方场内运输</w:t>
            </w:r>
          </w:p>
        </w:tc>
        <w:tc>
          <w:tcPr>
            <w:tcW w:w="1971" w:type="dxa"/>
            <w:vAlign w:val="center"/>
          </w:tcPr>
          <w:p>
            <w:pPr>
              <w:keepNext w:val="0"/>
              <w:keepLines w:val="0"/>
              <w:widowControl/>
              <w:suppressLineNumbers w:val="0"/>
              <w:jc w:val="center"/>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678" w:type="dxa"/>
            <w:vAlign w:val="center"/>
          </w:tcPr>
          <w:p>
            <w:pPr>
              <w:keepNext w:val="0"/>
              <w:keepLines w:val="0"/>
              <w:widowControl/>
              <w:suppressLineNumbers w:val="0"/>
              <w:jc w:val="right"/>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104.1</w:t>
            </w:r>
          </w:p>
        </w:tc>
        <w:tc>
          <w:tcPr>
            <w:tcW w:w="2264" w:type="dxa"/>
            <w:vAlign w:val="center"/>
          </w:tcPr>
          <w:p>
            <w:pPr>
              <w:numPr>
                <w:ilvl w:val="255"/>
                <w:numId w:val="0"/>
              </w:numPr>
              <w:snapToGrid w:val="0"/>
              <w:spacing w:line="360" w:lineRule="auto"/>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vAlign w:val="center"/>
          </w:tcPr>
          <w:p>
            <w:pPr>
              <w:numPr>
                <w:ilvl w:val="255"/>
                <w:numId w:val="0"/>
              </w:numPr>
              <w:snapToGrid w:val="0"/>
              <w:spacing w:line="360" w:lineRule="auto"/>
              <w:jc w:val="center"/>
              <w:rPr>
                <w:rFonts w:hAnsi="宋体" w:cs="宋体"/>
                <w:color w:val="auto"/>
                <w:sz w:val="21"/>
                <w:szCs w:val="21"/>
                <w:highlight w:val="none"/>
              </w:rPr>
            </w:pPr>
            <w:r>
              <w:rPr>
                <w:rFonts w:hint="eastAsia" w:hAnsi="宋体" w:cs="宋体"/>
                <w:color w:val="auto"/>
                <w:sz w:val="21"/>
                <w:szCs w:val="21"/>
                <w:highlight w:val="none"/>
              </w:rPr>
              <w:t>1.3</w:t>
            </w:r>
          </w:p>
        </w:tc>
        <w:tc>
          <w:tcPr>
            <w:tcW w:w="2486" w:type="dxa"/>
            <w:vAlign w:val="center"/>
          </w:tcPr>
          <w:p>
            <w:pPr>
              <w:keepNext w:val="0"/>
              <w:keepLines w:val="0"/>
              <w:widowControl/>
              <w:suppressLineNumbers w:val="0"/>
              <w:jc w:val="left"/>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外运土回填压实</w:t>
            </w:r>
          </w:p>
        </w:tc>
        <w:tc>
          <w:tcPr>
            <w:tcW w:w="1971" w:type="dxa"/>
            <w:vAlign w:val="center"/>
          </w:tcPr>
          <w:p>
            <w:pPr>
              <w:keepNext w:val="0"/>
              <w:keepLines w:val="0"/>
              <w:widowControl/>
              <w:suppressLineNumbers w:val="0"/>
              <w:jc w:val="center"/>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678" w:type="dxa"/>
            <w:vAlign w:val="center"/>
          </w:tcPr>
          <w:p>
            <w:pPr>
              <w:keepNext w:val="0"/>
              <w:keepLines w:val="0"/>
              <w:widowControl/>
              <w:suppressLineNumbers w:val="0"/>
              <w:jc w:val="right"/>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16572.53</w:t>
            </w:r>
          </w:p>
        </w:tc>
        <w:tc>
          <w:tcPr>
            <w:tcW w:w="2264" w:type="dxa"/>
            <w:vAlign w:val="center"/>
          </w:tcPr>
          <w:p>
            <w:pPr>
              <w:numPr>
                <w:ilvl w:val="255"/>
                <w:numId w:val="0"/>
              </w:numPr>
              <w:snapToGrid w:val="0"/>
              <w:spacing w:line="360" w:lineRule="auto"/>
              <w:jc w:val="center"/>
              <w:rPr>
                <w:rFonts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vAlign w:val="center"/>
          </w:tcPr>
          <w:p>
            <w:pPr>
              <w:numPr>
                <w:ilvl w:val="255"/>
                <w:numId w:val="0"/>
              </w:numPr>
              <w:snapToGrid w:val="0"/>
              <w:spacing w:line="360" w:lineRule="auto"/>
              <w:jc w:val="center"/>
              <w:rPr>
                <w:rFonts w:hint="eastAsia" w:hAnsi="宋体" w:eastAsia="宋体" w:cs="宋体"/>
                <w:color w:val="auto"/>
                <w:sz w:val="21"/>
                <w:szCs w:val="21"/>
                <w:highlight w:val="none"/>
                <w:lang w:eastAsia="zh-CN"/>
              </w:rPr>
            </w:pPr>
            <w:r>
              <w:rPr>
                <w:rFonts w:hint="eastAsia" w:hAnsi="宋体" w:cs="宋体"/>
                <w:color w:val="auto"/>
                <w:sz w:val="21"/>
                <w:szCs w:val="21"/>
                <w:highlight w:val="none"/>
                <w:lang w:val="en-US" w:eastAsia="zh-CN"/>
              </w:rPr>
              <w:t>1</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4</w:t>
            </w:r>
          </w:p>
        </w:tc>
        <w:tc>
          <w:tcPr>
            <w:tcW w:w="2486" w:type="dxa"/>
            <w:vAlign w:val="center"/>
          </w:tcPr>
          <w:p>
            <w:pPr>
              <w:keepNext w:val="0"/>
              <w:keepLines w:val="0"/>
              <w:widowControl/>
              <w:suppressLineNumbers w:val="0"/>
              <w:jc w:val="left"/>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排灌土沟</w:t>
            </w:r>
          </w:p>
        </w:tc>
        <w:tc>
          <w:tcPr>
            <w:tcW w:w="1971" w:type="dxa"/>
            <w:vAlign w:val="center"/>
          </w:tcPr>
          <w:p>
            <w:pPr>
              <w:keepNext w:val="0"/>
              <w:keepLines w:val="0"/>
              <w:widowControl/>
              <w:suppressLineNumbers w:val="0"/>
              <w:jc w:val="center"/>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678" w:type="dxa"/>
            <w:vAlign w:val="center"/>
          </w:tcPr>
          <w:p>
            <w:pPr>
              <w:keepNext w:val="0"/>
              <w:keepLines w:val="0"/>
              <w:widowControl/>
              <w:suppressLineNumbers w:val="0"/>
              <w:jc w:val="right"/>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640</w:t>
            </w:r>
          </w:p>
        </w:tc>
        <w:tc>
          <w:tcPr>
            <w:tcW w:w="2264" w:type="dxa"/>
            <w:vAlign w:val="center"/>
          </w:tcPr>
          <w:p>
            <w:pPr>
              <w:numPr>
                <w:ilvl w:val="255"/>
                <w:numId w:val="0"/>
              </w:numPr>
              <w:snapToGrid w:val="0"/>
              <w:spacing w:line="360" w:lineRule="auto"/>
              <w:jc w:val="center"/>
              <w:rPr>
                <w:rFonts w:hAnsi="宋体" w:cs="宋体"/>
                <w:color w:val="auto"/>
                <w:sz w:val="21"/>
                <w:szCs w:val="21"/>
                <w:highlight w:val="none"/>
              </w:rPr>
            </w:pPr>
            <w:r>
              <w:rPr>
                <w:rFonts w:hint="eastAsia" w:hAnsi="宋体" w:cs="宋体"/>
                <w:color w:val="auto"/>
                <w:sz w:val="21"/>
                <w:szCs w:val="21"/>
                <w:highlight w:val="none"/>
              </w:rPr>
              <w:t>8m*4m*2m，钢筋</w:t>
            </w:r>
            <w:r>
              <w:rPr>
                <w:rFonts w:ascii="Arial" w:hAnsi="Arial" w:cs="Arial"/>
                <w:color w:val="auto"/>
                <w:sz w:val="19"/>
                <w:szCs w:val="19"/>
                <w:highlight w:val="none"/>
                <w:shd w:val="clear" w:color="auto" w:fill="FFFFFF"/>
              </w:rPr>
              <w:t>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vAlign w:val="center"/>
          </w:tcPr>
          <w:p>
            <w:pPr>
              <w:numPr>
                <w:ilvl w:val="255"/>
                <w:numId w:val="0"/>
              </w:numPr>
              <w:snapToGrid w:val="0"/>
              <w:spacing w:line="360" w:lineRule="auto"/>
              <w:jc w:val="center"/>
              <w:rPr>
                <w:rFonts w:hint="eastAsia" w:hAnsi="宋体" w:eastAsia="宋体" w:cs="宋体"/>
                <w:color w:val="auto"/>
                <w:sz w:val="21"/>
                <w:szCs w:val="21"/>
                <w:highlight w:val="none"/>
                <w:lang w:eastAsia="zh-CN"/>
              </w:rPr>
            </w:pPr>
            <w:r>
              <w:rPr>
                <w:rFonts w:hint="eastAsia" w:hAnsi="宋体" w:cs="宋体"/>
                <w:color w:val="auto"/>
                <w:sz w:val="21"/>
                <w:szCs w:val="21"/>
                <w:highlight w:val="none"/>
                <w:lang w:val="en-US" w:eastAsia="zh-CN"/>
              </w:rPr>
              <w:t>1</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5</w:t>
            </w:r>
          </w:p>
        </w:tc>
        <w:tc>
          <w:tcPr>
            <w:tcW w:w="2486" w:type="dxa"/>
            <w:vAlign w:val="center"/>
          </w:tcPr>
          <w:p>
            <w:pPr>
              <w:keepNext w:val="0"/>
              <w:keepLines w:val="0"/>
              <w:widowControl/>
              <w:suppressLineNumbers w:val="0"/>
              <w:jc w:val="left"/>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种植甘薯苗</w:t>
            </w:r>
          </w:p>
        </w:tc>
        <w:tc>
          <w:tcPr>
            <w:tcW w:w="1971" w:type="dxa"/>
            <w:vAlign w:val="center"/>
          </w:tcPr>
          <w:p>
            <w:pPr>
              <w:keepNext w:val="0"/>
              <w:keepLines w:val="0"/>
              <w:widowControl/>
              <w:suppressLineNumbers w:val="0"/>
              <w:jc w:val="center"/>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678" w:type="dxa"/>
            <w:vAlign w:val="center"/>
          </w:tcPr>
          <w:p>
            <w:pPr>
              <w:keepNext w:val="0"/>
              <w:keepLines w:val="0"/>
              <w:widowControl/>
              <w:suppressLineNumbers w:val="0"/>
              <w:jc w:val="right"/>
              <w:textAlignment w:val="center"/>
              <w:rPr>
                <w:rFonts w:hAnsi="宋体" w:cs="宋体"/>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24308</w:t>
            </w:r>
          </w:p>
        </w:tc>
        <w:tc>
          <w:tcPr>
            <w:tcW w:w="2264" w:type="dxa"/>
            <w:vAlign w:val="center"/>
          </w:tcPr>
          <w:p>
            <w:pPr>
              <w:numPr>
                <w:ilvl w:val="255"/>
                <w:numId w:val="0"/>
              </w:numPr>
              <w:snapToGrid w:val="0"/>
              <w:spacing w:line="360" w:lineRule="auto"/>
              <w:jc w:val="center"/>
              <w:rPr>
                <w:rFonts w:hAnsi="宋体" w:cs="宋体"/>
                <w:color w:val="auto"/>
                <w:sz w:val="21"/>
                <w:szCs w:val="21"/>
                <w:highlight w:val="none"/>
              </w:rPr>
            </w:pPr>
            <w:r>
              <w:rPr>
                <w:rFonts w:hint="eastAsia" w:ascii="微软雅黑" w:hAnsi="微软雅黑" w:eastAsia="微软雅黑" w:cs="微软雅黑"/>
                <w:color w:val="auto"/>
                <w:sz w:val="21"/>
                <w:szCs w:val="21"/>
                <w:highlight w:val="none"/>
              </w:rPr>
              <w:t>Ø</w:t>
            </w:r>
            <w:r>
              <w:rPr>
                <w:rFonts w:hint="eastAsia" w:hAnsi="宋体" w:cs="宋体"/>
                <w:color w:val="auto"/>
                <w:sz w:val="21"/>
                <w:szCs w:val="21"/>
                <w:highlight w:val="none"/>
              </w:rPr>
              <w:t>100mmPE软管</w:t>
            </w:r>
          </w:p>
        </w:tc>
      </w:tr>
    </w:tbl>
    <w:p>
      <w:pPr>
        <w:numPr>
          <w:ilvl w:val="255"/>
          <w:numId w:val="0"/>
        </w:numPr>
        <w:snapToGrid w:val="0"/>
        <w:spacing w:line="360" w:lineRule="auto"/>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3</w:t>
      </w:r>
      <w:r>
        <w:rPr>
          <w:rFonts w:hint="eastAsia" w:hAnsi="宋体" w:cs="宋体"/>
          <w:color w:val="auto"/>
          <w:sz w:val="21"/>
          <w:szCs w:val="21"/>
          <w:highlight w:val="none"/>
          <w:lang w:eastAsia="zh-CN"/>
        </w:rPr>
        <w:t>）</w:t>
      </w:r>
      <w:r>
        <w:rPr>
          <w:rFonts w:hint="eastAsia" w:hAnsi="宋体"/>
          <w:color w:val="auto"/>
          <w:sz w:val="21"/>
          <w:szCs w:val="21"/>
          <w:highlight w:val="none"/>
        </w:rPr>
        <w:t>莞番高速寮步段垃圾填埋场治理项目寮步镇地块</w:t>
      </w:r>
      <w:r>
        <w:rPr>
          <w:rFonts w:hint="eastAsia" w:hAnsi="宋体"/>
          <w:color w:val="auto"/>
          <w:sz w:val="21"/>
          <w:szCs w:val="21"/>
          <w:highlight w:val="none"/>
          <w:lang w:val="en-US" w:eastAsia="zh-CN"/>
        </w:rPr>
        <w:t>一</w:t>
      </w:r>
      <w:r>
        <w:rPr>
          <w:rFonts w:hint="eastAsia" w:hAnsi="宋体"/>
          <w:color w:val="auto"/>
          <w:sz w:val="21"/>
          <w:szCs w:val="21"/>
          <w:highlight w:val="none"/>
        </w:rPr>
        <w:t>临时用地复垦工程</w:t>
      </w:r>
    </w:p>
    <w:tbl>
      <w:tblPr>
        <w:tblStyle w:val="52"/>
        <w:tblW w:w="5000" w:type="pct"/>
        <w:tblInd w:w="0" w:type="dxa"/>
        <w:tblLayout w:type="autofit"/>
        <w:tblCellMar>
          <w:top w:w="0" w:type="dxa"/>
          <w:left w:w="108" w:type="dxa"/>
          <w:bottom w:w="0" w:type="dxa"/>
          <w:right w:w="108" w:type="dxa"/>
        </w:tblCellMar>
      </w:tblPr>
      <w:tblGrid>
        <w:gridCol w:w="1070"/>
        <w:gridCol w:w="2892"/>
        <w:gridCol w:w="1692"/>
        <w:gridCol w:w="3141"/>
        <w:gridCol w:w="1171"/>
      </w:tblGrid>
      <w:tr>
        <w:tblPrEx>
          <w:tblCellMar>
            <w:top w:w="0" w:type="dxa"/>
            <w:left w:w="108" w:type="dxa"/>
            <w:bottom w:w="0" w:type="dxa"/>
            <w:right w:w="108" w:type="dxa"/>
          </w:tblCellMar>
        </w:tblPrEx>
        <w:trPr>
          <w:trHeight w:val="567" w:hRule="atLeast"/>
          <w:tblHeader/>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line="360" w:lineRule="auto"/>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序号</w:t>
            </w:r>
          </w:p>
        </w:tc>
        <w:tc>
          <w:tcPr>
            <w:tcW w:w="1451"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spacing w:line="360" w:lineRule="auto"/>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单项名称</w:t>
            </w:r>
          </w:p>
        </w:tc>
        <w:tc>
          <w:tcPr>
            <w:tcW w:w="849"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spacing w:line="360" w:lineRule="auto"/>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单位</w:t>
            </w:r>
          </w:p>
        </w:tc>
        <w:tc>
          <w:tcPr>
            <w:tcW w:w="157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spacing w:line="360" w:lineRule="auto"/>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工程量</w:t>
            </w:r>
          </w:p>
        </w:tc>
        <w:tc>
          <w:tcPr>
            <w:tcW w:w="58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spacing w:line="360" w:lineRule="auto"/>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备注</w:t>
            </w:r>
          </w:p>
        </w:tc>
      </w:tr>
      <w:tr>
        <w:tblPrEx>
          <w:tblCellMar>
            <w:top w:w="0" w:type="dxa"/>
            <w:left w:w="108" w:type="dxa"/>
            <w:bottom w:w="0" w:type="dxa"/>
            <w:right w:w="108" w:type="dxa"/>
          </w:tblCellMar>
        </w:tblPrEx>
        <w:trPr>
          <w:trHeight w:val="285" w:hRule="atLeast"/>
        </w:trPr>
        <w:tc>
          <w:tcPr>
            <w:tcW w:w="5000" w:type="pct"/>
            <w:gridSpan w:val="5"/>
            <w:tcBorders>
              <w:top w:val="nil"/>
              <w:left w:val="single" w:color="000000" w:sz="4" w:space="0"/>
              <w:bottom w:val="single" w:color="000000" w:sz="4" w:space="0"/>
              <w:right w:val="single" w:color="000000" w:sz="4" w:space="0"/>
            </w:tcBorders>
            <w:shd w:val="clear" w:color="auto" w:fill="auto"/>
            <w:noWrap/>
            <w:vAlign w:val="center"/>
          </w:tcPr>
          <w:p>
            <w:pPr>
              <w:widowControl/>
              <w:snapToGrid w:val="0"/>
              <w:spacing w:line="360" w:lineRule="auto"/>
              <w:jc w:val="both"/>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一、土地平整工程</w:t>
            </w:r>
          </w:p>
        </w:tc>
      </w:tr>
      <w:tr>
        <w:tblPrEx>
          <w:tblCellMar>
            <w:top w:w="0" w:type="dxa"/>
            <w:left w:w="108" w:type="dxa"/>
            <w:bottom w:w="0" w:type="dxa"/>
            <w:right w:w="108" w:type="dxa"/>
          </w:tblCellMar>
        </w:tblPrEx>
        <w:trPr>
          <w:trHeight w:val="285" w:hRule="atLeast"/>
        </w:trPr>
        <w:tc>
          <w:tcPr>
            <w:tcW w:w="537" w:type="pct"/>
            <w:tcBorders>
              <w:top w:val="nil"/>
              <w:left w:val="single" w:color="000000" w:sz="4" w:space="0"/>
              <w:bottom w:val="single" w:color="000000" w:sz="4" w:space="0"/>
              <w:right w:val="single" w:color="000000" w:sz="4" w:space="0"/>
            </w:tcBorders>
            <w:shd w:val="clear" w:color="auto" w:fill="auto"/>
            <w:noWrap/>
            <w:vAlign w:val="center"/>
          </w:tcPr>
          <w:p>
            <w:pPr>
              <w:widowControl/>
              <w:snapToGrid w:val="0"/>
              <w:spacing w:line="360" w:lineRule="auto"/>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1.1</w:t>
            </w:r>
          </w:p>
        </w:tc>
        <w:tc>
          <w:tcPr>
            <w:tcW w:w="145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微软雅黑"/>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防渗膜清除</w:t>
            </w:r>
          </w:p>
        </w:tc>
        <w:tc>
          <w:tcPr>
            <w:tcW w:w="8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9130</w:t>
            </w:r>
          </w:p>
        </w:tc>
        <w:tc>
          <w:tcPr>
            <w:tcW w:w="584" w:type="pct"/>
            <w:tcBorders>
              <w:top w:val="nil"/>
              <w:left w:val="nil"/>
              <w:bottom w:val="single" w:color="000000" w:sz="4" w:space="0"/>
              <w:right w:val="single" w:color="000000" w:sz="4" w:space="0"/>
            </w:tcBorders>
            <w:shd w:val="clear" w:color="auto" w:fill="auto"/>
            <w:noWrap/>
            <w:vAlign w:val="center"/>
          </w:tcPr>
          <w:p>
            <w:pPr>
              <w:widowControl/>
              <w:snapToGrid w:val="0"/>
              <w:spacing w:line="360" w:lineRule="auto"/>
              <w:jc w:val="center"/>
              <w:rPr>
                <w:rFonts w:ascii="微软雅黑" w:hAnsi="微软雅黑" w:eastAsia="微软雅黑" w:cs="微软雅黑"/>
                <w:color w:val="auto"/>
                <w:sz w:val="21"/>
                <w:szCs w:val="21"/>
                <w:highlight w:val="none"/>
              </w:rPr>
            </w:pPr>
          </w:p>
        </w:tc>
      </w:tr>
      <w:tr>
        <w:tblPrEx>
          <w:tblCellMar>
            <w:top w:w="0" w:type="dxa"/>
            <w:left w:w="108" w:type="dxa"/>
            <w:bottom w:w="0" w:type="dxa"/>
            <w:right w:w="108" w:type="dxa"/>
          </w:tblCellMar>
        </w:tblPrEx>
        <w:trPr>
          <w:trHeight w:val="450" w:hRule="atLeast"/>
        </w:trPr>
        <w:tc>
          <w:tcPr>
            <w:tcW w:w="537" w:type="pct"/>
            <w:tcBorders>
              <w:top w:val="nil"/>
              <w:left w:val="single" w:color="000000" w:sz="4" w:space="0"/>
              <w:bottom w:val="single" w:color="000000" w:sz="4" w:space="0"/>
              <w:right w:val="single" w:color="000000" w:sz="4" w:space="0"/>
            </w:tcBorders>
            <w:shd w:val="clear" w:color="auto" w:fill="auto"/>
            <w:noWrap/>
            <w:vAlign w:val="center"/>
          </w:tcPr>
          <w:p>
            <w:pPr>
              <w:widowControl/>
              <w:snapToGrid w:val="0"/>
              <w:spacing w:line="360" w:lineRule="auto"/>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1.2</w:t>
            </w:r>
          </w:p>
        </w:tc>
        <w:tc>
          <w:tcPr>
            <w:tcW w:w="145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微软雅黑"/>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土地平整</w:t>
            </w:r>
          </w:p>
        </w:tc>
        <w:tc>
          <w:tcPr>
            <w:tcW w:w="8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9130</w:t>
            </w:r>
          </w:p>
        </w:tc>
        <w:tc>
          <w:tcPr>
            <w:tcW w:w="584" w:type="pct"/>
            <w:tcBorders>
              <w:top w:val="nil"/>
              <w:left w:val="nil"/>
              <w:bottom w:val="single" w:color="000000" w:sz="4" w:space="0"/>
              <w:right w:val="single" w:color="000000" w:sz="4" w:space="0"/>
            </w:tcBorders>
            <w:shd w:val="clear" w:color="auto" w:fill="auto"/>
            <w:noWrap/>
            <w:vAlign w:val="center"/>
          </w:tcPr>
          <w:p>
            <w:pPr>
              <w:widowControl/>
              <w:snapToGrid w:val="0"/>
              <w:spacing w:line="360" w:lineRule="auto"/>
              <w:jc w:val="center"/>
              <w:rPr>
                <w:rFonts w:ascii="微软雅黑" w:hAnsi="微软雅黑" w:eastAsia="微软雅黑" w:cs="微软雅黑"/>
                <w:color w:val="auto"/>
                <w:sz w:val="21"/>
                <w:szCs w:val="21"/>
                <w:highlight w:val="none"/>
              </w:rPr>
            </w:pPr>
          </w:p>
        </w:tc>
      </w:tr>
      <w:tr>
        <w:tblPrEx>
          <w:tblCellMar>
            <w:top w:w="0" w:type="dxa"/>
            <w:left w:w="108" w:type="dxa"/>
            <w:bottom w:w="0" w:type="dxa"/>
            <w:right w:w="108" w:type="dxa"/>
          </w:tblCellMar>
        </w:tblPrEx>
        <w:trPr>
          <w:trHeight w:val="450" w:hRule="atLeast"/>
        </w:trPr>
        <w:tc>
          <w:tcPr>
            <w:tcW w:w="537" w:type="pct"/>
            <w:tcBorders>
              <w:top w:val="nil"/>
              <w:left w:val="single" w:color="000000" w:sz="4" w:space="0"/>
              <w:bottom w:val="single" w:color="000000" w:sz="4" w:space="0"/>
              <w:right w:val="single" w:color="000000" w:sz="4" w:space="0"/>
            </w:tcBorders>
            <w:shd w:val="clear" w:color="auto" w:fill="auto"/>
            <w:noWrap/>
            <w:vAlign w:val="center"/>
          </w:tcPr>
          <w:p>
            <w:pPr>
              <w:widowControl/>
              <w:snapToGrid w:val="0"/>
              <w:spacing w:line="360" w:lineRule="auto"/>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1.3</w:t>
            </w:r>
          </w:p>
        </w:tc>
        <w:tc>
          <w:tcPr>
            <w:tcW w:w="145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微软雅黑"/>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排灌土沟</w:t>
            </w:r>
          </w:p>
        </w:tc>
        <w:tc>
          <w:tcPr>
            <w:tcW w:w="8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825</w:t>
            </w:r>
          </w:p>
        </w:tc>
        <w:tc>
          <w:tcPr>
            <w:tcW w:w="584" w:type="pct"/>
            <w:tcBorders>
              <w:top w:val="nil"/>
              <w:left w:val="nil"/>
              <w:bottom w:val="single" w:color="000000" w:sz="4" w:space="0"/>
              <w:right w:val="single" w:color="000000" w:sz="4" w:space="0"/>
            </w:tcBorders>
            <w:shd w:val="clear" w:color="auto" w:fill="auto"/>
            <w:noWrap/>
            <w:vAlign w:val="center"/>
          </w:tcPr>
          <w:p>
            <w:pPr>
              <w:widowControl/>
              <w:snapToGrid w:val="0"/>
              <w:spacing w:line="360" w:lineRule="auto"/>
              <w:jc w:val="center"/>
              <w:rPr>
                <w:rFonts w:ascii="微软雅黑" w:hAnsi="微软雅黑" w:eastAsia="微软雅黑" w:cs="微软雅黑"/>
                <w:color w:val="auto"/>
                <w:sz w:val="21"/>
                <w:szCs w:val="21"/>
                <w:highlight w:val="none"/>
              </w:rPr>
            </w:pPr>
          </w:p>
        </w:tc>
      </w:tr>
      <w:tr>
        <w:tblPrEx>
          <w:tblCellMar>
            <w:top w:w="0" w:type="dxa"/>
            <w:left w:w="108" w:type="dxa"/>
            <w:bottom w:w="0" w:type="dxa"/>
            <w:right w:w="108" w:type="dxa"/>
          </w:tblCellMar>
        </w:tblPrEx>
        <w:trPr>
          <w:trHeight w:val="450" w:hRule="atLeast"/>
        </w:trPr>
        <w:tc>
          <w:tcPr>
            <w:tcW w:w="537" w:type="pct"/>
            <w:tcBorders>
              <w:top w:val="nil"/>
              <w:left w:val="single" w:color="000000" w:sz="4" w:space="0"/>
              <w:bottom w:val="single" w:color="000000" w:sz="4" w:space="0"/>
              <w:right w:val="single" w:color="000000" w:sz="4" w:space="0"/>
            </w:tcBorders>
            <w:shd w:val="clear" w:color="auto" w:fill="auto"/>
            <w:noWrap/>
            <w:vAlign w:val="center"/>
          </w:tcPr>
          <w:p>
            <w:pPr>
              <w:widowControl/>
              <w:snapToGrid w:val="0"/>
              <w:spacing w:line="360" w:lineRule="auto"/>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1.4</w:t>
            </w:r>
          </w:p>
        </w:tc>
        <w:tc>
          <w:tcPr>
            <w:tcW w:w="145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微软雅黑"/>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种植甘薯苗</w:t>
            </w:r>
          </w:p>
        </w:tc>
        <w:tc>
          <w:tcPr>
            <w:tcW w:w="8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5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color w:val="auto"/>
                <w:sz w:val="21"/>
                <w:szCs w:val="21"/>
                <w:highlight w:val="none"/>
              </w:rPr>
            </w:pPr>
            <w:r>
              <w:rPr>
                <w:rFonts w:hint="eastAsia" w:ascii="宋体" w:hAnsi="宋体" w:eastAsia="宋体" w:cs="宋体"/>
                <w:i w:val="0"/>
                <w:iCs w:val="0"/>
                <w:color w:val="auto"/>
                <w:kern w:val="0"/>
                <w:sz w:val="20"/>
                <w:szCs w:val="20"/>
                <w:highlight w:val="none"/>
                <w:u w:val="none"/>
                <w:lang w:val="en-US" w:eastAsia="zh-CN" w:bidi="ar"/>
              </w:rPr>
              <w:t>36520</w:t>
            </w:r>
          </w:p>
        </w:tc>
        <w:tc>
          <w:tcPr>
            <w:tcW w:w="584" w:type="pct"/>
            <w:tcBorders>
              <w:top w:val="nil"/>
              <w:left w:val="nil"/>
              <w:bottom w:val="single" w:color="000000" w:sz="4" w:space="0"/>
              <w:right w:val="single" w:color="000000" w:sz="4" w:space="0"/>
            </w:tcBorders>
            <w:shd w:val="clear" w:color="auto" w:fill="auto"/>
            <w:noWrap/>
            <w:vAlign w:val="center"/>
          </w:tcPr>
          <w:p>
            <w:pPr>
              <w:widowControl/>
              <w:snapToGrid w:val="0"/>
              <w:spacing w:line="360" w:lineRule="auto"/>
              <w:jc w:val="center"/>
              <w:rPr>
                <w:rFonts w:ascii="微软雅黑" w:hAnsi="微软雅黑" w:eastAsia="微软雅黑" w:cs="微软雅黑"/>
                <w:color w:val="auto"/>
                <w:sz w:val="21"/>
                <w:szCs w:val="21"/>
                <w:highlight w:val="none"/>
              </w:rPr>
            </w:pPr>
          </w:p>
        </w:tc>
      </w:tr>
      <w:bookmarkEnd w:id="196"/>
    </w:tbl>
    <w:p>
      <w:pPr>
        <w:pStyle w:val="5"/>
        <w:numPr>
          <w:ilvl w:val="0"/>
          <w:numId w:val="15"/>
        </w:numPr>
        <w:rPr>
          <w:rFonts w:cs="宋体"/>
          <w:color w:val="auto"/>
          <w:sz w:val="21"/>
          <w:szCs w:val="21"/>
          <w:highlight w:val="none"/>
        </w:rPr>
      </w:pPr>
      <w:bookmarkStart w:id="197" w:name="_Toc20726408"/>
      <w:r>
        <w:rPr>
          <w:rFonts w:hint="eastAsia" w:cs="宋体"/>
          <w:color w:val="auto"/>
          <w:sz w:val="21"/>
          <w:szCs w:val="21"/>
          <w:highlight w:val="none"/>
        </w:rPr>
        <w:t>技术要求</w:t>
      </w:r>
    </w:p>
    <w:p>
      <w:pPr>
        <w:tabs>
          <w:tab w:val="left" w:pos="567"/>
        </w:tabs>
        <w:ind w:left="567" w:hanging="567"/>
        <w:jc w:val="both"/>
        <w:rPr>
          <w:rFonts w:hAnsi="宋体"/>
          <w:color w:val="auto"/>
          <w:kern w:val="2"/>
          <w:sz w:val="21"/>
          <w:szCs w:val="21"/>
          <w:highlight w:val="none"/>
          <w:lang w:val="zh-CN"/>
        </w:rPr>
      </w:pPr>
      <w:r>
        <w:rPr>
          <w:rFonts w:hint="eastAsia" w:hAnsi="宋体" w:cs="宋体"/>
          <w:color w:val="auto"/>
          <w:sz w:val="21"/>
          <w:szCs w:val="21"/>
          <w:highlight w:val="none"/>
        </w:rPr>
        <w:t>4</w:t>
      </w:r>
      <w:r>
        <w:rPr>
          <w:rFonts w:hAnsi="宋体"/>
          <w:color w:val="auto"/>
          <w:kern w:val="2"/>
          <w:sz w:val="21"/>
          <w:szCs w:val="21"/>
          <w:highlight w:val="none"/>
          <w:lang w:val="zh-CN"/>
        </w:rPr>
        <w:t>.1复垦施工及</w:t>
      </w:r>
      <w:r>
        <w:rPr>
          <w:rFonts w:hint="eastAsia" w:hAnsi="宋体"/>
          <w:color w:val="auto"/>
          <w:kern w:val="2"/>
          <w:sz w:val="21"/>
          <w:szCs w:val="21"/>
          <w:highlight w:val="none"/>
        </w:rPr>
        <w:t>工序</w:t>
      </w:r>
      <w:r>
        <w:rPr>
          <w:rFonts w:hAnsi="宋体"/>
          <w:color w:val="auto"/>
          <w:kern w:val="2"/>
          <w:sz w:val="21"/>
          <w:szCs w:val="21"/>
          <w:highlight w:val="none"/>
          <w:lang w:val="zh-CN"/>
        </w:rPr>
        <w:t>要求</w:t>
      </w:r>
    </w:p>
    <w:p>
      <w:pPr>
        <w:tabs>
          <w:tab w:val="left" w:pos="567"/>
        </w:tabs>
        <w:spacing w:line="360" w:lineRule="auto"/>
        <w:ind w:left="567" w:hanging="567"/>
        <w:jc w:val="both"/>
        <w:rPr>
          <w:rFonts w:hAnsi="宋体"/>
          <w:color w:val="auto"/>
          <w:kern w:val="2"/>
          <w:sz w:val="21"/>
          <w:szCs w:val="21"/>
          <w:highlight w:val="none"/>
          <w:lang w:val="zh-CN" w:eastAsia="en-US"/>
        </w:rPr>
      </w:pPr>
      <w:r>
        <w:rPr>
          <w:rFonts w:hint="eastAsia" w:hAnsi="宋体"/>
          <w:color w:val="auto"/>
          <w:kern w:val="2"/>
          <w:sz w:val="21"/>
          <w:szCs w:val="21"/>
          <w:highlight w:val="none"/>
          <w:lang w:val="zh-CN" w:eastAsia="en-US"/>
        </w:rPr>
        <w:t>（</w:t>
      </w:r>
      <w:r>
        <w:rPr>
          <w:rFonts w:hint="eastAsia" w:hAnsi="宋体"/>
          <w:color w:val="auto"/>
          <w:kern w:val="2"/>
          <w:sz w:val="21"/>
          <w:szCs w:val="21"/>
          <w:highlight w:val="none"/>
          <w:lang w:val="en-US" w:eastAsia="zh-CN"/>
        </w:rPr>
        <w:t>1</w:t>
      </w:r>
      <w:r>
        <w:rPr>
          <w:rFonts w:hint="eastAsia" w:hAnsi="宋体"/>
          <w:color w:val="auto"/>
          <w:kern w:val="2"/>
          <w:sz w:val="21"/>
          <w:szCs w:val="21"/>
          <w:highlight w:val="none"/>
          <w:lang w:val="zh-CN" w:eastAsia="en-US"/>
        </w:rPr>
        <w:t>）</w:t>
      </w:r>
      <w:r>
        <w:rPr>
          <w:rFonts w:hAnsi="宋体"/>
          <w:color w:val="auto"/>
          <w:kern w:val="2"/>
          <w:sz w:val="21"/>
          <w:szCs w:val="21"/>
          <w:highlight w:val="none"/>
          <w:lang w:val="zh-CN" w:eastAsia="en-US"/>
        </w:rPr>
        <w:t>复核地面高程</w:t>
      </w:r>
    </w:p>
    <w:p>
      <w:pPr>
        <w:spacing w:line="360" w:lineRule="auto"/>
        <w:ind w:firstLine="420" w:firstLineChars="200"/>
        <w:rPr>
          <w:rFonts w:hAnsi="宋体" w:cs="宋体"/>
          <w:color w:val="auto"/>
          <w:sz w:val="21"/>
          <w:szCs w:val="21"/>
          <w:highlight w:val="none"/>
          <w:lang w:val="zh-CN"/>
        </w:rPr>
      </w:pPr>
      <w:r>
        <w:rPr>
          <w:rFonts w:hint="eastAsia" w:hAnsi="宋体" w:cs="宋体"/>
          <w:color w:val="auto"/>
          <w:sz w:val="21"/>
          <w:szCs w:val="21"/>
          <w:highlight w:val="none"/>
          <w:lang w:val="zh-CN" w:eastAsia="en-US"/>
        </w:rPr>
        <w:t>施工单位进场后，测量人员在地块附近设置控制测量标桩，对地块高程进行复核，并与设计原地面高程进</w:t>
      </w:r>
      <w:r>
        <w:rPr>
          <w:rFonts w:hint="eastAsia" w:hAnsi="宋体" w:cs="宋体"/>
          <w:color w:val="auto"/>
          <w:sz w:val="21"/>
          <w:szCs w:val="21"/>
          <w:highlight w:val="none"/>
          <w:lang w:val="zh-CN"/>
        </w:rPr>
        <w:t>行对比是否符合，如存在较大差错时，应请示建设单位进行复核。</w:t>
      </w:r>
    </w:p>
    <w:p>
      <w:pPr>
        <w:tabs>
          <w:tab w:val="left" w:pos="567"/>
        </w:tabs>
        <w:ind w:left="567" w:hanging="567"/>
        <w:jc w:val="both"/>
        <w:rPr>
          <w:rFonts w:hAnsi="宋体"/>
          <w:color w:val="auto"/>
          <w:kern w:val="2"/>
          <w:sz w:val="21"/>
          <w:szCs w:val="21"/>
          <w:highlight w:val="none"/>
          <w:lang w:val="zh-CN"/>
        </w:rPr>
      </w:pPr>
      <w:r>
        <w:rPr>
          <w:rFonts w:hint="eastAsia" w:hAnsi="宋体"/>
          <w:color w:val="auto"/>
          <w:kern w:val="2"/>
          <w:sz w:val="21"/>
          <w:szCs w:val="21"/>
          <w:highlight w:val="none"/>
          <w:lang w:val="zh-CN"/>
        </w:rPr>
        <w:t>（</w:t>
      </w:r>
      <w:r>
        <w:rPr>
          <w:rFonts w:hint="eastAsia" w:hAnsi="宋体"/>
          <w:color w:val="auto"/>
          <w:kern w:val="2"/>
          <w:sz w:val="21"/>
          <w:szCs w:val="21"/>
          <w:highlight w:val="none"/>
          <w:lang w:val="en-US" w:eastAsia="zh-CN"/>
        </w:rPr>
        <w:t>2</w:t>
      </w:r>
      <w:r>
        <w:rPr>
          <w:rFonts w:hint="eastAsia" w:hAnsi="宋体"/>
          <w:color w:val="auto"/>
          <w:kern w:val="2"/>
          <w:sz w:val="21"/>
          <w:szCs w:val="21"/>
          <w:highlight w:val="none"/>
          <w:lang w:val="zh-CN"/>
        </w:rPr>
        <w:t>）</w:t>
      </w:r>
      <w:r>
        <w:rPr>
          <w:rFonts w:hAnsi="宋体"/>
          <w:color w:val="auto"/>
          <w:kern w:val="2"/>
          <w:sz w:val="21"/>
          <w:szCs w:val="21"/>
          <w:highlight w:val="none"/>
          <w:lang w:val="zh-CN"/>
        </w:rPr>
        <w:t>施工放样</w:t>
      </w:r>
    </w:p>
    <w:p>
      <w:pPr>
        <w:tabs>
          <w:tab w:val="left" w:pos="567"/>
        </w:tabs>
        <w:ind w:left="574" w:leftChars="208" w:hanging="75" w:hangingChars="36"/>
        <w:jc w:val="both"/>
        <w:rPr>
          <w:rFonts w:hAnsi="宋体"/>
          <w:color w:val="auto"/>
          <w:kern w:val="2"/>
          <w:sz w:val="21"/>
          <w:szCs w:val="21"/>
          <w:highlight w:val="none"/>
          <w:lang w:val="zh-CN"/>
        </w:rPr>
      </w:pPr>
      <w:r>
        <w:rPr>
          <w:rFonts w:hAnsi="宋体"/>
          <w:color w:val="auto"/>
          <w:kern w:val="2"/>
          <w:sz w:val="21"/>
          <w:szCs w:val="21"/>
          <w:highlight w:val="none"/>
          <w:lang w:val="zh-CN"/>
        </w:rPr>
        <w:t>在施工前按设计图纸或复垦方案要求进行放样，控制好每个地块的边界与高程。</w:t>
      </w:r>
    </w:p>
    <w:p>
      <w:pPr>
        <w:tabs>
          <w:tab w:val="left" w:pos="567"/>
        </w:tabs>
        <w:ind w:left="567" w:hanging="567"/>
        <w:jc w:val="both"/>
        <w:rPr>
          <w:rFonts w:hAnsi="宋体"/>
          <w:color w:val="auto"/>
          <w:kern w:val="2"/>
          <w:sz w:val="21"/>
          <w:szCs w:val="21"/>
          <w:highlight w:val="none"/>
          <w:lang w:val="zh-CN"/>
        </w:rPr>
      </w:pPr>
      <w:r>
        <w:rPr>
          <w:rFonts w:hint="eastAsia" w:hAnsi="宋体"/>
          <w:color w:val="auto"/>
          <w:kern w:val="2"/>
          <w:sz w:val="21"/>
          <w:szCs w:val="21"/>
          <w:highlight w:val="none"/>
          <w:lang w:val="zh-CN"/>
        </w:rPr>
        <w:t>（</w:t>
      </w:r>
      <w:r>
        <w:rPr>
          <w:rFonts w:hint="eastAsia" w:hAnsi="宋体"/>
          <w:color w:val="auto"/>
          <w:kern w:val="2"/>
          <w:sz w:val="21"/>
          <w:szCs w:val="21"/>
          <w:highlight w:val="none"/>
          <w:lang w:val="en-US" w:eastAsia="zh-CN"/>
        </w:rPr>
        <w:t>3</w:t>
      </w:r>
      <w:r>
        <w:rPr>
          <w:rFonts w:hint="eastAsia" w:hAnsi="宋体"/>
          <w:color w:val="auto"/>
          <w:kern w:val="2"/>
          <w:sz w:val="21"/>
          <w:szCs w:val="21"/>
          <w:highlight w:val="none"/>
          <w:lang w:val="zh-CN"/>
        </w:rPr>
        <w:t>）</w:t>
      </w:r>
      <w:r>
        <w:rPr>
          <w:rFonts w:hAnsi="宋体"/>
          <w:color w:val="auto"/>
          <w:kern w:val="2"/>
          <w:sz w:val="21"/>
          <w:szCs w:val="21"/>
          <w:highlight w:val="none"/>
          <w:lang w:val="zh-CN"/>
        </w:rPr>
        <w:t>表土剥离</w:t>
      </w:r>
    </w:p>
    <w:p>
      <w:pPr>
        <w:spacing w:line="360" w:lineRule="auto"/>
        <w:ind w:firstLine="420" w:firstLineChars="200"/>
        <w:rPr>
          <w:rFonts w:hAnsi="宋体" w:cs="宋体"/>
          <w:color w:val="auto"/>
          <w:sz w:val="21"/>
          <w:szCs w:val="21"/>
          <w:highlight w:val="none"/>
          <w:lang w:val="zh-CN" w:eastAsia="en-US"/>
        </w:rPr>
      </w:pPr>
      <w:r>
        <w:rPr>
          <w:rFonts w:hint="eastAsia" w:hAnsi="宋体" w:cs="宋体"/>
          <w:color w:val="auto"/>
          <w:sz w:val="21"/>
          <w:szCs w:val="21"/>
          <w:highlight w:val="none"/>
          <w:lang w:val="zh-CN" w:eastAsia="en-US"/>
        </w:rPr>
        <w:t>根据设计图纸及复垦方案要求，大于或等于200mm的土方挖填才需要进行剥离耕作层，根据测量结果，采用人工开挖方法，剥离的耕作层土方集中堆放，作铺设耕作层的土方。</w:t>
      </w:r>
    </w:p>
    <w:p>
      <w:pPr>
        <w:tabs>
          <w:tab w:val="left" w:pos="567"/>
        </w:tabs>
        <w:ind w:left="567" w:hanging="567"/>
        <w:jc w:val="both"/>
        <w:rPr>
          <w:rFonts w:hAnsi="宋体"/>
          <w:color w:val="auto"/>
          <w:kern w:val="2"/>
          <w:sz w:val="21"/>
          <w:szCs w:val="21"/>
          <w:highlight w:val="none"/>
          <w:lang w:val="zh-CN"/>
        </w:rPr>
      </w:pPr>
      <w:r>
        <w:rPr>
          <w:rFonts w:hint="eastAsia" w:hAnsi="宋体"/>
          <w:color w:val="auto"/>
          <w:kern w:val="2"/>
          <w:sz w:val="21"/>
          <w:szCs w:val="21"/>
          <w:highlight w:val="none"/>
          <w:lang w:val="zh-CN"/>
        </w:rPr>
        <w:t>（</w:t>
      </w:r>
      <w:r>
        <w:rPr>
          <w:rFonts w:hint="eastAsia" w:hAnsi="宋体"/>
          <w:color w:val="auto"/>
          <w:kern w:val="2"/>
          <w:sz w:val="21"/>
          <w:szCs w:val="21"/>
          <w:highlight w:val="none"/>
          <w:lang w:val="en-US" w:eastAsia="zh-CN"/>
        </w:rPr>
        <w:t>4</w:t>
      </w:r>
      <w:r>
        <w:rPr>
          <w:rFonts w:hint="eastAsia" w:hAnsi="宋体"/>
          <w:color w:val="auto"/>
          <w:kern w:val="2"/>
          <w:sz w:val="21"/>
          <w:szCs w:val="21"/>
          <w:highlight w:val="none"/>
          <w:lang w:val="zh-CN"/>
        </w:rPr>
        <w:t>）</w:t>
      </w:r>
      <w:r>
        <w:rPr>
          <w:rFonts w:hAnsi="宋体"/>
          <w:color w:val="auto"/>
          <w:kern w:val="2"/>
          <w:sz w:val="21"/>
          <w:szCs w:val="21"/>
          <w:highlight w:val="none"/>
          <w:lang w:val="zh-CN"/>
        </w:rPr>
        <w:t>地块平整</w:t>
      </w:r>
    </w:p>
    <w:p>
      <w:pPr>
        <w:spacing w:line="360" w:lineRule="auto"/>
        <w:ind w:firstLine="420" w:firstLineChars="200"/>
        <w:rPr>
          <w:rFonts w:hAnsi="宋体" w:cs="宋体"/>
          <w:color w:val="auto"/>
          <w:sz w:val="21"/>
          <w:szCs w:val="21"/>
          <w:highlight w:val="none"/>
          <w:lang w:val="zh-CN" w:eastAsia="en-US"/>
        </w:rPr>
      </w:pPr>
      <w:r>
        <w:rPr>
          <w:rFonts w:hint="eastAsia" w:hAnsi="宋体" w:cs="宋体"/>
          <w:color w:val="auto"/>
          <w:sz w:val="21"/>
          <w:szCs w:val="21"/>
          <w:highlight w:val="none"/>
          <w:lang w:val="zh-CN" w:eastAsia="en-US"/>
        </w:rPr>
        <w:t>在土方工程施工前，由测量人员根据设计图纸，放出各区的分界线，原地面的树墩及主根用挖掘机挖除，并把地面上的长草或植物割除，清除地面上的垃圾，</w:t>
      </w:r>
      <w:r>
        <w:rPr>
          <w:rFonts w:hint="eastAsia" w:hAnsi="宋体" w:cs="宋体"/>
          <w:color w:val="auto"/>
          <w:sz w:val="21"/>
          <w:szCs w:val="21"/>
          <w:highlight w:val="none"/>
          <w:lang w:val="zh-CN"/>
        </w:rPr>
        <w:t>清理残存的防渗层材料，</w:t>
      </w:r>
      <w:r>
        <w:rPr>
          <w:rFonts w:hint="eastAsia" w:hAnsi="宋体" w:cs="宋体"/>
          <w:color w:val="auto"/>
          <w:sz w:val="21"/>
          <w:szCs w:val="21"/>
          <w:highlight w:val="none"/>
          <w:lang w:val="zh-CN" w:eastAsia="en-US"/>
        </w:rPr>
        <w:t>把它们堆放在指定的地方，由自卸汽车运到场外。</w:t>
      </w:r>
    </w:p>
    <w:p>
      <w:pPr>
        <w:spacing w:line="360" w:lineRule="auto"/>
        <w:ind w:firstLine="420" w:firstLineChars="200"/>
        <w:rPr>
          <w:rFonts w:hAnsi="宋体" w:cs="宋体"/>
          <w:color w:val="auto"/>
          <w:sz w:val="21"/>
          <w:szCs w:val="21"/>
          <w:highlight w:val="none"/>
          <w:lang w:val="zh-CN" w:eastAsia="en-US"/>
        </w:rPr>
      </w:pPr>
      <w:r>
        <w:rPr>
          <w:rFonts w:hint="eastAsia" w:hAnsi="宋体" w:cs="宋体"/>
          <w:color w:val="auto"/>
          <w:sz w:val="21"/>
          <w:szCs w:val="21"/>
          <w:highlight w:val="none"/>
          <w:lang w:val="zh-CN" w:eastAsia="en-US"/>
        </w:rPr>
        <w:t>表土剥离后，应及时填写相应的隐蔽工程验收报告，经</w:t>
      </w:r>
      <w:r>
        <w:rPr>
          <w:rFonts w:hint="eastAsia" w:hAnsi="宋体" w:cs="宋体"/>
          <w:color w:val="auto"/>
          <w:sz w:val="21"/>
          <w:szCs w:val="21"/>
          <w:highlight w:val="none"/>
        </w:rPr>
        <w:t>建设</w:t>
      </w:r>
      <w:r>
        <w:rPr>
          <w:rFonts w:hint="eastAsia" w:hAnsi="宋体" w:cs="宋体"/>
          <w:color w:val="auto"/>
          <w:sz w:val="21"/>
          <w:szCs w:val="21"/>
          <w:highlight w:val="none"/>
          <w:lang w:val="zh-CN" w:eastAsia="en-US"/>
        </w:rPr>
        <w:t>单位验收签证合格后，才可进行地块平整。平整时应采取就近原则，尽量做到挖填平衡。</w:t>
      </w:r>
    </w:p>
    <w:p>
      <w:pPr>
        <w:tabs>
          <w:tab w:val="left" w:pos="567"/>
        </w:tabs>
        <w:ind w:left="567" w:hanging="567"/>
        <w:jc w:val="both"/>
        <w:rPr>
          <w:rFonts w:hAnsi="宋体"/>
          <w:color w:val="auto"/>
          <w:kern w:val="2"/>
          <w:sz w:val="21"/>
          <w:szCs w:val="21"/>
          <w:highlight w:val="none"/>
          <w:lang w:val="zh-CN"/>
        </w:rPr>
      </w:pPr>
      <w:r>
        <w:rPr>
          <w:rFonts w:hint="eastAsia" w:hAnsi="宋体"/>
          <w:color w:val="auto"/>
          <w:kern w:val="2"/>
          <w:sz w:val="21"/>
          <w:szCs w:val="21"/>
          <w:highlight w:val="none"/>
          <w:lang w:val="zh-CN"/>
        </w:rPr>
        <w:t>（</w:t>
      </w:r>
      <w:r>
        <w:rPr>
          <w:rFonts w:hint="eastAsia" w:hAnsi="宋体"/>
          <w:color w:val="auto"/>
          <w:kern w:val="2"/>
          <w:sz w:val="21"/>
          <w:szCs w:val="21"/>
          <w:highlight w:val="none"/>
          <w:lang w:val="en-US" w:eastAsia="zh-CN"/>
        </w:rPr>
        <w:t>5</w:t>
      </w:r>
      <w:r>
        <w:rPr>
          <w:rFonts w:hint="eastAsia" w:hAnsi="宋体"/>
          <w:color w:val="auto"/>
          <w:kern w:val="2"/>
          <w:sz w:val="21"/>
          <w:szCs w:val="21"/>
          <w:highlight w:val="none"/>
          <w:lang w:val="zh-CN"/>
        </w:rPr>
        <w:t>）</w:t>
      </w:r>
      <w:r>
        <w:rPr>
          <w:rFonts w:hAnsi="宋体"/>
          <w:color w:val="auto"/>
          <w:kern w:val="2"/>
          <w:sz w:val="21"/>
          <w:szCs w:val="21"/>
          <w:highlight w:val="none"/>
          <w:lang w:val="zh-CN"/>
        </w:rPr>
        <w:t xml:space="preserve">局部切填土工程 </w:t>
      </w:r>
    </w:p>
    <w:p>
      <w:pPr>
        <w:spacing w:line="360" w:lineRule="auto"/>
        <w:ind w:firstLine="420" w:firstLineChars="200"/>
        <w:rPr>
          <w:rFonts w:hAnsi="宋体" w:cs="宋体"/>
          <w:color w:val="auto"/>
          <w:sz w:val="21"/>
          <w:szCs w:val="21"/>
          <w:highlight w:val="none"/>
          <w:lang w:val="zh-CN" w:eastAsia="en-US"/>
        </w:rPr>
      </w:pPr>
      <w:r>
        <w:rPr>
          <w:rFonts w:hint="eastAsia" w:hAnsi="宋体" w:cs="宋体"/>
          <w:color w:val="auto"/>
          <w:sz w:val="21"/>
          <w:szCs w:val="21"/>
          <w:highlight w:val="none"/>
          <w:lang w:val="zh-CN" w:eastAsia="en-US"/>
        </w:rPr>
        <w:t xml:space="preserve">本项目施工现场面积大，局部切填土工程分为三区同时进行，从主进场路开始由近往远施工每个区分三个施工段，各施工段流水作业。 </w:t>
      </w:r>
    </w:p>
    <w:p>
      <w:pPr>
        <w:spacing w:line="360" w:lineRule="auto"/>
        <w:ind w:firstLine="420" w:firstLineChars="200"/>
        <w:rPr>
          <w:rFonts w:hAnsi="宋体" w:cs="宋体"/>
          <w:color w:val="auto"/>
          <w:sz w:val="21"/>
          <w:szCs w:val="21"/>
          <w:highlight w:val="none"/>
          <w:lang w:val="zh-CN" w:eastAsia="en-US"/>
        </w:rPr>
      </w:pPr>
      <w:r>
        <w:rPr>
          <w:rFonts w:hint="eastAsia" w:hAnsi="宋体" w:cs="宋体"/>
          <w:color w:val="auto"/>
          <w:sz w:val="21"/>
          <w:szCs w:val="21"/>
          <w:highlight w:val="none"/>
          <w:lang w:val="zh-CN" w:eastAsia="en-US"/>
        </w:rPr>
        <w:t>土方的调配：土方调配时，若土方距施工区较远时，由自卸汽车把土方运到施工区内，再由推土机或人工摊平；若土方距施工区较近或在施工区内时，由推土机直接把土方推到施工区内并摊平。</w:t>
      </w:r>
    </w:p>
    <w:p>
      <w:pPr>
        <w:spacing w:line="360" w:lineRule="auto"/>
        <w:ind w:firstLine="420" w:firstLineChars="200"/>
        <w:rPr>
          <w:rFonts w:hAnsi="宋体" w:cs="宋体"/>
          <w:color w:val="auto"/>
          <w:sz w:val="21"/>
          <w:szCs w:val="21"/>
          <w:highlight w:val="none"/>
          <w:lang w:val="zh-CN" w:eastAsia="en-US"/>
        </w:rPr>
      </w:pPr>
      <w:r>
        <w:rPr>
          <w:rFonts w:hint="eastAsia" w:hAnsi="宋体" w:cs="宋体"/>
          <w:color w:val="auto"/>
          <w:sz w:val="21"/>
          <w:szCs w:val="21"/>
          <w:highlight w:val="none"/>
          <w:lang w:val="zh-CN" w:eastAsia="en-US"/>
        </w:rPr>
        <w:t>土方调配的原则：本工程通过土方计算得出挖方与填方基本达到平衡，因此能就施工现场调配土方，可减少重复倒运。尽量将挖填土方量与运距的乘积之和调配到最小，即总土方运输量或运输费用最小。</w:t>
      </w:r>
    </w:p>
    <w:p>
      <w:pPr>
        <w:spacing w:line="360" w:lineRule="auto"/>
        <w:ind w:firstLine="420" w:firstLineChars="200"/>
        <w:rPr>
          <w:rFonts w:hAnsi="宋体" w:cs="宋体"/>
          <w:color w:val="auto"/>
          <w:sz w:val="21"/>
          <w:szCs w:val="21"/>
          <w:highlight w:val="none"/>
          <w:lang w:val="zh-CN" w:eastAsia="en-US"/>
        </w:rPr>
      </w:pPr>
      <w:r>
        <w:rPr>
          <w:rFonts w:hint="eastAsia" w:hAnsi="宋体" w:cs="宋体"/>
          <w:color w:val="auto"/>
          <w:sz w:val="21"/>
          <w:szCs w:val="21"/>
          <w:highlight w:val="none"/>
          <w:lang w:val="zh-CN" w:eastAsia="en-US"/>
        </w:rPr>
        <w:t>划分调配区，根据方格网平面图上划出挖填区的分界线，并在挖方区和填方区划出若干调配区，确定调配区的大小和位置，计算各调区的土方量标注于图上，计算每对调配区的平均运距，确定最优调配方案，绘制土方调配图，标出土方调配方向、土方量及平均运距。依据拟定的调配方向、运输路线、施工顺序，组织车辆运输，避免土方运输出现对流现象，同时便于机具的调配，机械化的施工。</w:t>
      </w:r>
    </w:p>
    <w:p>
      <w:pPr>
        <w:tabs>
          <w:tab w:val="left" w:pos="567"/>
        </w:tabs>
        <w:ind w:left="567" w:hanging="567"/>
        <w:jc w:val="both"/>
        <w:rPr>
          <w:rFonts w:hAnsi="宋体"/>
          <w:color w:val="auto"/>
          <w:kern w:val="2"/>
          <w:sz w:val="21"/>
          <w:szCs w:val="21"/>
          <w:highlight w:val="none"/>
          <w:lang w:val="zh-CN"/>
        </w:rPr>
      </w:pPr>
      <w:r>
        <w:rPr>
          <w:rFonts w:hint="eastAsia" w:hAnsi="宋体"/>
          <w:color w:val="auto"/>
          <w:kern w:val="2"/>
          <w:sz w:val="21"/>
          <w:szCs w:val="21"/>
          <w:highlight w:val="none"/>
          <w:lang w:val="zh-CN"/>
        </w:rPr>
        <w:t>（</w:t>
      </w:r>
      <w:r>
        <w:rPr>
          <w:rFonts w:hint="eastAsia" w:hAnsi="宋体"/>
          <w:color w:val="auto"/>
          <w:kern w:val="2"/>
          <w:sz w:val="21"/>
          <w:szCs w:val="21"/>
          <w:highlight w:val="none"/>
          <w:lang w:val="en-US" w:eastAsia="zh-CN"/>
        </w:rPr>
        <w:t>6</w:t>
      </w:r>
      <w:r>
        <w:rPr>
          <w:rFonts w:hint="eastAsia" w:hAnsi="宋体"/>
          <w:color w:val="auto"/>
          <w:kern w:val="2"/>
          <w:sz w:val="21"/>
          <w:szCs w:val="21"/>
          <w:highlight w:val="none"/>
          <w:lang w:val="zh-CN"/>
        </w:rPr>
        <w:t>）</w:t>
      </w:r>
      <w:r>
        <w:rPr>
          <w:rFonts w:hAnsi="宋体"/>
          <w:color w:val="auto"/>
          <w:kern w:val="2"/>
          <w:sz w:val="21"/>
          <w:szCs w:val="21"/>
          <w:highlight w:val="none"/>
          <w:lang w:val="zh-CN"/>
        </w:rPr>
        <w:t>铺设耕作层</w:t>
      </w:r>
    </w:p>
    <w:p>
      <w:pPr>
        <w:spacing w:line="360" w:lineRule="auto"/>
        <w:ind w:firstLine="420" w:firstLineChars="200"/>
        <w:rPr>
          <w:rFonts w:hAnsi="宋体" w:cs="宋体"/>
          <w:color w:val="auto"/>
          <w:sz w:val="21"/>
          <w:szCs w:val="21"/>
          <w:highlight w:val="none"/>
          <w:lang w:val="zh-CN" w:eastAsia="en-US"/>
        </w:rPr>
      </w:pPr>
      <w:r>
        <w:rPr>
          <w:rFonts w:hint="eastAsia" w:hAnsi="宋体" w:cs="宋体"/>
          <w:color w:val="auto"/>
          <w:sz w:val="21"/>
          <w:szCs w:val="21"/>
          <w:highlight w:val="none"/>
          <w:lang w:val="zh-CN" w:eastAsia="en-US"/>
        </w:rPr>
        <w:t>对于平整完成后的田地，在人工筑好田坎后即可进行耕作层的铺设，铺设耕作层前，对平整完成后的田地进行一次人工平整，对局部超高或超低的部位进行操作；铺耕作层使用的土壤应符合相关标准要求，然后由人工摊铺。</w:t>
      </w:r>
    </w:p>
    <w:p>
      <w:pPr>
        <w:tabs>
          <w:tab w:val="left" w:pos="567"/>
        </w:tabs>
        <w:ind w:left="567" w:hanging="567"/>
        <w:jc w:val="both"/>
        <w:rPr>
          <w:rFonts w:hAnsi="宋体"/>
          <w:color w:val="auto"/>
          <w:kern w:val="2"/>
          <w:sz w:val="21"/>
          <w:szCs w:val="21"/>
          <w:highlight w:val="none"/>
          <w:lang w:val="zh-CN"/>
        </w:rPr>
      </w:pPr>
      <w:r>
        <w:rPr>
          <w:rFonts w:hint="eastAsia" w:hAnsi="宋体"/>
          <w:color w:val="auto"/>
          <w:kern w:val="2"/>
          <w:sz w:val="21"/>
          <w:szCs w:val="21"/>
          <w:highlight w:val="none"/>
          <w:lang w:val="zh-CN"/>
        </w:rPr>
        <w:t>（</w:t>
      </w:r>
      <w:r>
        <w:rPr>
          <w:rFonts w:hint="eastAsia" w:hAnsi="宋体"/>
          <w:color w:val="auto"/>
          <w:kern w:val="2"/>
          <w:sz w:val="21"/>
          <w:szCs w:val="21"/>
          <w:highlight w:val="none"/>
          <w:lang w:val="en-US" w:eastAsia="zh-CN"/>
        </w:rPr>
        <w:t>7</w:t>
      </w:r>
      <w:r>
        <w:rPr>
          <w:rFonts w:hint="eastAsia" w:hAnsi="宋体"/>
          <w:color w:val="auto"/>
          <w:kern w:val="2"/>
          <w:sz w:val="21"/>
          <w:szCs w:val="21"/>
          <w:highlight w:val="none"/>
          <w:lang w:val="zh-CN"/>
        </w:rPr>
        <w:t>）</w:t>
      </w:r>
      <w:r>
        <w:rPr>
          <w:rFonts w:hAnsi="宋体"/>
          <w:color w:val="auto"/>
          <w:kern w:val="2"/>
          <w:sz w:val="21"/>
          <w:szCs w:val="21"/>
          <w:highlight w:val="none"/>
          <w:lang w:val="zh-CN"/>
        </w:rPr>
        <w:t>表土</w:t>
      </w:r>
      <w:r>
        <w:rPr>
          <w:rFonts w:hint="eastAsia" w:hAnsi="宋体"/>
          <w:color w:val="auto"/>
          <w:kern w:val="2"/>
          <w:sz w:val="21"/>
          <w:szCs w:val="21"/>
          <w:highlight w:val="none"/>
          <w:lang w:val="en-US" w:eastAsia="zh-CN"/>
        </w:rPr>
        <w:t>恢</w:t>
      </w:r>
      <w:r>
        <w:rPr>
          <w:rFonts w:hAnsi="宋体"/>
          <w:color w:val="auto"/>
          <w:kern w:val="2"/>
          <w:sz w:val="21"/>
          <w:szCs w:val="21"/>
          <w:highlight w:val="none"/>
          <w:lang w:val="zh-CN"/>
        </w:rPr>
        <w:t>复控制</w:t>
      </w:r>
    </w:p>
    <w:p>
      <w:pPr>
        <w:spacing w:line="360" w:lineRule="auto"/>
        <w:ind w:firstLine="420" w:firstLineChars="200"/>
        <w:rPr>
          <w:rFonts w:hAnsi="宋体" w:cs="宋体"/>
          <w:color w:val="auto"/>
          <w:sz w:val="21"/>
          <w:szCs w:val="21"/>
          <w:highlight w:val="none"/>
          <w:lang w:val="zh-CN" w:eastAsia="en-US"/>
        </w:rPr>
      </w:pPr>
      <w:r>
        <w:rPr>
          <w:rFonts w:hint="eastAsia" w:hAnsi="宋体" w:cs="宋体"/>
          <w:color w:val="auto"/>
          <w:sz w:val="21"/>
          <w:szCs w:val="21"/>
          <w:highlight w:val="none"/>
          <w:lang w:val="zh-CN" w:eastAsia="en-US"/>
        </w:rPr>
        <w:t>把原来收集的表土摊铺到地块上，土层厚度满足设计或规范要求，切实保证表土质量，一般厚度大于30cm，同时，铺完后地面高程与设计高程误差不应超过5cm。回复的表土中不得有石块(卵石)、砂砾石、草根等杂物，若有必须彻底清除干净。</w:t>
      </w:r>
    </w:p>
    <w:p>
      <w:pPr>
        <w:tabs>
          <w:tab w:val="left" w:pos="567"/>
        </w:tabs>
        <w:ind w:left="567" w:hanging="567"/>
        <w:jc w:val="both"/>
        <w:rPr>
          <w:rFonts w:hAnsi="宋体"/>
          <w:color w:val="auto"/>
          <w:kern w:val="2"/>
          <w:sz w:val="21"/>
          <w:szCs w:val="21"/>
          <w:highlight w:val="none"/>
          <w:lang w:val="zh-CN"/>
        </w:rPr>
      </w:pPr>
      <w:r>
        <w:rPr>
          <w:rFonts w:hint="eastAsia" w:hAnsi="宋体"/>
          <w:color w:val="auto"/>
          <w:kern w:val="2"/>
          <w:sz w:val="21"/>
          <w:szCs w:val="21"/>
          <w:highlight w:val="none"/>
          <w:lang w:val="zh-CN"/>
        </w:rPr>
        <w:t>（</w:t>
      </w:r>
      <w:r>
        <w:rPr>
          <w:rFonts w:hint="eastAsia" w:hAnsi="宋体"/>
          <w:color w:val="auto"/>
          <w:kern w:val="2"/>
          <w:sz w:val="21"/>
          <w:szCs w:val="21"/>
          <w:highlight w:val="none"/>
          <w:lang w:val="en-US" w:eastAsia="zh-CN"/>
        </w:rPr>
        <w:t>8</w:t>
      </w:r>
      <w:r>
        <w:rPr>
          <w:rFonts w:hint="eastAsia" w:hAnsi="宋体"/>
          <w:color w:val="auto"/>
          <w:kern w:val="2"/>
          <w:sz w:val="21"/>
          <w:szCs w:val="21"/>
          <w:highlight w:val="none"/>
          <w:lang w:val="zh-CN"/>
        </w:rPr>
        <w:t>）</w:t>
      </w:r>
      <w:r>
        <w:rPr>
          <w:rFonts w:hAnsi="宋体"/>
          <w:color w:val="auto"/>
          <w:kern w:val="2"/>
          <w:sz w:val="21"/>
          <w:szCs w:val="21"/>
          <w:highlight w:val="none"/>
          <w:lang w:val="zh-CN"/>
        </w:rPr>
        <w:t>土地平整检测</w:t>
      </w:r>
    </w:p>
    <w:p>
      <w:pPr>
        <w:tabs>
          <w:tab w:val="left" w:pos="567"/>
        </w:tabs>
        <w:ind w:left="240" w:leftChars="100" w:firstLine="210" w:firstLineChars="100"/>
        <w:jc w:val="both"/>
        <w:rPr>
          <w:rFonts w:hAnsi="宋体"/>
          <w:color w:val="auto"/>
          <w:kern w:val="2"/>
          <w:sz w:val="21"/>
          <w:szCs w:val="21"/>
          <w:highlight w:val="none"/>
          <w:lang w:val="zh-CN"/>
        </w:rPr>
      </w:pPr>
      <w:r>
        <w:rPr>
          <w:rFonts w:hint="eastAsia" w:hAnsi="宋体" w:cs="宋体"/>
          <w:color w:val="auto"/>
          <w:sz w:val="21"/>
          <w:szCs w:val="21"/>
          <w:highlight w:val="none"/>
          <w:lang w:val="zh-CN" w:eastAsia="en-US"/>
        </w:rPr>
        <w:t>施工单位按单元工程进行自检与自评，并填写相应的评定表报</w:t>
      </w:r>
      <w:r>
        <w:rPr>
          <w:rFonts w:hint="eastAsia" w:hAnsi="宋体" w:cs="宋体"/>
          <w:color w:val="auto"/>
          <w:sz w:val="21"/>
          <w:szCs w:val="21"/>
          <w:highlight w:val="none"/>
          <w:lang w:val="en-US" w:eastAsia="zh-CN"/>
        </w:rPr>
        <w:t>建设单位</w:t>
      </w:r>
      <w:r>
        <w:rPr>
          <w:rFonts w:hint="eastAsia" w:hAnsi="宋体" w:cs="宋体"/>
          <w:color w:val="auto"/>
          <w:sz w:val="21"/>
          <w:szCs w:val="21"/>
          <w:highlight w:val="none"/>
          <w:lang w:val="zh-CN" w:eastAsia="en-US"/>
        </w:rPr>
        <w:t>进行审核进行下道工序。</w:t>
      </w:r>
    </w:p>
    <w:p>
      <w:pPr>
        <w:tabs>
          <w:tab w:val="left" w:pos="567"/>
        </w:tabs>
        <w:ind w:left="567" w:hanging="567"/>
        <w:jc w:val="both"/>
        <w:rPr>
          <w:rFonts w:hAnsi="宋体"/>
          <w:color w:val="auto"/>
          <w:kern w:val="2"/>
          <w:sz w:val="21"/>
          <w:szCs w:val="21"/>
          <w:highlight w:val="none"/>
          <w:lang w:val="zh-CN"/>
        </w:rPr>
      </w:pPr>
      <w:r>
        <w:rPr>
          <w:rFonts w:hint="eastAsia" w:hAnsi="宋体"/>
          <w:color w:val="auto"/>
          <w:kern w:val="2"/>
          <w:sz w:val="21"/>
          <w:szCs w:val="21"/>
          <w:highlight w:val="none"/>
          <w:lang w:val="zh-CN"/>
        </w:rPr>
        <w:t>（</w:t>
      </w:r>
      <w:r>
        <w:rPr>
          <w:rFonts w:hint="eastAsia" w:hAnsi="宋体"/>
          <w:color w:val="auto"/>
          <w:kern w:val="2"/>
          <w:sz w:val="21"/>
          <w:szCs w:val="21"/>
          <w:highlight w:val="none"/>
          <w:lang w:val="en-US" w:eastAsia="zh-CN"/>
        </w:rPr>
        <w:t>9</w:t>
      </w:r>
      <w:r>
        <w:rPr>
          <w:rFonts w:hint="eastAsia" w:hAnsi="宋体"/>
          <w:color w:val="auto"/>
          <w:kern w:val="2"/>
          <w:sz w:val="21"/>
          <w:szCs w:val="21"/>
          <w:highlight w:val="none"/>
          <w:lang w:val="zh-CN"/>
        </w:rPr>
        <w:t>）土壤检测</w:t>
      </w:r>
    </w:p>
    <w:p>
      <w:pPr>
        <w:ind w:left="-2" w:leftChars="-1" w:firstLine="420" w:firstLineChars="200"/>
        <w:jc w:val="both"/>
        <w:rPr>
          <w:color w:val="auto"/>
          <w:sz w:val="21"/>
          <w:szCs w:val="21"/>
          <w:highlight w:val="none"/>
        </w:rPr>
      </w:pPr>
      <w:r>
        <w:rPr>
          <w:rFonts w:hint="eastAsia" w:hAnsi="宋体"/>
          <w:color w:val="auto"/>
          <w:kern w:val="2"/>
          <w:sz w:val="21"/>
          <w:szCs w:val="21"/>
          <w:highlight w:val="none"/>
          <w:lang w:val="zh-CN"/>
        </w:rPr>
        <w:t>复垦为旱地的土地自然特性监测内容</w:t>
      </w:r>
      <w:r>
        <w:rPr>
          <w:rFonts w:hint="eastAsia" w:hAnsi="宋体"/>
          <w:color w:val="auto"/>
          <w:kern w:val="2"/>
          <w:sz w:val="21"/>
          <w:szCs w:val="21"/>
          <w:highlight w:val="none"/>
          <w:lang w:val="en-US" w:eastAsia="zh-CN"/>
        </w:rPr>
        <w:t>含：</w:t>
      </w:r>
      <w:r>
        <w:rPr>
          <w:rFonts w:hint="eastAsia" w:hAnsi="宋体"/>
          <w:color w:val="auto"/>
          <w:kern w:val="2"/>
          <w:sz w:val="21"/>
          <w:szCs w:val="21"/>
          <w:highlight w:val="none"/>
          <w:lang w:val="zh-CN"/>
        </w:rPr>
        <w:t>复垦区地形坡度、有效土层厚</w:t>
      </w:r>
      <w:r>
        <w:rPr>
          <w:rFonts w:hint="eastAsia"/>
          <w:color w:val="auto"/>
          <w:sz w:val="21"/>
          <w:szCs w:val="21"/>
          <w:highlight w:val="none"/>
        </w:rPr>
        <w:t>度、土壤容重、土壤酸碱度（pH 值）、有机质含量、土壤侵蚀模数等；其监测方法以相关技术标准为准，监测次数为4次，开工前原土检测一次，客土检测一次，竣工验收一次，</w:t>
      </w:r>
      <w:r>
        <w:rPr>
          <w:rFonts w:hint="eastAsia"/>
          <w:color w:val="auto"/>
          <w:sz w:val="21"/>
          <w:szCs w:val="21"/>
          <w:highlight w:val="none"/>
          <w:lang w:val="en-US" w:eastAsia="zh-CN"/>
        </w:rPr>
        <w:t>养</w:t>
      </w:r>
      <w:r>
        <w:rPr>
          <w:rFonts w:hint="eastAsia"/>
          <w:color w:val="auto"/>
          <w:sz w:val="21"/>
          <w:szCs w:val="21"/>
          <w:highlight w:val="none"/>
        </w:rPr>
        <w:t>护期</w:t>
      </w:r>
      <w:r>
        <w:rPr>
          <w:rFonts w:hint="eastAsia"/>
          <w:color w:val="auto"/>
          <w:sz w:val="21"/>
          <w:szCs w:val="21"/>
          <w:highlight w:val="none"/>
          <w:lang w:val="en-US" w:eastAsia="zh-CN"/>
        </w:rPr>
        <w:t>满</w:t>
      </w:r>
      <w:r>
        <w:rPr>
          <w:rFonts w:hint="eastAsia"/>
          <w:color w:val="auto"/>
          <w:sz w:val="21"/>
          <w:szCs w:val="21"/>
          <w:highlight w:val="none"/>
        </w:rPr>
        <w:t>一次，具体见下表</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pPr>
              <w:pStyle w:val="2"/>
              <w:rPr>
                <w:color w:val="auto"/>
                <w:sz w:val="21"/>
                <w:szCs w:val="21"/>
                <w:highlight w:val="none"/>
                <w:lang w:val="en-US"/>
              </w:rPr>
            </w:pPr>
            <w:r>
              <w:rPr>
                <w:rFonts w:hint="eastAsia"/>
                <w:color w:val="auto"/>
                <w:sz w:val="21"/>
                <w:szCs w:val="21"/>
                <w:highlight w:val="none"/>
                <w:lang w:val="en-US"/>
              </w:rPr>
              <w:t xml:space="preserve">监测内容 </w:t>
            </w:r>
          </w:p>
        </w:tc>
        <w:tc>
          <w:tcPr>
            <w:tcW w:w="3285" w:type="dxa"/>
          </w:tcPr>
          <w:p>
            <w:pPr>
              <w:pStyle w:val="2"/>
              <w:rPr>
                <w:color w:val="auto"/>
                <w:sz w:val="21"/>
                <w:szCs w:val="21"/>
                <w:highlight w:val="none"/>
                <w:lang w:val="en-US"/>
              </w:rPr>
            </w:pPr>
            <w:r>
              <w:rPr>
                <w:rFonts w:hint="eastAsia"/>
                <w:color w:val="auto"/>
                <w:sz w:val="21"/>
                <w:szCs w:val="21"/>
                <w:highlight w:val="none"/>
                <w:lang w:val="en-US"/>
              </w:rPr>
              <w:t>监测点个数（个）</w:t>
            </w:r>
          </w:p>
        </w:tc>
        <w:tc>
          <w:tcPr>
            <w:tcW w:w="3285" w:type="dxa"/>
          </w:tcPr>
          <w:p>
            <w:pPr>
              <w:pStyle w:val="2"/>
              <w:rPr>
                <w:color w:val="auto"/>
                <w:sz w:val="21"/>
                <w:szCs w:val="21"/>
                <w:highlight w:val="none"/>
                <w:lang w:val="en-US"/>
              </w:rPr>
            </w:pPr>
            <w:r>
              <w:rPr>
                <w:rFonts w:hint="eastAsia"/>
                <w:color w:val="auto"/>
                <w:sz w:val="21"/>
                <w:szCs w:val="21"/>
                <w:highlight w:val="none"/>
                <w:lang w:val="en-US"/>
              </w:rPr>
              <w:t>监测次数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pPr>
              <w:pStyle w:val="2"/>
              <w:rPr>
                <w:color w:val="auto"/>
                <w:sz w:val="21"/>
                <w:szCs w:val="21"/>
                <w:highlight w:val="none"/>
                <w:lang w:val="en-US"/>
              </w:rPr>
            </w:pPr>
            <w:r>
              <w:rPr>
                <w:rFonts w:hint="eastAsia"/>
                <w:color w:val="auto"/>
                <w:sz w:val="21"/>
                <w:szCs w:val="21"/>
                <w:highlight w:val="none"/>
                <w:lang w:val="en-US"/>
              </w:rPr>
              <w:t>地面坡度</w:t>
            </w:r>
          </w:p>
        </w:tc>
        <w:tc>
          <w:tcPr>
            <w:tcW w:w="3285" w:type="dxa"/>
          </w:tcPr>
          <w:p>
            <w:pPr>
              <w:pStyle w:val="2"/>
              <w:rPr>
                <w:color w:val="auto"/>
                <w:sz w:val="21"/>
                <w:szCs w:val="21"/>
                <w:highlight w:val="none"/>
                <w:lang w:val="en-US"/>
              </w:rPr>
            </w:pPr>
            <w:r>
              <w:rPr>
                <w:color w:val="auto"/>
                <w:sz w:val="21"/>
                <w:szCs w:val="21"/>
                <w:highlight w:val="none"/>
                <w:lang w:val="en-US"/>
              </w:rPr>
              <w:t>6</w:t>
            </w:r>
          </w:p>
        </w:tc>
        <w:tc>
          <w:tcPr>
            <w:tcW w:w="3285" w:type="dxa"/>
          </w:tcPr>
          <w:p>
            <w:pPr>
              <w:pStyle w:val="2"/>
              <w:rPr>
                <w:rFonts w:hint="eastAsia" w:eastAsia="宋体"/>
                <w:color w:val="auto"/>
                <w:sz w:val="21"/>
                <w:szCs w:val="21"/>
                <w:highlight w:val="none"/>
                <w:lang w:val="en-US" w:eastAsia="zh-CN"/>
              </w:rPr>
            </w:pPr>
            <w:r>
              <w:rPr>
                <w:rFonts w:hint="eastAsia"/>
                <w:color w:val="auto"/>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pPr>
              <w:widowControl/>
              <w:autoSpaceDE/>
              <w:autoSpaceDN/>
              <w:adjustRightInd/>
              <w:jc w:val="center"/>
              <w:rPr>
                <w:color w:val="auto"/>
                <w:sz w:val="21"/>
                <w:szCs w:val="21"/>
                <w:highlight w:val="none"/>
              </w:rPr>
            </w:pPr>
            <w:r>
              <w:rPr>
                <w:rFonts w:hint="eastAsia" w:hAnsi="宋体" w:cs="宋体"/>
                <w:color w:val="auto"/>
                <w:sz w:val="22"/>
                <w:szCs w:val="22"/>
                <w:highlight w:val="none"/>
              </w:rPr>
              <w:t xml:space="preserve">有效土层厚度 </w:t>
            </w:r>
          </w:p>
        </w:tc>
        <w:tc>
          <w:tcPr>
            <w:tcW w:w="3285" w:type="dxa"/>
          </w:tcPr>
          <w:p>
            <w:pPr>
              <w:pStyle w:val="2"/>
              <w:rPr>
                <w:color w:val="auto"/>
                <w:sz w:val="21"/>
                <w:szCs w:val="21"/>
                <w:highlight w:val="none"/>
                <w:lang w:val="en-US"/>
              </w:rPr>
            </w:pPr>
            <w:r>
              <w:rPr>
                <w:color w:val="auto"/>
                <w:sz w:val="21"/>
                <w:szCs w:val="21"/>
                <w:highlight w:val="none"/>
                <w:lang w:val="en-US"/>
              </w:rPr>
              <w:t>6</w:t>
            </w:r>
          </w:p>
        </w:tc>
        <w:tc>
          <w:tcPr>
            <w:tcW w:w="3285" w:type="dxa"/>
          </w:tcPr>
          <w:p>
            <w:pPr>
              <w:pStyle w:val="2"/>
              <w:rPr>
                <w:rFonts w:hint="eastAsia" w:eastAsia="宋体"/>
                <w:color w:val="auto"/>
                <w:sz w:val="21"/>
                <w:szCs w:val="21"/>
                <w:highlight w:val="none"/>
                <w:lang w:val="en-US" w:eastAsia="zh-CN"/>
              </w:rPr>
            </w:pPr>
            <w:r>
              <w:rPr>
                <w:rFonts w:hint="eastAsia"/>
                <w:color w:val="auto"/>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pPr>
              <w:widowControl/>
              <w:autoSpaceDE/>
              <w:autoSpaceDN/>
              <w:adjustRightInd/>
              <w:jc w:val="center"/>
              <w:rPr>
                <w:color w:val="auto"/>
                <w:sz w:val="21"/>
                <w:szCs w:val="21"/>
                <w:highlight w:val="none"/>
              </w:rPr>
            </w:pPr>
            <w:r>
              <w:rPr>
                <w:rFonts w:hint="eastAsia" w:hAnsi="宋体" w:cs="宋体"/>
                <w:color w:val="auto"/>
                <w:sz w:val="22"/>
                <w:szCs w:val="22"/>
                <w:highlight w:val="none"/>
              </w:rPr>
              <w:t>pH 值</w:t>
            </w:r>
          </w:p>
        </w:tc>
        <w:tc>
          <w:tcPr>
            <w:tcW w:w="3285" w:type="dxa"/>
          </w:tcPr>
          <w:p>
            <w:pPr>
              <w:pStyle w:val="2"/>
              <w:rPr>
                <w:color w:val="auto"/>
                <w:sz w:val="21"/>
                <w:szCs w:val="21"/>
                <w:highlight w:val="none"/>
                <w:lang w:val="en-US"/>
              </w:rPr>
            </w:pPr>
            <w:r>
              <w:rPr>
                <w:color w:val="auto"/>
                <w:sz w:val="21"/>
                <w:szCs w:val="21"/>
                <w:highlight w:val="none"/>
                <w:lang w:val="en-US"/>
              </w:rPr>
              <w:t>6</w:t>
            </w:r>
          </w:p>
        </w:tc>
        <w:tc>
          <w:tcPr>
            <w:tcW w:w="3285" w:type="dxa"/>
          </w:tcPr>
          <w:p>
            <w:pPr>
              <w:pStyle w:val="2"/>
              <w:rPr>
                <w:rFonts w:hint="eastAsia" w:eastAsia="宋体"/>
                <w:color w:val="auto"/>
                <w:sz w:val="21"/>
                <w:szCs w:val="21"/>
                <w:highlight w:val="none"/>
                <w:lang w:val="en-US" w:eastAsia="zh-CN"/>
              </w:rPr>
            </w:pPr>
            <w:r>
              <w:rPr>
                <w:rFonts w:hint="eastAsia"/>
                <w:color w:val="auto"/>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pPr>
              <w:pStyle w:val="2"/>
              <w:rPr>
                <w:color w:val="auto"/>
                <w:sz w:val="21"/>
                <w:szCs w:val="21"/>
                <w:highlight w:val="none"/>
                <w:lang w:val="en-US"/>
              </w:rPr>
            </w:pPr>
            <w:r>
              <w:rPr>
                <w:rFonts w:hint="eastAsia" w:hAnsi="宋体" w:cs="宋体"/>
                <w:color w:val="auto"/>
                <w:sz w:val="22"/>
                <w:szCs w:val="22"/>
                <w:highlight w:val="none"/>
              </w:rPr>
              <w:t>重金属含量</w:t>
            </w:r>
          </w:p>
        </w:tc>
        <w:tc>
          <w:tcPr>
            <w:tcW w:w="3285" w:type="dxa"/>
          </w:tcPr>
          <w:p>
            <w:pPr>
              <w:pStyle w:val="2"/>
              <w:rPr>
                <w:color w:val="auto"/>
                <w:sz w:val="21"/>
                <w:szCs w:val="21"/>
                <w:highlight w:val="none"/>
                <w:lang w:val="en-US"/>
              </w:rPr>
            </w:pPr>
            <w:r>
              <w:rPr>
                <w:color w:val="auto"/>
                <w:sz w:val="21"/>
                <w:szCs w:val="21"/>
                <w:highlight w:val="none"/>
                <w:lang w:val="en-US"/>
              </w:rPr>
              <w:t>6</w:t>
            </w:r>
          </w:p>
        </w:tc>
        <w:tc>
          <w:tcPr>
            <w:tcW w:w="3285" w:type="dxa"/>
          </w:tcPr>
          <w:p>
            <w:pPr>
              <w:pStyle w:val="2"/>
              <w:rPr>
                <w:rFonts w:hint="eastAsia" w:eastAsia="宋体"/>
                <w:color w:val="auto"/>
                <w:sz w:val="21"/>
                <w:szCs w:val="21"/>
                <w:highlight w:val="none"/>
                <w:lang w:val="en-US" w:eastAsia="zh-CN"/>
              </w:rPr>
            </w:pPr>
            <w:r>
              <w:rPr>
                <w:rFonts w:hint="eastAsia"/>
                <w:color w:val="auto"/>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pPr>
              <w:pStyle w:val="2"/>
              <w:rPr>
                <w:color w:val="auto"/>
                <w:sz w:val="21"/>
                <w:szCs w:val="21"/>
                <w:highlight w:val="none"/>
                <w:lang w:val="en-US"/>
              </w:rPr>
            </w:pPr>
            <w:r>
              <w:rPr>
                <w:rFonts w:hint="eastAsia" w:hAnsi="宋体" w:cs="宋体"/>
                <w:color w:val="auto"/>
                <w:sz w:val="22"/>
                <w:szCs w:val="22"/>
                <w:highlight w:val="none"/>
              </w:rPr>
              <w:t>土壤质地</w:t>
            </w:r>
          </w:p>
        </w:tc>
        <w:tc>
          <w:tcPr>
            <w:tcW w:w="3285" w:type="dxa"/>
          </w:tcPr>
          <w:p>
            <w:pPr>
              <w:pStyle w:val="2"/>
              <w:rPr>
                <w:color w:val="auto"/>
                <w:sz w:val="21"/>
                <w:szCs w:val="21"/>
                <w:highlight w:val="none"/>
                <w:lang w:val="en-US"/>
              </w:rPr>
            </w:pPr>
            <w:r>
              <w:rPr>
                <w:color w:val="auto"/>
                <w:sz w:val="21"/>
                <w:szCs w:val="21"/>
                <w:highlight w:val="none"/>
                <w:lang w:val="en-US"/>
              </w:rPr>
              <w:t>6</w:t>
            </w:r>
          </w:p>
        </w:tc>
        <w:tc>
          <w:tcPr>
            <w:tcW w:w="3285" w:type="dxa"/>
          </w:tcPr>
          <w:p>
            <w:pPr>
              <w:pStyle w:val="2"/>
              <w:rPr>
                <w:rFonts w:hint="eastAsia" w:eastAsia="宋体"/>
                <w:color w:val="auto"/>
                <w:sz w:val="21"/>
                <w:szCs w:val="21"/>
                <w:highlight w:val="none"/>
                <w:lang w:val="en-US" w:eastAsia="zh-CN"/>
              </w:rPr>
            </w:pPr>
            <w:r>
              <w:rPr>
                <w:rFonts w:hint="eastAsia"/>
                <w:color w:val="auto"/>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pPr>
              <w:pStyle w:val="2"/>
              <w:rPr>
                <w:color w:val="auto"/>
                <w:sz w:val="21"/>
                <w:szCs w:val="21"/>
                <w:highlight w:val="none"/>
                <w:lang w:val="en-US"/>
              </w:rPr>
            </w:pPr>
            <w:r>
              <w:rPr>
                <w:rFonts w:hint="eastAsia" w:hAnsi="宋体" w:cs="宋体"/>
                <w:color w:val="auto"/>
                <w:sz w:val="22"/>
                <w:szCs w:val="22"/>
                <w:highlight w:val="none"/>
              </w:rPr>
              <w:t>土壤砾石含量</w:t>
            </w:r>
          </w:p>
        </w:tc>
        <w:tc>
          <w:tcPr>
            <w:tcW w:w="3285" w:type="dxa"/>
          </w:tcPr>
          <w:p>
            <w:pPr>
              <w:pStyle w:val="2"/>
              <w:rPr>
                <w:color w:val="auto"/>
                <w:sz w:val="21"/>
                <w:szCs w:val="21"/>
                <w:highlight w:val="none"/>
                <w:lang w:val="en-US"/>
              </w:rPr>
            </w:pPr>
            <w:r>
              <w:rPr>
                <w:color w:val="auto"/>
                <w:sz w:val="21"/>
                <w:szCs w:val="21"/>
                <w:highlight w:val="none"/>
                <w:lang w:val="en-US"/>
              </w:rPr>
              <w:t>6</w:t>
            </w:r>
          </w:p>
        </w:tc>
        <w:tc>
          <w:tcPr>
            <w:tcW w:w="3285" w:type="dxa"/>
          </w:tcPr>
          <w:p>
            <w:pPr>
              <w:pStyle w:val="2"/>
              <w:rPr>
                <w:rFonts w:hint="eastAsia" w:eastAsia="宋体"/>
                <w:color w:val="auto"/>
                <w:sz w:val="21"/>
                <w:szCs w:val="21"/>
                <w:highlight w:val="none"/>
                <w:lang w:val="en-US" w:eastAsia="zh-CN"/>
              </w:rPr>
            </w:pPr>
            <w:r>
              <w:rPr>
                <w:rFonts w:hint="eastAsia"/>
                <w:color w:val="auto"/>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pPr>
              <w:widowControl/>
              <w:autoSpaceDE/>
              <w:autoSpaceDN/>
              <w:adjustRightInd/>
              <w:jc w:val="center"/>
              <w:rPr>
                <w:color w:val="auto"/>
                <w:sz w:val="21"/>
                <w:szCs w:val="21"/>
                <w:highlight w:val="none"/>
              </w:rPr>
            </w:pPr>
            <w:r>
              <w:rPr>
                <w:rFonts w:hint="eastAsia" w:hAnsi="宋体" w:cs="宋体"/>
                <w:color w:val="auto"/>
                <w:sz w:val="22"/>
                <w:szCs w:val="22"/>
                <w:highlight w:val="none"/>
              </w:rPr>
              <w:t>土壤容重（压实）</w:t>
            </w:r>
          </w:p>
        </w:tc>
        <w:tc>
          <w:tcPr>
            <w:tcW w:w="3285" w:type="dxa"/>
          </w:tcPr>
          <w:p>
            <w:pPr>
              <w:pStyle w:val="2"/>
              <w:rPr>
                <w:color w:val="auto"/>
                <w:sz w:val="21"/>
                <w:szCs w:val="21"/>
                <w:highlight w:val="none"/>
                <w:lang w:val="en-US"/>
              </w:rPr>
            </w:pPr>
            <w:r>
              <w:rPr>
                <w:color w:val="auto"/>
                <w:sz w:val="21"/>
                <w:szCs w:val="21"/>
                <w:highlight w:val="none"/>
                <w:lang w:val="en-US"/>
              </w:rPr>
              <w:t>6</w:t>
            </w:r>
          </w:p>
        </w:tc>
        <w:tc>
          <w:tcPr>
            <w:tcW w:w="3285" w:type="dxa"/>
          </w:tcPr>
          <w:p>
            <w:pPr>
              <w:pStyle w:val="2"/>
              <w:rPr>
                <w:rFonts w:hint="eastAsia" w:eastAsia="宋体"/>
                <w:color w:val="auto"/>
                <w:sz w:val="21"/>
                <w:szCs w:val="21"/>
                <w:highlight w:val="none"/>
                <w:lang w:val="en-US" w:eastAsia="zh-CN"/>
              </w:rPr>
            </w:pPr>
            <w:r>
              <w:rPr>
                <w:rFonts w:hint="eastAsia"/>
                <w:color w:val="auto"/>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pPr>
              <w:widowControl/>
              <w:autoSpaceDE/>
              <w:autoSpaceDN/>
              <w:adjustRightInd/>
              <w:jc w:val="center"/>
              <w:rPr>
                <w:color w:val="auto"/>
                <w:sz w:val="21"/>
                <w:szCs w:val="21"/>
                <w:highlight w:val="none"/>
              </w:rPr>
            </w:pPr>
            <w:r>
              <w:rPr>
                <w:rFonts w:hint="eastAsia" w:hAnsi="宋体" w:cs="宋体"/>
                <w:color w:val="auto"/>
                <w:sz w:val="22"/>
                <w:szCs w:val="22"/>
                <w:highlight w:val="none"/>
              </w:rPr>
              <w:t>有机质含量</w:t>
            </w:r>
          </w:p>
        </w:tc>
        <w:tc>
          <w:tcPr>
            <w:tcW w:w="3285" w:type="dxa"/>
          </w:tcPr>
          <w:p>
            <w:pPr>
              <w:pStyle w:val="2"/>
              <w:rPr>
                <w:color w:val="auto"/>
                <w:sz w:val="21"/>
                <w:szCs w:val="21"/>
                <w:highlight w:val="none"/>
                <w:lang w:val="en-US"/>
              </w:rPr>
            </w:pPr>
            <w:r>
              <w:rPr>
                <w:color w:val="auto"/>
                <w:sz w:val="21"/>
                <w:szCs w:val="21"/>
                <w:highlight w:val="none"/>
                <w:lang w:val="en-US"/>
              </w:rPr>
              <w:t>6</w:t>
            </w:r>
          </w:p>
        </w:tc>
        <w:tc>
          <w:tcPr>
            <w:tcW w:w="3285" w:type="dxa"/>
          </w:tcPr>
          <w:p>
            <w:pPr>
              <w:pStyle w:val="2"/>
              <w:rPr>
                <w:color w:val="auto"/>
                <w:sz w:val="21"/>
                <w:szCs w:val="21"/>
                <w:highlight w:val="none"/>
                <w:lang w:val="en-US"/>
              </w:rPr>
            </w:pPr>
            <w:r>
              <w:rPr>
                <w:rFonts w:hint="eastAsia"/>
                <w:color w:val="auto"/>
                <w:sz w:val="21"/>
                <w:szCs w:val="21"/>
                <w:highlight w:val="none"/>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pPr>
              <w:pStyle w:val="2"/>
              <w:rPr>
                <w:color w:val="auto"/>
                <w:sz w:val="21"/>
                <w:szCs w:val="21"/>
                <w:highlight w:val="none"/>
                <w:lang w:val="en-US"/>
              </w:rPr>
            </w:pPr>
            <w:r>
              <w:rPr>
                <w:rFonts w:hint="eastAsia" w:hAnsi="宋体" w:cs="宋体"/>
                <w:color w:val="auto"/>
                <w:sz w:val="22"/>
                <w:szCs w:val="22"/>
                <w:highlight w:val="none"/>
              </w:rPr>
              <w:t>土壤侵蚀</w:t>
            </w:r>
          </w:p>
        </w:tc>
        <w:tc>
          <w:tcPr>
            <w:tcW w:w="3285" w:type="dxa"/>
          </w:tcPr>
          <w:p>
            <w:pPr>
              <w:pStyle w:val="2"/>
              <w:rPr>
                <w:color w:val="auto"/>
                <w:sz w:val="21"/>
                <w:szCs w:val="21"/>
                <w:highlight w:val="none"/>
                <w:lang w:val="en-US"/>
              </w:rPr>
            </w:pPr>
            <w:r>
              <w:rPr>
                <w:color w:val="auto"/>
                <w:sz w:val="21"/>
                <w:szCs w:val="21"/>
                <w:highlight w:val="none"/>
                <w:lang w:val="en-US"/>
              </w:rPr>
              <w:t>6</w:t>
            </w:r>
          </w:p>
        </w:tc>
        <w:tc>
          <w:tcPr>
            <w:tcW w:w="3285" w:type="dxa"/>
          </w:tcPr>
          <w:p>
            <w:pPr>
              <w:pStyle w:val="2"/>
              <w:rPr>
                <w:color w:val="auto"/>
                <w:sz w:val="21"/>
                <w:szCs w:val="21"/>
                <w:highlight w:val="none"/>
                <w:lang w:val="en-US"/>
              </w:rPr>
            </w:pPr>
            <w:r>
              <w:rPr>
                <w:rFonts w:hint="eastAsia"/>
                <w:color w:val="auto"/>
                <w:sz w:val="21"/>
                <w:szCs w:val="21"/>
                <w:highlight w:val="none"/>
                <w:lang w:val="en-US"/>
              </w:rPr>
              <w:t>4</w:t>
            </w:r>
          </w:p>
        </w:tc>
      </w:tr>
    </w:tbl>
    <w:p>
      <w:pPr>
        <w:pStyle w:val="2"/>
        <w:rPr>
          <w:color w:val="auto"/>
          <w:sz w:val="21"/>
          <w:szCs w:val="21"/>
          <w:highlight w:val="none"/>
          <w:lang w:val="en-US"/>
        </w:rPr>
      </w:pPr>
    </w:p>
    <w:p>
      <w:pPr>
        <w:jc w:val="both"/>
        <w:rPr>
          <w:rFonts w:hAnsi="宋体"/>
          <w:color w:val="auto"/>
          <w:kern w:val="2"/>
          <w:sz w:val="21"/>
          <w:szCs w:val="21"/>
          <w:highlight w:val="none"/>
          <w:lang w:val="zh-CN"/>
        </w:rPr>
      </w:pPr>
      <w:r>
        <w:rPr>
          <w:rFonts w:hint="eastAsia"/>
          <w:color w:val="auto"/>
          <w:sz w:val="21"/>
          <w:szCs w:val="21"/>
          <w:highlight w:val="none"/>
        </w:rPr>
        <w:t>4.2 复垦验收要求</w:t>
      </w:r>
    </w:p>
    <w:p>
      <w:pPr>
        <w:spacing w:line="360" w:lineRule="auto"/>
        <w:ind w:firstLine="420" w:firstLineChars="200"/>
        <w:rPr>
          <w:rFonts w:hAnsi="宋体" w:cs="宋体"/>
          <w:color w:val="auto"/>
          <w:sz w:val="21"/>
          <w:szCs w:val="21"/>
          <w:highlight w:val="none"/>
          <w:lang w:val="zh-CN" w:eastAsia="en-US"/>
        </w:rPr>
      </w:pPr>
      <w:r>
        <w:rPr>
          <w:rFonts w:hint="eastAsia" w:hAnsi="宋体" w:cs="宋体"/>
          <w:color w:val="auto"/>
          <w:sz w:val="21"/>
          <w:szCs w:val="21"/>
          <w:highlight w:val="none"/>
          <w:lang w:val="zh-CN" w:eastAsia="en-US"/>
        </w:rPr>
        <w:t>（</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val="zh-CN" w:eastAsia="en-US"/>
        </w:rPr>
        <w:t>）施工完成后，先</w:t>
      </w:r>
      <w:r>
        <w:rPr>
          <w:rFonts w:hint="eastAsia" w:hAnsi="宋体" w:cs="宋体"/>
          <w:color w:val="auto"/>
          <w:sz w:val="21"/>
          <w:szCs w:val="21"/>
          <w:highlight w:val="none"/>
        </w:rPr>
        <w:t>绘制</w:t>
      </w:r>
      <w:r>
        <w:rPr>
          <w:rFonts w:hint="eastAsia" w:hAnsi="宋体" w:cs="宋体"/>
          <w:color w:val="auto"/>
          <w:sz w:val="21"/>
          <w:szCs w:val="21"/>
          <w:highlight w:val="none"/>
          <w:lang w:val="zh-CN" w:eastAsia="en-US"/>
        </w:rPr>
        <w:t>竣工图，根据竣工图与设计图比对，完成规划设计执行报告。</w:t>
      </w:r>
    </w:p>
    <w:p>
      <w:pPr>
        <w:spacing w:line="360" w:lineRule="auto"/>
        <w:ind w:firstLine="420" w:firstLineChars="200"/>
        <w:rPr>
          <w:rFonts w:hAnsi="宋体" w:cs="宋体"/>
          <w:color w:val="auto"/>
          <w:sz w:val="21"/>
          <w:szCs w:val="21"/>
          <w:highlight w:val="none"/>
          <w:lang w:val="zh-CN" w:eastAsia="en-US"/>
        </w:rPr>
      </w:pPr>
      <w:r>
        <w:rPr>
          <w:rFonts w:hint="eastAsia" w:hAnsi="宋体" w:cs="宋体"/>
          <w:color w:val="auto"/>
          <w:sz w:val="21"/>
          <w:szCs w:val="21"/>
          <w:highlight w:val="none"/>
          <w:lang w:val="zh-CN" w:eastAsia="en-US"/>
        </w:rPr>
        <w:t>（</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val="zh-CN" w:eastAsia="en-US"/>
        </w:rPr>
        <w:t>）现场提取土壤样本，并送到检测机构，取得土壤的理化指标；挖取土壤剖面通过表观观察，获取土地的表观指标；通过现场调查了解农作物的生长情况，获取复垦作物的生长效果；最后根据以上资料编制完成复垦质量评估报告。</w:t>
      </w:r>
    </w:p>
    <w:p>
      <w:pPr>
        <w:spacing w:line="360" w:lineRule="auto"/>
        <w:ind w:firstLine="420" w:firstLineChars="200"/>
        <w:rPr>
          <w:rFonts w:hAnsi="宋体" w:cs="宋体"/>
          <w:color w:val="auto"/>
          <w:sz w:val="21"/>
          <w:szCs w:val="21"/>
          <w:highlight w:val="none"/>
          <w:lang w:val="zh-CN" w:eastAsia="en-US"/>
        </w:rPr>
      </w:pPr>
      <w:r>
        <w:rPr>
          <w:rFonts w:hint="eastAsia" w:hAnsi="宋体" w:cs="宋体"/>
          <w:color w:val="auto"/>
          <w:sz w:val="21"/>
          <w:szCs w:val="21"/>
          <w:highlight w:val="none"/>
          <w:lang w:val="zh-CN" w:eastAsia="en-US"/>
        </w:rPr>
        <w:t>（</w:t>
      </w:r>
      <w:r>
        <w:rPr>
          <w:rFonts w:hint="eastAsia" w:hAnsi="宋体" w:cs="宋体"/>
          <w:color w:val="auto"/>
          <w:sz w:val="21"/>
          <w:szCs w:val="21"/>
          <w:highlight w:val="none"/>
          <w:lang w:val="en-US" w:eastAsia="zh-CN"/>
        </w:rPr>
        <w:t>3</w:t>
      </w:r>
      <w:r>
        <w:rPr>
          <w:rFonts w:hint="eastAsia" w:hAnsi="宋体" w:cs="宋体"/>
          <w:color w:val="auto"/>
          <w:sz w:val="21"/>
          <w:szCs w:val="21"/>
          <w:highlight w:val="none"/>
          <w:lang w:val="zh-CN" w:eastAsia="en-US"/>
        </w:rPr>
        <w:t>）通过现场调查结果、理化分析结果，比对复垦方案与竣工图的复垦工程量与复垦质量，撰写复垦项目验收调查报告。</w:t>
      </w:r>
    </w:p>
    <w:p>
      <w:pPr>
        <w:spacing w:line="360" w:lineRule="auto"/>
        <w:ind w:firstLine="420" w:firstLineChars="200"/>
        <w:rPr>
          <w:rFonts w:hAnsi="宋体" w:cs="宋体"/>
          <w:color w:val="auto"/>
          <w:sz w:val="21"/>
          <w:szCs w:val="21"/>
          <w:highlight w:val="none"/>
          <w:lang w:val="zh-CN" w:eastAsia="en-US"/>
        </w:rPr>
      </w:pPr>
      <w:r>
        <w:rPr>
          <w:rFonts w:hint="eastAsia" w:hAnsi="宋体" w:cs="宋体"/>
          <w:color w:val="auto"/>
          <w:sz w:val="21"/>
          <w:szCs w:val="21"/>
          <w:highlight w:val="none"/>
          <w:lang w:val="zh-CN" w:eastAsia="en-US"/>
        </w:rPr>
        <w:t>（</w:t>
      </w:r>
      <w:r>
        <w:rPr>
          <w:rFonts w:hint="eastAsia" w:hAnsi="宋体" w:cs="宋体"/>
          <w:color w:val="auto"/>
          <w:sz w:val="21"/>
          <w:szCs w:val="21"/>
          <w:highlight w:val="none"/>
          <w:lang w:val="en-US" w:eastAsia="zh-CN"/>
        </w:rPr>
        <w:t>4</w:t>
      </w:r>
      <w:r>
        <w:rPr>
          <w:rFonts w:hint="eastAsia" w:hAnsi="宋体" w:cs="宋体"/>
          <w:color w:val="auto"/>
          <w:sz w:val="21"/>
          <w:szCs w:val="21"/>
          <w:highlight w:val="none"/>
          <w:lang w:val="zh-CN" w:eastAsia="en-US"/>
        </w:rPr>
        <w:t>）组织土地整治专家</w:t>
      </w:r>
      <w:r>
        <w:rPr>
          <w:rFonts w:hint="eastAsia" w:hAnsi="宋体" w:cs="宋体"/>
          <w:color w:val="auto"/>
          <w:sz w:val="21"/>
          <w:szCs w:val="21"/>
          <w:highlight w:val="none"/>
          <w:lang w:val="en-US" w:eastAsia="zh-CN"/>
        </w:rPr>
        <w:t>评审，并通过自然资源分局、环保、农业、林业等部门验收</w:t>
      </w:r>
      <w:r>
        <w:rPr>
          <w:rFonts w:hint="eastAsia" w:hAnsi="宋体" w:cs="宋体"/>
          <w:color w:val="auto"/>
          <w:sz w:val="21"/>
          <w:szCs w:val="21"/>
          <w:highlight w:val="none"/>
          <w:lang w:val="zh-CN" w:eastAsia="en-US"/>
        </w:rPr>
        <w:t>。</w:t>
      </w:r>
    </w:p>
    <w:p>
      <w:pPr>
        <w:pStyle w:val="2"/>
        <w:ind w:firstLine="420" w:firstLineChars="200"/>
        <w:jc w:val="left"/>
        <w:rPr>
          <w:rFonts w:hAnsi="宋体" w:cs="宋体"/>
          <w:b w:val="0"/>
          <w:bCs w:val="0"/>
          <w:color w:val="auto"/>
          <w:kern w:val="0"/>
          <w:sz w:val="21"/>
          <w:szCs w:val="21"/>
          <w:highlight w:val="none"/>
          <w:lang w:eastAsia="en-US"/>
        </w:rPr>
      </w:pPr>
      <w:r>
        <w:rPr>
          <w:rFonts w:hint="eastAsia" w:hAnsi="宋体" w:cs="宋体"/>
          <w:b w:val="0"/>
          <w:bCs w:val="0"/>
          <w:color w:val="auto"/>
          <w:kern w:val="0"/>
          <w:sz w:val="21"/>
          <w:szCs w:val="21"/>
          <w:highlight w:val="none"/>
          <w:lang w:eastAsia="zh-CN"/>
        </w:rPr>
        <w:t>（</w:t>
      </w:r>
      <w:r>
        <w:rPr>
          <w:rFonts w:hint="eastAsia" w:hAnsi="宋体" w:cs="宋体"/>
          <w:b w:val="0"/>
          <w:bCs w:val="0"/>
          <w:color w:val="auto"/>
          <w:kern w:val="0"/>
          <w:sz w:val="21"/>
          <w:szCs w:val="21"/>
          <w:highlight w:val="none"/>
          <w:lang w:val="en-US" w:eastAsia="zh-CN"/>
        </w:rPr>
        <w:t>5</w:t>
      </w:r>
      <w:r>
        <w:rPr>
          <w:rFonts w:hint="eastAsia" w:hAnsi="宋体" w:cs="宋体"/>
          <w:b w:val="0"/>
          <w:bCs w:val="0"/>
          <w:color w:val="auto"/>
          <w:kern w:val="0"/>
          <w:sz w:val="21"/>
          <w:szCs w:val="21"/>
          <w:highlight w:val="none"/>
          <w:lang w:eastAsia="zh-CN"/>
        </w:rPr>
        <w:t>）</w:t>
      </w:r>
      <w:r>
        <w:rPr>
          <w:rFonts w:hint="eastAsia" w:hAnsi="宋体" w:cs="宋体"/>
          <w:b w:val="0"/>
          <w:bCs w:val="0"/>
          <w:color w:val="auto"/>
          <w:kern w:val="0"/>
          <w:sz w:val="21"/>
          <w:szCs w:val="21"/>
          <w:highlight w:val="none"/>
          <w:lang w:eastAsia="en-US"/>
        </w:rPr>
        <w:t>本项目按照地块所属镇街分批次进行复垦施工验收（3个地块）。</w:t>
      </w:r>
    </w:p>
    <w:bookmarkEnd w:id="197"/>
    <w:p>
      <w:pPr>
        <w:pStyle w:val="6"/>
        <w:spacing w:line="360" w:lineRule="auto"/>
        <w:rPr>
          <w:rFonts w:hAnsi="宋体" w:cs="宋体"/>
          <w:color w:val="auto"/>
          <w:sz w:val="21"/>
          <w:szCs w:val="21"/>
          <w:highlight w:val="none"/>
        </w:rPr>
      </w:pPr>
      <w:r>
        <w:rPr>
          <w:rFonts w:hint="eastAsia" w:hAnsi="宋体" w:cs="宋体"/>
          <w:color w:val="auto"/>
          <w:sz w:val="21"/>
          <w:szCs w:val="21"/>
          <w:highlight w:val="none"/>
        </w:rPr>
        <w:t>4.3 项目实施过程中的安全注意事项</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eastAsia="zh-CN"/>
        </w:rPr>
        <w:t>）</w:t>
      </w:r>
      <w:r>
        <w:rPr>
          <w:rFonts w:hint="eastAsia" w:hAnsi="宋体" w:cs="宋体"/>
          <w:color w:val="auto"/>
          <w:sz w:val="21"/>
          <w:szCs w:val="21"/>
          <w:highlight w:val="none"/>
        </w:rPr>
        <w:t>项目开工前复查现场基坑安全情况，包括边坡稳定、水土流失等情况；</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w:t>
      </w:r>
      <w:r>
        <w:rPr>
          <w:rFonts w:hint="eastAsia" w:hAnsi="宋体" w:cs="宋体"/>
          <w:color w:val="auto"/>
          <w:sz w:val="21"/>
          <w:szCs w:val="21"/>
          <w:highlight w:val="none"/>
        </w:rPr>
        <w:t>确保施工机械工作面下部无土方堆体空洞现象；</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3</w:t>
      </w:r>
      <w:r>
        <w:rPr>
          <w:rFonts w:hint="eastAsia" w:hAnsi="宋体" w:cs="宋体"/>
          <w:color w:val="auto"/>
          <w:sz w:val="21"/>
          <w:szCs w:val="21"/>
          <w:highlight w:val="none"/>
          <w:lang w:eastAsia="zh-CN"/>
        </w:rPr>
        <w:t>）</w:t>
      </w:r>
      <w:r>
        <w:rPr>
          <w:rFonts w:hint="eastAsia" w:hAnsi="宋体" w:cs="宋体"/>
          <w:color w:val="auto"/>
          <w:sz w:val="21"/>
          <w:szCs w:val="21"/>
          <w:highlight w:val="none"/>
        </w:rPr>
        <w:t>施工期间，成立以项目经理为组长、专职安全员为副组长、各施工班组负责人为组员的专门安全工作领导小组，建立安全生产责任制；</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4</w:t>
      </w:r>
      <w:r>
        <w:rPr>
          <w:rFonts w:hint="eastAsia" w:hAnsi="宋体" w:cs="宋体"/>
          <w:color w:val="auto"/>
          <w:sz w:val="21"/>
          <w:szCs w:val="21"/>
          <w:highlight w:val="none"/>
          <w:lang w:eastAsia="zh-CN"/>
        </w:rPr>
        <w:t>）</w:t>
      </w:r>
      <w:r>
        <w:rPr>
          <w:rFonts w:hint="eastAsia" w:hAnsi="宋体" w:cs="宋体"/>
          <w:color w:val="auto"/>
          <w:sz w:val="21"/>
          <w:szCs w:val="21"/>
          <w:highlight w:val="none"/>
        </w:rPr>
        <w:t>夜间作业，中标人应负责施工区域充足的照明设施，在危险地段应设置明显的警示标志和护栏。所有作业人员必需穿反光衣，以保证安全；</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5</w:t>
      </w:r>
      <w:r>
        <w:rPr>
          <w:rFonts w:hint="eastAsia" w:hAnsi="宋体" w:cs="宋体"/>
          <w:color w:val="auto"/>
          <w:sz w:val="21"/>
          <w:szCs w:val="21"/>
          <w:highlight w:val="none"/>
          <w:lang w:eastAsia="zh-CN"/>
        </w:rPr>
        <w:t>）</w:t>
      </w:r>
      <w:r>
        <w:rPr>
          <w:rFonts w:hint="eastAsia" w:hAnsi="宋体" w:cs="宋体"/>
          <w:color w:val="auto"/>
          <w:sz w:val="21"/>
          <w:szCs w:val="21"/>
          <w:highlight w:val="none"/>
        </w:rPr>
        <w:t>雨期施工，运输机械和行驶道路应采取防滑措施，以保证行车安全；</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6</w:t>
      </w:r>
      <w:r>
        <w:rPr>
          <w:rFonts w:hint="eastAsia" w:hAnsi="宋体" w:cs="宋体"/>
          <w:color w:val="auto"/>
          <w:sz w:val="21"/>
          <w:szCs w:val="21"/>
          <w:highlight w:val="none"/>
          <w:lang w:eastAsia="zh-CN"/>
        </w:rPr>
        <w:t>）</w:t>
      </w:r>
      <w:r>
        <w:rPr>
          <w:rFonts w:hint="eastAsia" w:hAnsi="宋体" w:cs="宋体"/>
          <w:color w:val="auto"/>
          <w:sz w:val="21"/>
          <w:szCs w:val="21"/>
          <w:highlight w:val="none"/>
        </w:rPr>
        <w:t>做好雨季期间的施工方案。</w:t>
      </w:r>
    </w:p>
    <w:p>
      <w:pPr>
        <w:pStyle w:val="6"/>
        <w:spacing w:line="360" w:lineRule="auto"/>
        <w:rPr>
          <w:rFonts w:hAnsi="宋体" w:cs="宋体"/>
          <w:color w:val="auto"/>
          <w:sz w:val="21"/>
          <w:szCs w:val="21"/>
          <w:highlight w:val="none"/>
        </w:rPr>
      </w:pPr>
      <w:r>
        <w:rPr>
          <w:rFonts w:hint="eastAsia" w:hAnsi="宋体" w:cs="宋体"/>
          <w:color w:val="auto"/>
          <w:sz w:val="21"/>
          <w:szCs w:val="21"/>
          <w:highlight w:val="none"/>
        </w:rPr>
        <w:t>4.4复垦施工专项方案</w:t>
      </w:r>
    </w:p>
    <w:p>
      <w:pPr>
        <w:numPr>
          <w:ilvl w:val="-1"/>
          <w:numId w:val="0"/>
        </w:num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eastAsia="zh-CN"/>
        </w:rPr>
        <w:t>）</w:t>
      </w:r>
      <w:r>
        <w:rPr>
          <w:rFonts w:hint="eastAsia" w:hAnsi="宋体" w:cs="宋体"/>
          <w:color w:val="auto"/>
          <w:sz w:val="21"/>
          <w:szCs w:val="21"/>
          <w:highlight w:val="none"/>
        </w:rPr>
        <w:t>施工形式、施工顺序：分区分层施工。</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w:t>
      </w:r>
      <w:r>
        <w:rPr>
          <w:rFonts w:hint="eastAsia" w:hAnsi="宋体" w:cs="宋体"/>
          <w:color w:val="auto"/>
          <w:sz w:val="21"/>
          <w:szCs w:val="21"/>
          <w:highlight w:val="none"/>
        </w:rPr>
        <w:t>监测方案：在未采取稳定处理前提下，采取随挖随测的方式。主要监测内容：指定专人监测边坡稳定性、机械设施工作环境；每日定期对现场进行安全隐患排查，发现及时处理及报备。</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3</w:t>
      </w:r>
      <w:r>
        <w:rPr>
          <w:rFonts w:hint="eastAsia" w:hAnsi="宋体" w:cs="宋体"/>
          <w:color w:val="auto"/>
          <w:sz w:val="21"/>
          <w:szCs w:val="21"/>
          <w:highlight w:val="none"/>
          <w:lang w:eastAsia="zh-CN"/>
        </w:rPr>
        <w:t>）</w:t>
      </w:r>
      <w:r>
        <w:rPr>
          <w:rFonts w:hint="eastAsia" w:hAnsi="宋体" w:cs="宋体"/>
          <w:color w:val="auto"/>
          <w:sz w:val="21"/>
          <w:szCs w:val="21"/>
          <w:highlight w:val="none"/>
        </w:rPr>
        <w:t>劳动组织安排：本场地施工部分为本项目重点，必须设该分项项目负责人1名，专职安全人员≥1名，所有人需持证上岗，施工区域作业人员需配备专用防护用具。</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（4）</w:t>
      </w:r>
      <w:r>
        <w:rPr>
          <w:rFonts w:hint="eastAsia" w:hAnsi="宋体" w:cs="宋体"/>
          <w:color w:val="auto"/>
          <w:sz w:val="21"/>
          <w:szCs w:val="21"/>
          <w:highlight w:val="none"/>
        </w:rPr>
        <w:t>施工的动态控制：严格按照专项方案中施工计划执行施工工作，出现偏差，必须及时采取纠偏措施，进行评审和总结。</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（5）</w:t>
      </w:r>
      <w:r>
        <w:rPr>
          <w:rFonts w:hint="eastAsia" w:hAnsi="宋体" w:cs="宋体"/>
          <w:color w:val="auto"/>
          <w:sz w:val="21"/>
          <w:szCs w:val="21"/>
          <w:highlight w:val="none"/>
        </w:rPr>
        <w:t>施工前，施工单位应按照建设单位提供的勘察测绘进行放线，进行场地范围的测量与核准并留存影象资料。</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6</w:t>
      </w:r>
      <w:r>
        <w:rPr>
          <w:rFonts w:hint="eastAsia" w:hAnsi="宋体" w:cs="宋体"/>
          <w:color w:val="auto"/>
          <w:sz w:val="21"/>
          <w:szCs w:val="21"/>
          <w:highlight w:val="none"/>
          <w:lang w:eastAsia="zh-CN"/>
        </w:rPr>
        <w:t>）</w:t>
      </w:r>
      <w:r>
        <w:rPr>
          <w:rFonts w:hint="eastAsia" w:hAnsi="宋体" w:cs="宋体"/>
          <w:color w:val="auto"/>
          <w:sz w:val="21"/>
          <w:szCs w:val="21"/>
          <w:highlight w:val="none"/>
        </w:rPr>
        <w:t>施工前编制施工组织方案，确定堆料场地，护坡方案、夜间照明方案等内容。</w:t>
      </w:r>
    </w:p>
    <w:p>
      <w:pPr>
        <w:pStyle w:val="5"/>
        <w:spacing w:line="360" w:lineRule="auto"/>
        <w:rPr>
          <w:rFonts w:cs="宋体"/>
          <w:color w:val="auto"/>
          <w:sz w:val="21"/>
          <w:szCs w:val="21"/>
          <w:highlight w:val="none"/>
        </w:rPr>
      </w:pPr>
      <w:bookmarkStart w:id="198" w:name="_Toc20726411"/>
      <w:r>
        <w:rPr>
          <w:rFonts w:hint="eastAsia" w:cs="宋体"/>
          <w:color w:val="auto"/>
          <w:sz w:val="21"/>
          <w:szCs w:val="21"/>
          <w:highlight w:val="none"/>
        </w:rPr>
        <w:t>5 工期</w:t>
      </w:r>
      <w:bookmarkEnd w:id="198"/>
    </w:p>
    <w:p>
      <w:pPr>
        <w:snapToGrid w:val="0"/>
        <w:spacing w:line="360" w:lineRule="auto"/>
        <w:ind w:firstLine="420" w:firstLineChars="200"/>
        <w:rPr>
          <w:rFonts w:hint="eastAsia" w:hAnsi="宋体" w:cs="宋体"/>
          <w:color w:val="auto"/>
          <w:sz w:val="21"/>
          <w:szCs w:val="21"/>
          <w:highlight w:val="none"/>
        </w:rPr>
      </w:pPr>
      <w:r>
        <w:rPr>
          <w:rFonts w:hint="eastAsia" w:cs="宋体"/>
          <w:color w:val="auto"/>
          <w:sz w:val="21"/>
          <w:szCs w:val="21"/>
          <w:highlight w:val="none"/>
          <w:lang w:val="en-US" w:eastAsia="zh-CN"/>
        </w:rPr>
        <w:t>5.1</w:t>
      </w:r>
      <w:r>
        <w:rPr>
          <w:rFonts w:hint="eastAsia" w:cs="宋体"/>
          <w:color w:val="auto"/>
          <w:sz w:val="21"/>
          <w:szCs w:val="21"/>
          <w:highlight w:val="none"/>
        </w:rPr>
        <w:t>施工工期：</w:t>
      </w:r>
      <w:r>
        <w:rPr>
          <w:rFonts w:hint="eastAsia" w:hAnsi="宋体" w:cs="宋体"/>
          <w:color w:val="auto"/>
          <w:sz w:val="21"/>
          <w:szCs w:val="21"/>
          <w:highlight w:val="none"/>
        </w:rPr>
        <w:t>本项目合同工期暂定为50天，其中大岭山镇地块临时用地、寮步镇地块二临时用地为第一阶段复垦项目，同时施工，工期30个日历天</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自中标通知书发布之日起算</w:t>
      </w:r>
      <w:r>
        <w:rPr>
          <w:rFonts w:hint="eastAsia" w:hAnsi="宋体" w:cs="宋体"/>
          <w:color w:val="auto"/>
          <w:sz w:val="21"/>
          <w:szCs w:val="21"/>
          <w:highlight w:val="none"/>
        </w:rPr>
        <w:t>；寮步镇地块一临时用地为第二阶段复垦项目，工期20个日历天，自合同签订后，以采购人发出的开工令生效之日起算。</w:t>
      </w:r>
    </w:p>
    <w:p>
      <w:pPr>
        <w:pStyle w:val="2"/>
        <w:jc w:val="left"/>
        <w:rPr>
          <w:b w:val="0"/>
          <w:bCs w:val="0"/>
          <w:color w:val="auto"/>
          <w:sz w:val="21"/>
          <w:szCs w:val="21"/>
          <w:highlight w:val="none"/>
          <w:lang w:val="en-US"/>
        </w:rPr>
      </w:pPr>
      <w:r>
        <w:rPr>
          <w:rFonts w:hint="eastAsia"/>
          <w:b w:val="0"/>
          <w:bCs w:val="0"/>
          <w:color w:val="auto"/>
          <w:sz w:val="21"/>
          <w:szCs w:val="21"/>
          <w:highlight w:val="none"/>
          <w:lang w:val="en-US"/>
        </w:rPr>
        <w:t xml:space="preserve">    </w:t>
      </w:r>
      <w:r>
        <w:rPr>
          <w:rFonts w:hint="eastAsia"/>
          <w:b w:val="0"/>
          <w:bCs w:val="0"/>
          <w:color w:val="auto"/>
          <w:sz w:val="21"/>
          <w:szCs w:val="21"/>
          <w:highlight w:val="none"/>
          <w:lang w:val="en-US" w:eastAsia="zh-CN"/>
        </w:rPr>
        <w:t>5.2</w:t>
      </w:r>
      <w:r>
        <w:rPr>
          <w:rFonts w:hint="eastAsia"/>
          <w:b w:val="0"/>
          <w:bCs w:val="0"/>
          <w:color w:val="auto"/>
          <w:sz w:val="21"/>
          <w:szCs w:val="21"/>
          <w:highlight w:val="none"/>
          <w:lang w:val="en-US"/>
        </w:rPr>
        <w:t>养护工期：自复垦验收合格通过后，管理养护期</w:t>
      </w:r>
      <w:r>
        <w:rPr>
          <w:rFonts w:hint="eastAsia"/>
          <w:b w:val="0"/>
          <w:bCs w:val="0"/>
          <w:color w:val="auto"/>
          <w:sz w:val="21"/>
          <w:szCs w:val="21"/>
          <w:highlight w:val="none"/>
          <w:lang w:val="en-US" w:eastAsia="zh-CN"/>
        </w:rPr>
        <w:t>6</w:t>
      </w:r>
      <w:r>
        <w:rPr>
          <w:rFonts w:hint="eastAsia"/>
          <w:b w:val="0"/>
          <w:bCs w:val="0"/>
          <w:color w:val="auto"/>
          <w:sz w:val="21"/>
          <w:szCs w:val="21"/>
          <w:highlight w:val="none"/>
          <w:lang w:val="en-US"/>
        </w:rPr>
        <w:t>个月。</w:t>
      </w:r>
    </w:p>
    <w:p>
      <w:pPr>
        <w:pStyle w:val="5"/>
        <w:spacing w:line="360" w:lineRule="auto"/>
        <w:rPr>
          <w:rFonts w:cs="宋体"/>
          <w:color w:val="auto"/>
          <w:sz w:val="21"/>
          <w:szCs w:val="21"/>
          <w:highlight w:val="none"/>
        </w:rPr>
      </w:pPr>
      <w:bookmarkStart w:id="199" w:name="_Toc383768712"/>
      <w:bookmarkStart w:id="200" w:name="_Toc371873123"/>
      <w:bookmarkStart w:id="201" w:name="_Toc385840572"/>
      <w:bookmarkStart w:id="202" w:name="_Toc441234932"/>
      <w:bookmarkStart w:id="203" w:name="_Toc20726415"/>
      <w:bookmarkStart w:id="204" w:name="_Toc411868452"/>
      <w:r>
        <w:rPr>
          <w:rFonts w:hint="eastAsia" w:cs="宋体"/>
          <w:color w:val="auto"/>
          <w:sz w:val="21"/>
          <w:szCs w:val="21"/>
          <w:highlight w:val="none"/>
        </w:rPr>
        <w:t>6、工程保险</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开工前，</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应为本项目、施工场地内的自有人员、第三者人员生命财产办理保险，支付保险费用。中标人必须为从事危险作业的职工办理意外伤害保险，并为项目场地内的自有人员生命财产及施工机械设备办理保险，支付保险费用。</w:t>
      </w:r>
    </w:p>
    <w:p>
      <w:pPr>
        <w:pStyle w:val="5"/>
        <w:spacing w:line="360" w:lineRule="auto"/>
        <w:rPr>
          <w:rFonts w:cs="宋体"/>
          <w:color w:val="auto"/>
          <w:sz w:val="21"/>
          <w:szCs w:val="21"/>
          <w:highlight w:val="none"/>
        </w:rPr>
      </w:pPr>
      <w:r>
        <w:rPr>
          <w:rFonts w:hint="eastAsia" w:cs="宋体"/>
          <w:color w:val="auto"/>
          <w:sz w:val="21"/>
          <w:szCs w:val="21"/>
          <w:highlight w:val="none"/>
        </w:rPr>
        <w:t>7、劳务</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7.1</w:t>
      </w:r>
      <w:r>
        <w:rPr>
          <w:rFonts w:hint="eastAsia" w:hAnsi="宋体" w:cs="宋体"/>
          <w:color w:val="auto"/>
          <w:sz w:val="21"/>
          <w:szCs w:val="21"/>
          <w:highlight w:val="none"/>
        </w:rPr>
        <w:t>除合同另有规定外，中标人应自行聘（雇）用当地或其它来源的雇员，并负责支付上述人员的工资（包括住宿及交通等费用），以及进场和退场的一切费用。中标人聘（雇）员应在当地注册的劳务部门办理手续，并与他聘（雇）用的雇员（包括劳务工在内的所有工人）订立劳务合同协议，按国家规定提供劳动保护，明确劳动报酬等内容，并严格履行，及时足额支付工资等劳动报酬。中标人不得从为</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或工程师服务的人员中招聘雇员。</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7.2</w:t>
      </w:r>
      <w:r>
        <w:rPr>
          <w:rFonts w:hint="eastAsia" w:hAnsi="宋体" w:cs="宋体"/>
          <w:color w:val="auto"/>
          <w:sz w:val="21"/>
          <w:szCs w:val="21"/>
          <w:highlight w:val="none"/>
        </w:rPr>
        <w:t>中标人不得以任何</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的责任（如未按时支付项目款）为理由延期支付上述雇员的工资。中标人必须严格按照国家、省、市、等有关规定支付劳务工工资、不得拖欠或克扣。对</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支付的项目款，中标人须优先用于支付工人劳动报酬，确保不发生因拖欠工人工资而导致的停工闹事等事件。若因中标人未按时支付劳务工劳动报酬导致劳务工有可能停工、闹事、投诉、曝光等不利影响的，</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有权代中标人直接支付劳务工劳动报酬，并以代付款金额的20%扣除中标人违约金，该等代付的劳动报酬及违约金将从中标人项目款或劳务工工资保证金中扣除，</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并有权解除本合同。本合同签订后，</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代中标人直接支付劳务工劳动报酬的行为视为已获中标人的授权。</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中标人通过劳务公司分包劳务的，应将劳务发包给具有相应资质的劳务分包单位，并按照劳务分包合同约定及时足额支付劳务费用。中标人应在劳务分包合同中要求劳务分包单位对所有派遣人员投保意外伤害险。保险单复印件应提供一份给</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备案，中标人未对劳务分包单位提出此类要求的，中标人与劳务分包单位承担连带责任。</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7.3</w:t>
      </w:r>
      <w:r>
        <w:rPr>
          <w:rFonts w:hint="eastAsia" w:hAnsi="宋体" w:cs="宋体"/>
          <w:color w:val="auto"/>
          <w:sz w:val="21"/>
          <w:szCs w:val="21"/>
          <w:highlight w:val="none"/>
        </w:rPr>
        <w:t>中标人签订的劳务分包合同的副本应报送工程师审批备案。中标人不得以劳务分包为名行项目分包之实。如经发现，按中标人违约处理。</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7.4</w:t>
      </w:r>
      <w:r>
        <w:rPr>
          <w:rFonts w:hint="eastAsia" w:hAnsi="宋体" w:cs="宋体"/>
          <w:color w:val="auto"/>
          <w:sz w:val="21"/>
          <w:szCs w:val="21"/>
          <w:highlight w:val="none"/>
        </w:rPr>
        <w:t>如果工程师提出要求，中标人应向工程师提交一份详细的统计表，其格式和提交的间隔时间应符合项目工程师的规定。该表应填报中标人在现场的各类职员和各个工种、等级的工人人数，以及工程师要求的有关中标人装备等资料。</w:t>
      </w:r>
    </w:p>
    <w:bookmarkEnd w:id="199"/>
    <w:bookmarkEnd w:id="200"/>
    <w:bookmarkEnd w:id="201"/>
    <w:bookmarkEnd w:id="202"/>
    <w:bookmarkEnd w:id="203"/>
    <w:bookmarkEnd w:id="204"/>
    <w:p>
      <w:pPr>
        <w:snapToGrid w:val="0"/>
        <w:spacing w:line="360" w:lineRule="auto"/>
        <w:ind w:firstLine="422" w:firstLineChars="200"/>
        <w:rPr>
          <w:rFonts w:hAnsi="宋体" w:cs="宋体"/>
          <w:b/>
          <w:bCs/>
          <w:color w:val="auto"/>
          <w:sz w:val="21"/>
          <w:szCs w:val="21"/>
          <w:highlight w:val="none"/>
        </w:rPr>
      </w:pPr>
      <w:r>
        <w:rPr>
          <w:rFonts w:hint="eastAsia" w:hAnsi="宋体" w:cs="宋体"/>
          <w:b/>
          <w:bCs/>
          <w:color w:val="auto"/>
          <w:sz w:val="21"/>
          <w:szCs w:val="21"/>
          <w:highlight w:val="none"/>
          <w:lang w:val="en-US" w:eastAsia="zh-CN"/>
        </w:rPr>
        <w:t xml:space="preserve">7.5 </w:t>
      </w:r>
      <w:r>
        <w:rPr>
          <w:rFonts w:hint="eastAsia" w:hAnsi="宋体" w:cs="宋体"/>
          <w:b/>
          <w:bCs/>
          <w:color w:val="auto"/>
          <w:sz w:val="21"/>
          <w:szCs w:val="21"/>
          <w:highlight w:val="none"/>
        </w:rPr>
        <w:t>合同价款结算原则：</w:t>
      </w:r>
    </w:p>
    <w:p>
      <w:pPr>
        <w:spacing w:line="360" w:lineRule="auto"/>
        <w:ind w:firstLine="422" w:firstLineChars="200"/>
        <w:rPr>
          <w:rFonts w:hint="eastAsia" w:hAnsi="宋体"/>
          <w:color w:val="auto"/>
          <w:sz w:val="21"/>
          <w:szCs w:val="21"/>
          <w:highlight w:val="none"/>
        </w:rPr>
      </w:pPr>
      <w:r>
        <w:rPr>
          <w:rFonts w:hint="eastAsia" w:hAnsi="宋体" w:cs="宋体"/>
          <w:b/>
          <w:bCs/>
          <w:color w:val="auto"/>
          <w:sz w:val="21"/>
          <w:szCs w:val="21"/>
          <w:highlight w:val="none"/>
        </w:rPr>
        <w:t>（1）</w:t>
      </w:r>
      <w:r>
        <w:rPr>
          <w:rFonts w:hint="eastAsia" w:hAnsi="宋体" w:cs="宋体"/>
          <w:b/>
          <w:bCs/>
          <w:color w:val="auto"/>
          <w:sz w:val="21"/>
          <w:szCs w:val="21"/>
          <w:highlight w:val="none"/>
          <w:lang w:val="en-US" w:eastAsia="zh-CN"/>
        </w:rPr>
        <w:t>最终</w:t>
      </w:r>
      <w:r>
        <w:rPr>
          <w:rFonts w:hint="eastAsia" w:hAnsi="宋体"/>
          <w:color w:val="auto"/>
          <w:sz w:val="21"/>
          <w:szCs w:val="21"/>
          <w:highlight w:val="none"/>
        </w:rPr>
        <w:t>结算价=</w:t>
      </w:r>
      <w:r>
        <w:rPr>
          <w:rFonts w:hint="eastAsia" w:hAnsi="宋体"/>
          <w:color w:val="auto"/>
          <w:kern w:val="0"/>
          <w:sz w:val="21"/>
          <w:szCs w:val="21"/>
          <w:highlight w:val="none"/>
        </w:rPr>
        <w:t>合同</w:t>
      </w:r>
      <w:r>
        <w:rPr>
          <w:rFonts w:hint="eastAsia" w:hAnsi="宋体"/>
          <w:color w:val="auto"/>
          <w:kern w:val="0"/>
          <w:sz w:val="21"/>
          <w:szCs w:val="21"/>
          <w:highlight w:val="none"/>
          <w:lang w:val="en-US" w:eastAsia="zh-CN"/>
        </w:rPr>
        <w:t>结算价</w:t>
      </w:r>
      <w:r>
        <w:rPr>
          <w:rFonts w:hint="eastAsia" w:hAnsi="宋体"/>
          <w:color w:val="auto"/>
          <w:sz w:val="21"/>
          <w:szCs w:val="21"/>
          <w:highlight w:val="none"/>
        </w:rPr>
        <w:t>±可调整部分。可调整部分包括：</w:t>
      </w:r>
    </w:p>
    <w:p>
      <w:pPr>
        <w:pStyle w:val="51"/>
        <w:spacing w:line="480" w:lineRule="exact"/>
        <w:ind w:left="0" w:leftChars="0" w:firstLine="422"/>
        <w:rPr>
          <w:rFonts w:ascii="宋体" w:hAnsi="宋体"/>
          <w:color w:val="auto"/>
          <w:kern w:val="24"/>
          <w:highlight w:val="none"/>
        </w:rPr>
      </w:pPr>
      <w:r>
        <w:rPr>
          <w:rFonts w:hint="eastAsia" w:ascii="宋体" w:hAnsi="宋体"/>
          <w:b/>
          <w:bCs/>
          <w:color w:val="auto"/>
          <w:szCs w:val="21"/>
          <w:highlight w:val="none"/>
        </w:rPr>
        <w:t>（</w:t>
      </w:r>
      <w:r>
        <w:rPr>
          <w:rFonts w:hint="eastAsia" w:ascii="宋体" w:hAnsi="宋体"/>
          <w:b/>
          <w:bCs/>
          <w:color w:val="auto"/>
          <w:szCs w:val="21"/>
          <w:highlight w:val="none"/>
          <w:lang w:val="en-US" w:eastAsia="zh-CN"/>
        </w:rPr>
        <w:t>2</w:t>
      </w:r>
      <w:r>
        <w:rPr>
          <w:rFonts w:hint="eastAsia" w:ascii="宋体" w:hAnsi="宋体"/>
          <w:b/>
          <w:bCs/>
          <w:color w:val="auto"/>
          <w:szCs w:val="21"/>
          <w:highlight w:val="none"/>
        </w:rPr>
        <w:t>）</w:t>
      </w:r>
      <w:r>
        <w:rPr>
          <w:rFonts w:hint="eastAsia" w:ascii="宋体" w:hAnsi="宋体"/>
          <w:b w:val="0"/>
          <w:bCs w:val="0"/>
          <w:color w:val="auto"/>
          <w:kern w:val="24"/>
          <w:szCs w:val="20"/>
          <w:highlight w:val="none"/>
          <w:lang w:val="en-US" w:eastAsia="zh-CN"/>
        </w:rPr>
        <w:t>合同范围外增加项目</w:t>
      </w:r>
      <w:r>
        <w:rPr>
          <w:rFonts w:hint="eastAsia" w:ascii="宋体" w:hAnsi="宋体"/>
          <w:color w:val="auto"/>
          <w:szCs w:val="21"/>
          <w:highlight w:val="none"/>
        </w:rPr>
        <w:t>，经甲方、监理、乙方三方签认后，工程量按实结算；</w:t>
      </w:r>
      <w:r>
        <w:rPr>
          <w:rFonts w:hint="eastAsia" w:ascii="宋体" w:hAnsi="宋体"/>
          <w:color w:val="auto"/>
          <w:kern w:val="24"/>
          <w:highlight w:val="none"/>
        </w:rPr>
        <w:t>综合单价按如下方式确定：</w:t>
      </w:r>
    </w:p>
    <w:p>
      <w:pPr>
        <w:pStyle w:val="51"/>
        <w:spacing w:line="480" w:lineRule="exact"/>
        <w:ind w:left="0" w:leftChars="0"/>
        <w:rPr>
          <w:rFonts w:ascii="宋体" w:hAnsi="宋体"/>
          <w:color w:val="auto"/>
          <w:kern w:val="24"/>
          <w:highlight w:val="none"/>
        </w:rPr>
      </w:pPr>
      <w:r>
        <w:rPr>
          <w:rFonts w:hint="eastAsia" w:ascii="宋体" w:hAnsi="宋体"/>
          <w:color w:val="auto"/>
          <w:kern w:val="24"/>
          <w:highlight w:val="none"/>
          <w:lang w:val="en-US" w:eastAsia="zh-CN"/>
        </w:rPr>
        <w:t>1）</w:t>
      </w:r>
      <w:r>
        <w:rPr>
          <w:rFonts w:hint="eastAsia" w:ascii="宋体" w:hAnsi="宋体"/>
          <w:color w:val="auto"/>
          <w:kern w:val="24"/>
          <w:highlight w:val="none"/>
        </w:rPr>
        <w:t>如合同分项报价表已有的项目，按合同综合单价；</w:t>
      </w:r>
    </w:p>
    <w:p>
      <w:pPr>
        <w:pStyle w:val="51"/>
        <w:spacing w:line="480" w:lineRule="exact"/>
        <w:ind w:left="0" w:leftChars="0"/>
        <w:rPr>
          <w:rFonts w:ascii="宋体" w:hAnsi="宋体"/>
          <w:color w:val="auto"/>
          <w:kern w:val="24"/>
          <w:highlight w:val="none"/>
        </w:rPr>
      </w:pPr>
      <w:r>
        <w:rPr>
          <w:rFonts w:hint="eastAsia" w:ascii="宋体" w:hAnsi="宋体"/>
          <w:color w:val="auto"/>
          <w:kern w:val="24"/>
          <w:highlight w:val="none"/>
          <w:lang w:val="en-US" w:eastAsia="zh-CN"/>
        </w:rPr>
        <w:t>2）</w:t>
      </w:r>
      <w:r>
        <w:rPr>
          <w:rFonts w:hint="eastAsia" w:ascii="宋体" w:hAnsi="宋体"/>
          <w:color w:val="auto"/>
          <w:kern w:val="24"/>
          <w:highlight w:val="none"/>
        </w:rPr>
        <w:t>如有类似的项目，单价参照类似项目合同综合单价；</w:t>
      </w:r>
    </w:p>
    <w:p>
      <w:pPr>
        <w:pStyle w:val="145"/>
        <w:spacing w:line="480" w:lineRule="exact"/>
        <w:textAlignment w:val="top"/>
        <w:rPr>
          <w:rFonts w:ascii="宋体" w:hAnsi="宋体"/>
          <w:color w:val="auto"/>
          <w:kern w:val="24"/>
          <w:highlight w:val="none"/>
        </w:rPr>
      </w:pPr>
      <w:r>
        <w:rPr>
          <w:rFonts w:hint="eastAsia" w:ascii="宋体" w:hAnsi="宋体"/>
          <w:color w:val="auto"/>
          <w:kern w:val="24"/>
          <w:highlight w:val="none"/>
          <w:lang w:val="en-US" w:eastAsia="zh-CN"/>
        </w:rPr>
        <w:t>3）</w:t>
      </w:r>
      <w:r>
        <w:rPr>
          <w:rFonts w:hint="eastAsia" w:ascii="宋体" w:hAnsi="宋体"/>
          <w:color w:val="auto"/>
          <w:kern w:val="24"/>
          <w:highlight w:val="none"/>
        </w:rPr>
        <w:t>如原</w:t>
      </w:r>
      <w:r>
        <w:rPr>
          <w:rFonts w:hint="eastAsia" w:ascii="宋体" w:hAnsi="宋体"/>
          <w:color w:val="auto"/>
          <w:kern w:val="24"/>
          <w:highlight w:val="none"/>
          <w:lang w:eastAsia="zh-CN"/>
        </w:rPr>
        <w:t>采购</w:t>
      </w:r>
      <w:r>
        <w:rPr>
          <w:rFonts w:hint="eastAsia" w:ascii="宋体" w:hAnsi="宋体"/>
          <w:color w:val="auto"/>
          <w:kern w:val="24"/>
          <w:highlight w:val="none"/>
        </w:rPr>
        <w:t>内容无类似的项目，则按以下方式计费：根据现场的实际情况，发包人若有变更需要更换主材，主材价的换算依据为:仅替换主材价格,而不对安装费及损耗等因素做任何调整；并且主材需在施工前提交发包人认质认价。如新增项目在合同内没有综合单价，则按2018版《建设工程工程量清单计价规范》、《广东省建设工程计价依据(2018)》（《广东省建设工程计价依据(2018)》包括《广东省房屋建筑与装饰工程综合定额(2018)》、《广东省市政工程综合定额(2018)》、《广东省通用安装工程综合定额(2018)》、《广东省园林绿化工程综合定额(2018)》、《广东省建设工程施工机具台班费用编制规则(2018)》）计量计价，并按   %（按中标价与</w:t>
      </w:r>
      <w:r>
        <w:rPr>
          <w:rFonts w:hint="eastAsia" w:ascii="宋体" w:hAnsi="宋体"/>
          <w:color w:val="auto"/>
          <w:kern w:val="24"/>
          <w:highlight w:val="none"/>
          <w:lang w:eastAsia="zh-CN"/>
        </w:rPr>
        <w:t>采购</w:t>
      </w:r>
      <w:r>
        <w:rPr>
          <w:rFonts w:hint="eastAsia" w:ascii="宋体" w:hAnsi="宋体"/>
          <w:color w:val="auto"/>
          <w:kern w:val="24"/>
          <w:highlight w:val="none"/>
        </w:rPr>
        <w:t>限价的下浮比例）下浮幅度计价。人工、材料价按东莞市造价站发布的当期信息价计取（东莞市信息价没有的可采用周边地区信息价，优先选用距离较近的同类别地区，工期超过一个月的按施工期间各月平均信息价），信息价没有的按双方协商并由甲方最终确认的市场价计算，只计取规费、税金，其他费用不予计取。</w:t>
      </w:r>
    </w:p>
    <w:p>
      <w:pPr>
        <w:pStyle w:val="145"/>
        <w:spacing w:line="480" w:lineRule="exact"/>
        <w:textAlignment w:val="top"/>
        <w:rPr>
          <w:rFonts w:ascii="宋体" w:hAnsi="宋体"/>
          <w:color w:val="auto"/>
          <w:kern w:val="24"/>
          <w:highlight w:val="none"/>
        </w:rPr>
      </w:pPr>
      <w:r>
        <w:rPr>
          <w:rFonts w:hint="eastAsia" w:ascii="宋体" w:hAnsi="宋体"/>
          <w:color w:val="auto"/>
          <w:kern w:val="24"/>
          <w:highlight w:val="none"/>
          <w:lang w:val="en-US" w:eastAsia="zh-CN"/>
        </w:rPr>
        <w:t>4）</w:t>
      </w:r>
      <w:r>
        <w:rPr>
          <w:rFonts w:hint="eastAsia" w:ascii="宋体" w:hAnsi="宋体"/>
          <w:color w:val="auto"/>
          <w:kern w:val="24"/>
          <w:highlight w:val="none"/>
        </w:rPr>
        <w:t>设计变更、工程指令、现场签证费用，经监理及</w:t>
      </w:r>
      <w:r>
        <w:rPr>
          <w:rFonts w:hint="eastAsia" w:ascii="宋体" w:hAnsi="宋体"/>
          <w:color w:val="auto"/>
          <w:kern w:val="24"/>
          <w:highlight w:val="none"/>
          <w:lang w:eastAsia="zh-CN"/>
        </w:rPr>
        <w:t>采购人</w:t>
      </w:r>
      <w:r>
        <w:rPr>
          <w:rFonts w:hint="eastAsia" w:ascii="宋体" w:hAnsi="宋体"/>
          <w:color w:val="auto"/>
          <w:kern w:val="24"/>
          <w:highlight w:val="none"/>
        </w:rPr>
        <w:t>审核确认后可与进度款同期同比例支付。</w:t>
      </w:r>
    </w:p>
    <w:p>
      <w:pPr>
        <w:pStyle w:val="145"/>
        <w:spacing w:line="480" w:lineRule="exact"/>
        <w:textAlignment w:val="top"/>
        <w:rPr>
          <w:color w:val="auto"/>
          <w:highlight w:val="none"/>
        </w:rPr>
      </w:pPr>
      <w:r>
        <w:rPr>
          <w:rFonts w:hint="eastAsia" w:ascii="宋体" w:hAnsi="宋体"/>
          <w:color w:val="auto"/>
          <w:kern w:val="24"/>
          <w:highlight w:val="none"/>
          <w:lang w:val="en-US" w:eastAsia="zh-CN"/>
        </w:rPr>
        <w:t>5）</w:t>
      </w:r>
      <w:r>
        <w:rPr>
          <w:rFonts w:hint="eastAsia" w:ascii="宋体" w:hAnsi="宋体"/>
          <w:color w:val="auto"/>
          <w:kern w:val="24"/>
          <w:highlight w:val="none"/>
        </w:rPr>
        <w:t>对于合同原有工作内容及甲方提出的设计变更、工程指令、现场签证，乙方需无条件全力配合实施，若乙方不配合实施，则视为违约。增加工作内容甲方有权自行委托第三方进行施工，所发生的费用以甲方核定的金额为准，增加的费用由甲方直接支付给第三方单位，从乙方工程进度款或结算款中扣除，并保留追究乙方的违约责任。减少合同原有工作内容的费用甲方有权直接从乙方工程进度款和结算款中扣除。</w:t>
      </w:r>
    </w:p>
    <w:p>
      <w:pPr>
        <w:pStyle w:val="5"/>
        <w:spacing w:line="360" w:lineRule="auto"/>
        <w:rPr>
          <w:rFonts w:cs="宋体"/>
          <w:color w:val="auto"/>
          <w:sz w:val="21"/>
          <w:szCs w:val="21"/>
          <w:highlight w:val="none"/>
        </w:rPr>
      </w:pPr>
      <w:r>
        <w:rPr>
          <w:rFonts w:hint="eastAsia" w:cs="宋体"/>
          <w:color w:val="auto"/>
          <w:sz w:val="21"/>
          <w:szCs w:val="21"/>
          <w:highlight w:val="none"/>
        </w:rPr>
        <w:t>8、人员要求</w:t>
      </w:r>
    </w:p>
    <w:p>
      <w:pPr>
        <w:tabs>
          <w:tab w:val="left" w:pos="927"/>
        </w:tabs>
        <w:spacing w:line="360" w:lineRule="auto"/>
        <w:ind w:firstLine="514" w:firstLineChars="245"/>
        <w:rPr>
          <w:rFonts w:hAnsi="宋体" w:cs="宋体"/>
          <w:b/>
          <w:bCs/>
          <w:color w:val="auto"/>
          <w:sz w:val="21"/>
          <w:szCs w:val="21"/>
          <w:highlight w:val="none"/>
          <w:lang w:val="zh-CN"/>
        </w:rPr>
      </w:pPr>
      <w:r>
        <w:rPr>
          <w:rFonts w:hint="eastAsia" w:hAnsi="宋体" w:cs="宋体"/>
          <w:b w:val="0"/>
          <w:bCs/>
          <w:color w:val="auto"/>
          <w:sz w:val="21"/>
          <w:szCs w:val="21"/>
          <w:highlight w:val="none"/>
          <w:lang w:val="en-US" w:eastAsia="zh-CN"/>
        </w:rPr>
        <w:t>8.1</w:t>
      </w:r>
      <w:r>
        <w:rPr>
          <w:rFonts w:hint="eastAsia" w:hAnsi="宋体" w:cs="宋体"/>
          <w:color w:val="auto"/>
          <w:sz w:val="21"/>
          <w:szCs w:val="21"/>
          <w:highlight w:val="none"/>
        </w:rPr>
        <w:t>中标人必须配备适合本项目条件、满足质量和使用要求的在东莞市住房和城乡建设局注册备案资质相符的技术、管理人员，同时必须在工地现场设立宣传栏，将项目负责人和技术负责人、专业工程师、安全员、质量员、造价员、材料员等的五寸彩照相片予以公示，经</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检查未落实的，每次</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对中标人处予人民币</w:t>
      </w:r>
      <w:r>
        <w:rPr>
          <w:rFonts w:hint="eastAsia" w:hAnsi="宋体" w:cs="宋体"/>
          <w:b/>
          <w:color w:val="auto"/>
          <w:sz w:val="21"/>
          <w:szCs w:val="21"/>
          <w:highlight w:val="none"/>
          <w:u w:val="single"/>
        </w:rPr>
        <w:t>10,000</w:t>
      </w:r>
      <w:r>
        <w:rPr>
          <w:rFonts w:hint="eastAsia" w:hAnsi="宋体" w:cs="宋体"/>
          <w:color w:val="auto"/>
          <w:sz w:val="21"/>
          <w:szCs w:val="21"/>
          <w:highlight w:val="none"/>
        </w:rPr>
        <w:t>元的违约金。</w:t>
      </w:r>
    </w:p>
    <w:p>
      <w:pPr>
        <w:tabs>
          <w:tab w:val="left" w:pos="927"/>
        </w:tabs>
        <w:spacing w:line="360" w:lineRule="auto"/>
        <w:ind w:firstLine="516" w:firstLineChars="246"/>
        <w:rPr>
          <w:rFonts w:hAnsi="宋体" w:cs="宋体"/>
          <w:color w:val="auto"/>
          <w:sz w:val="21"/>
          <w:szCs w:val="21"/>
          <w:highlight w:val="none"/>
        </w:rPr>
      </w:pPr>
      <w:r>
        <w:rPr>
          <w:rFonts w:hint="eastAsia" w:hAnsi="宋体" w:cs="宋体"/>
          <w:color w:val="auto"/>
          <w:sz w:val="21"/>
          <w:szCs w:val="21"/>
          <w:highlight w:val="none"/>
        </w:rPr>
        <w:t>中标人拟投入本项目的项目负责人必须常驻施工现场，施工现场配备的所有人员必须具有相应的任职资格，并于发出中标通知书后</w:t>
      </w:r>
      <w:r>
        <w:rPr>
          <w:rFonts w:hint="eastAsia" w:hAnsi="宋体" w:cs="宋体"/>
          <w:color w:val="auto"/>
          <w:sz w:val="21"/>
          <w:szCs w:val="21"/>
          <w:highlight w:val="none"/>
          <w:u w:val="single"/>
        </w:rPr>
        <w:t xml:space="preserve"> 3 </w:t>
      </w:r>
      <w:r>
        <w:rPr>
          <w:rFonts w:hint="eastAsia" w:hAnsi="宋体" w:cs="宋体"/>
          <w:color w:val="auto"/>
          <w:sz w:val="21"/>
          <w:szCs w:val="21"/>
          <w:highlight w:val="none"/>
        </w:rPr>
        <w:t>天内向</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报送上述人员名单和联系方式，并抄送给现场监理单位；人员名单和联系方式</w:t>
      </w:r>
      <w:r>
        <w:rPr>
          <w:rFonts w:hint="eastAsia" w:hAnsi="宋体" w:cs="宋体"/>
          <w:b/>
          <w:color w:val="auto"/>
          <w:sz w:val="21"/>
          <w:szCs w:val="21"/>
          <w:highlight w:val="none"/>
        </w:rPr>
        <w:t>、</w:t>
      </w:r>
      <w:r>
        <w:rPr>
          <w:rFonts w:hint="eastAsia" w:hAnsi="宋体" w:cs="宋体"/>
          <w:color w:val="auto"/>
          <w:sz w:val="21"/>
          <w:szCs w:val="21"/>
          <w:highlight w:val="none"/>
        </w:rPr>
        <w:t>资格证书复印件（同时提供相应资格证书的原件供审核）及在中标人单位缴纳三个月以上的社保证明等资料必须报</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进行审核、备案；配备的各类技术人员同时担任其他项目工作，导致施工合同未按</w:t>
      </w:r>
      <w:r>
        <w:rPr>
          <w:rFonts w:hint="eastAsia" w:hAnsi="宋体" w:cs="宋体"/>
          <w:color w:val="auto"/>
          <w:sz w:val="21"/>
          <w:szCs w:val="21"/>
          <w:highlight w:val="none"/>
          <w:lang w:eastAsia="zh-CN"/>
        </w:rPr>
        <w:t>采购</w:t>
      </w:r>
      <w:r>
        <w:rPr>
          <w:rFonts w:hint="eastAsia" w:hAnsi="宋体" w:cs="宋体"/>
          <w:color w:val="auto"/>
          <w:sz w:val="21"/>
          <w:szCs w:val="21"/>
          <w:highlight w:val="none"/>
        </w:rPr>
        <w:t>文件规定时间签订的，</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有权报相关行政主管部门废除中标人的中标资格，并处予本合同中标金额0.5%的违约金。</w:t>
      </w:r>
    </w:p>
    <w:p>
      <w:pPr>
        <w:tabs>
          <w:tab w:val="left" w:pos="927"/>
        </w:tabs>
        <w:spacing w:line="360" w:lineRule="auto"/>
        <w:ind w:firstLine="516" w:firstLineChars="246"/>
        <w:rPr>
          <w:rFonts w:hAnsi="宋体" w:cs="宋体"/>
          <w:color w:val="auto"/>
          <w:sz w:val="21"/>
          <w:szCs w:val="21"/>
          <w:highlight w:val="none"/>
          <w:lang w:val="zh-CN"/>
        </w:rPr>
      </w:pPr>
      <w:r>
        <w:rPr>
          <w:rFonts w:hint="eastAsia" w:hAnsi="宋体" w:cs="宋体"/>
          <w:b w:val="0"/>
          <w:bCs/>
          <w:color w:val="auto"/>
          <w:sz w:val="21"/>
          <w:szCs w:val="21"/>
          <w:highlight w:val="none"/>
          <w:lang w:val="en-US" w:eastAsia="zh-CN"/>
        </w:rPr>
        <w:t>8.2</w:t>
      </w:r>
      <w:r>
        <w:rPr>
          <w:rFonts w:hint="eastAsia" w:hAnsi="宋体" w:cs="宋体"/>
          <w:color w:val="auto"/>
          <w:sz w:val="21"/>
          <w:szCs w:val="21"/>
          <w:highlight w:val="none"/>
        </w:rPr>
        <w:t>中标人拟派驻本项目的项目负责人除发生：因重病或重伤（持有县、区以上医院证明）两个月以上不能履行职责的；主动辞职或调离原工作单位的；因管理原因发生重大项目质量、安全事故，监理单位认为该项目负责人不称职需要更换的；无能力履行合同的责任和义务，造成严重后果，建设单位要求更换的；因违法被责令停止执业的；被司法机关羁押或判刑的；死亡的情形之一外不得更换</w:t>
      </w:r>
      <w:r>
        <w:rPr>
          <w:rFonts w:hint="eastAsia" w:hAnsi="宋体" w:cs="宋体"/>
          <w:color w:val="auto"/>
          <w:sz w:val="21"/>
          <w:szCs w:val="21"/>
          <w:highlight w:val="none"/>
          <w:lang w:val="zh-CN"/>
        </w:rPr>
        <w:t>。</w:t>
      </w:r>
      <w:r>
        <w:rPr>
          <w:rFonts w:hint="eastAsia" w:hAnsi="宋体" w:cs="宋体"/>
          <w:color w:val="auto"/>
          <w:sz w:val="21"/>
          <w:szCs w:val="21"/>
          <w:highlight w:val="none"/>
        </w:rPr>
        <w:t>因疾病、意外伤害等原因需请假时，须提供项目所在地甲级医院出具的证明、病历及发票等，并附检查报告报</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审核，</w:t>
      </w:r>
      <w:r>
        <w:rPr>
          <w:rFonts w:hint="eastAsia" w:hAnsi="宋体" w:cs="宋体"/>
          <w:color w:val="auto"/>
          <w:sz w:val="21"/>
          <w:szCs w:val="21"/>
          <w:highlight w:val="none"/>
          <w:lang w:val="zh-CN"/>
        </w:rPr>
        <w:t>同时应报派临时项目负责人接替，接替</w:t>
      </w:r>
      <w:r>
        <w:rPr>
          <w:rFonts w:hint="eastAsia" w:hAnsi="宋体" w:cs="宋体"/>
          <w:color w:val="auto"/>
          <w:sz w:val="21"/>
          <w:szCs w:val="21"/>
          <w:highlight w:val="none"/>
        </w:rPr>
        <w:t>人员的专业要相符，等级必须不低于被替换的项目负责人。原项目负责人请假期满后，应立即重返本项目，继续负责相关管理</w:t>
      </w:r>
      <w:r>
        <w:rPr>
          <w:rFonts w:hint="eastAsia" w:hAnsi="宋体" w:cs="宋体"/>
          <w:color w:val="auto"/>
          <w:sz w:val="21"/>
          <w:szCs w:val="21"/>
          <w:highlight w:val="none"/>
          <w:lang w:val="zh-CN"/>
        </w:rPr>
        <w:t>；除死亡的情形外，</w:t>
      </w:r>
      <w:r>
        <w:rPr>
          <w:rFonts w:hint="eastAsia" w:hAnsi="宋体" w:cs="宋体"/>
          <w:color w:val="auto"/>
          <w:sz w:val="21"/>
          <w:szCs w:val="21"/>
          <w:highlight w:val="none"/>
        </w:rPr>
        <w:t>其它更换项目负责人的情形均视为中标人违约，</w:t>
      </w:r>
      <w:r>
        <w:rPr>
          <w:rFonts w:hint="eastAsia" w:hAnsi="宋体" w:cs="宋体"/>
          <w:color w:val="auto"/>
          <w:sz w:val="21"/>
          <w:szCs w:val="21"/>
          <w:highlight w:val="none"/>
          <w:lang w:val="zh-CN"/>
        </w:rPr>
        <w:t>违约金数额为第一次更换处予人民币</w:t>
      </w:r>
      <w:r>
        <w:rPr>
          <w:rFonts w:hint="eastAsia" w:hAnsi="宋体" w:cs="宋体"/>
          <w:b/>
          <w:color w:val="auto"/>
          <w:sz w:val="21"/>
          <w:szCs w:val="21"/>
          <w:highlight w:val="none"/>
          <w:u w:val="single"/>
        </w:rPr>
        <w:t>50,000</w:t>
      </w:r>
      <w:r>
        <w:rPr>
          <w:rFonts w:hint="eastAsia" w:hAnsi="宋体" w:cs="宋体"/>
          <w:color w:val="auto"/>
          <w:sz w:val="21"/>
          <w:szCs w:val="21"/>
          <w:highlight w:val="none"/>
          <w:lang w:val="zh-CN"/>
        </w:rPr>
        <w:t>元，第二次更换处予人民币</w:t>
      </w:r>
      <w:r>
        <w:rPr>
          <w:rFonts w:hint="eastAsia" w:hAnsi="宋体" w:cs="宋体"/>
          <w:b/>
          <w:color w:val="auto"/>
          <w:sz w:val="21"/>
          <w:szCs w:val="21"/>
          <w:highlight w:val="none"/>
          <w:u w:val="single"/>
        </w:rPr>
        <w:t>100,000</w:t>
      </w:r>
      <w:r>
        <w:rPr>
          <w:rFonts w:hint="eastAsia" w:hAnsi="宋体" w:cs="宋体"/>
          <w:color w:val="auto"/>
          <w:sz w:val="21"/>
          <w:szCs w:val="21"/>
          <w:highlight w:val="none"/>
          <w:lang w:val="zh-CN"/>
        </w:rPr>
        <w:t>元，第三次更换处予人民币</w:t>
      </w:r>
      <w:r>
        <w:rPr>
          <w:rFonts w:hint="eastAsia" w:hAnsi="宋体" w:cs="宋体"/>
          <w:b/>
          <w:color w:val="auto"/>
          <w:sz w:val="21"/>
          <w:szCs w:val="21"/>
          <w:highlight w:val="none"/>
          <w:u w:val="single"/>
        </w:rPr>
        <w:t>200,000</w:t>
      </w:r>
      <w:r>
        <w:rPr>
          <w:rFonts w:hint="eastAsia" w:hAnsi="宋体" w:cs="宋体"/>
          <w:color w:val="auto"/>
          <w:sz w:val="21"/>
          <w:szCs w:val="21"/>
          <w:highlight w:val="none"/>
          <w:lang w:val="zh-CN"/>
        </w:rPr>
        <w:t>元，超过三次，采购人有权单方解除合同，没收履约保证金或要求保证人赔偿保函限额。</w:t>
      </w:r>
      <w:r>
        <w:rPr>
          <w:rFonts w:hint="eastAsia" w:hAnsi="宋体" w:cs="宋体"/>
          <w:color w:val="auto"/>
          <w:sz w:val="21"/>
          <w:szCs w:val="21"/>
          <w:highlight w:val="none"/>
        </w:rPr>
        <w:t>更换项目负责人时，替换人员的专业要相符，等级必须不低于被替换的项目负责人。项目负责人离开现场必须向</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书面请假，经批准方可离开，否则视为中标人的违约行为，每次违约，</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对中标人处予每天人民币</w:t>
      </w:r>
      <w:r>
        <w:rPr>
          <w:rFonts w:hint="eastAsia" w:hAnsi="宋体" w:cs="宋体"/>
          <w:b/>
          <w:color w:val="auto"/>
          <w:sz w:val="21"/>
          <w:szCs w:val="21"/>
          <w:highlight w:val="none"/>
          <w:u w:val="single"/>
        </w:rPr>
        <w:t>8,000</w:t>
      </w:r>
      <w:r>
        <w:rPr>
          <w:rFonts w:hint="eastAsia" w:hAnsi="宋体" w:cs="宋体"/>
          <w:color w:val="auto"/>
          <w:sz w:val="21"/>
          <w:szCs w:val="21"/>
          <w:highlight w:val="none"/>
        </w:rPr>
        <w:t>元的违约金。</w:t>
      </w:r>
    </w:p>
    <w:p>
      <w:pPr>
        <w:spacing w:line="360" w:lineRule="auto"/>
        <w:ind w:firstLine="462" w:firstLineChars="220"/>
        <w:rPr>
          <w:rFonts w:hAnsi="宋体" w:cs="宋体"/>
          <w:color w:val="auto"/>
          <w:sz w:val="21"/>
          <w:szCs w:val="21"/>
          <w:highlight w:val="none"/>
        </w:rPr>
      </w:pPr>
      <w:r>
        <w:rPr>
          <w:rFonts w:hint="eastAsia" w:hAnsi="宋体" w:cs="宋体"/>
          <w:color w:val="auto"/>
          <w:sz w:val="21"/>
          <w:szCs w:val="21"/>
          <w:highlight w:val="none"/>
          <w:lang w:val="en-US" w:eastAsia="zh-CN"/>
        </w:rPr>
        <w:t>8.3</w:t>
      </w:r>
      <w:r>
        <w:rPr>
          <w:rFonts w:hint="eastAsia" w:hAnsi="宋体" w:cs="宋体"/>
          <w:color w:val="auto"/>
          <w:sz w:val="21"/>
          <w:szCs w:val="21"/>
          <w:highlight w:val="none"/>
        </w:rPr>
        <w:t>中标人拟派驻本项目的其他技术、管理人员原则上不得更换。因疾病、意外伤害等原因必须更换时，作请假处理，此时须提供项目所在地甲级医院出具的证明、病历及发票等，并附检查报告报</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审核，原技术、管理人员请假期满后，应立即重返本项目，继续负责相关管理；除上述原因外，其它更换技术、管理人员的情形均视为中标人违约，</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将对中标人处予违约金，</w:t>
      </w:r>
      <w:r>
        <w:rPr>
          <w:rFonts w:hint="eastAsia" w:hAnsi="宋体" w:cs="宋体"/>
          <w:color w:val="auto"/>
          <w:sz w:val="21"/>
          <w:szCs w:val="21"/>
          <w:highlight w:val="none"/>
          <w:lang w:val="zh-CN"/>
        </w:rPr>
        <w:t>违约金数额为第一次更换处予人民币</w:t>
      </w:r>
      <w:r>
        <w:rPr>
          <w:rFonts w:hint="eastAsia" w:hAnsi="宋体" w:cs="宋体"/>
          <w:b/>
          <w:color w:val="auto"/>
          <w:sz w:val="21"/>
          <w:szCs w:val="21"/>
          <w:highlight w:val="none"/>
          <w:u w:val="single"/>
        </w:rPr>
        <w:t>20,000</w:t>
      </w:r>
      <w:r>
        <w:rPr>
          <w:rFonts w:hint="eastAsia" w:hAnsi="宋体" w:cs="宋体"/>
          <w:color w:val="auto"/>
          <w:sz w:val="21"/>
          <w:szCs w:val="21"/>
          <w:highlight w:val="none"/>
          <w:lang w:val="zh-CN"/>
        </w:rPr>
        <w:t>元/人，第二次更换处予人民币</w:t>
      </w:r>
      <w:r>
        <w:rPr>
          <w:rFonts w:hint="eastAsia" w:hAnsi="宋体" w:cs="宋体"/>
          <w:b/>
          <w:color w:val="auto"/>
          <w:sz w:val="21"/>
          <w:szCs w:val="21"/>
          <w:highlight w:val="none"/>
          <w:u w:val="single"/>
        </w:rPr>
        <w:t>40,000</w:t>
      </w:r>
      <w:r>
        <w:rPr>
          <w:rFonts w:hint="eastAsia" w:hAnsi="宋体" w:cs="宋体"/>
          <w:color w:val="auto"/>
          <w:sz w:val="21"/>
          <w:szCs w:val="21"/>
          <w:highlight w:val="none"/>
          <w:lang w:val="zh-CN"/>
        </w:rPr>
        <w:t>元/人，第三次更换处予人民币</w:t>
      </w:r>
      <w:r>
        <w:rPr>
          <w:rFonts w:hint="eastAsia" w:hAnsi="宋体" w:cs="宋体"/>
          <w:b/>
          <w:color w:val="auto"/>
          <w:sz w:val="21"/>
          <w:szCs w:val="21"/>
          <w:highlight w:val="none"/>
          <w:u w:val="single"/>
        </w:rPr>
        <w:t>80,000</w:t>
      </w:r>
      <w:r>
        <w:rPr>
          <w:rFonts w:hint="eastAsia" w:hAnsi="宋体" w:cs="宋体"/>
          <w:color w:val="auto"/>
          <w:sz w:val="21"/>
          <w:szCs w:val="21"/>
          <w:highlight w:val="none"/>
          <w:lang w:val="zh-CN"/>
        </w:rPr>
        <w:t>元/人，超过三次，采购人有权单方解除合同，没收履约保证金或要求保证人赔偿保函限额。</w:t>
      </w:r>
      <w:r>
        <w:rPr>
          <w:rFonts w:hint="eastAsia" w:hAnsi="宋体" w:cs="宋体"/>
          <w:color w:val="auto"/>
          <w:sz w:val="21"/>
          <w:szCs w:val="21"/>
          <w:highlight w:val="none"/>
        </w:rPr>
        <w:t>更换技术、管理人员时，替换人员的专业要相符，等级必须不低于被替换的技术、管理人员。技术人员同时担任其它项目的工作视为违约，</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对中标人每人每次违约处予人民币</w:t>
      </w:r>
      <w:r>
        <w:rPr>
          <w:rFonts w:hint="eastAsia" w:hAnsi="宋体" w:cs="宋体"/>
          <w:b/>
          <w:color w:val="auto"/>
          <w:sz w:val="21"/>
          <w:szCs w:val="21"/>
          <w:highlight w:val="none"/>
          <w:u w:val="single"/>
        </w:rPr>
        <w:t>5,000</w:t>
      </w:r>
      <w:r>
        <w:rPr>
          <w:rFonts w:hint="eastAsia" w:hAnsi="宋体" w:cs="宋体"/>
          <w:color w:val="auto"/>
          <w:sz w:val="21"/>
          <w:szCs w:val="21"/>
          <w:highlight w:val="none"/>
        </w:rPr>
        <w:t>元的违约金，并保留终止合同的权利。其他技术、管理人员离开现场必须向</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的工程师代表书面请假，经批准方可离开，否则视为中标人的违约行为，每次违约，</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对中标人处予每天人民币</w:t>
      </w:r>
      <w:r>
        <w:rPr>
          <w:rFonts w:hint="eastAsia" w:hAnsi="宋体" w:cs="宋体"/>
          <w:b/>
          <w:color w:val="auto"/>
          <w:sz w:val="21"/>
          <w:szCs w:val="21"/>
          <w:highlight w:val="none"/>
          <w:u w:val="single"/>
        </w:rPr>
        <w:t xml:space="preserve">2,000 </w:t>
      </w:r>
      <w:r>
        <w:rPr>
          <w:rFonts w:hint="eastAsia" w:hAnsi="宋体" w:cs="宋体"/>
          <w:color w:val="auto"/>
          <w:sz w:val="21"/>
          <w:szCs w:val="21"/>
          <w:highlight w:val="none"/>
        </w:rPr>
        <w:t>元的违约金。</w:t>
      </w:r>
    </w:p>
    <w:p>
      <w:pPr>
        <w:spacing w:line="360" w:lineRule="auto"/>
        <w:ind w:firstLine="462" w:firstLineChars="220"/>
        <w:rPr>
          <w:rFonts w:hAnsi="宋体" w:cs="宋体"/>
          <w:color w:val="auto"/>
          <w:sz w:val="21"/>
          <w:szCs w:val="21"/>
          <w:highlight w:val="none"/>
        </w:rPr>
      </w:pPr>
      <w:r>
        <w:rPr>
          <w:rFonts w:hint="eastAsia" w:hAnsi="宋体" w:cs="宋体"/>
          <w:color w:val="auto"/>
          <w:sz w:val="21"/>
          <w:szCs w:val="21"/>
          <w:highlight w:val="none"/>
          <w:lang w:val="en-US" w:eastAsia="zh-CN"/>
        </w:rPr>
        <w:t>8.4</w:t>
      </w:r>
      <w:r>
        <w:rPr>
          <w:rFonts w:hint="eastAsia" w:hAnsi="宋体" w:cs="宋体"/>
          <w:color w:val="auto"/>
          <w:sz w:val="21"/>
          <w:szCs w:val="21"/>
          <w:highlight w:val="none"/>
        </w:rPr>
        <w:t>若项目负责人及其他技术、管理人员由于自身管理不到位，导致施工现场混乱且不能按施工进度计划完成项目目标的，</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有权以书面形式通知更换其认为不称职的项目负责人及其他技术、管理人员，中标人在接到更换通知后15日内向</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提供相应资质等级的新项目负责人及其他技术负责人的简历资料，经</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认可后方可负责本项目的相关工作。因以上情形更换项目负责人时，</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将对中标人处予人民币</w:t>
      </w:r>
      <w:r>
        <w:rPr>
          <w:rFonts w:hint="eastAsia" w:hAnsi="宋体" w:cs="宋体"/>
          <w:b/>
          <w:color w:val="auto"/>
          <w:sz w:val="21"/>
          <w:szCs w:val="21"/>
          <w:highlight w:val="none"/>
          <w:u w:val="single"/>
        </w:rPr>
        <w:t>20,000</w:t>
      </w:r>
      <w:r>
        <w:rPr>
          <w:rFonts w:hint="eastAsia" w:hAnsi="宋体" w:cs="宋体"/>
          <w:color w:val="auto"/>
          <w:sz w:val="21"/>
          <w:szCs w:val="21"/>
          <w:highlight w:val="none"/>
        </w:rPr>
        <w:t>元的违约金；因以上情形更换其他技术、管理人员时，</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将对中标人处予每人人民币</w:t>
      </w:r>
      <w:r>
        <w:rPr>
          <w:rFonts w:hint="eastAsia" w:hAnsi="宋体" w:cs="宋体"/>
          <w:b/>
          <w:color w:val="auto"/>
          <w:sz w:val="21"/>
          <w:szCs w:val="21"/>
          <w:highlight w:val="none"/>
          <w:u w:val="single"/>
        </w:rPr>
        <w:t>10,000</w:t>
      </w:r>
      <w:r>
        <w:rPr>
          <w:rFonts w:hint="eastAsia" w:hAnsi="宋体" w:cs="宋体"/>
          <w:color w:val="auto"/>
          <w:sz w:val="21"/>
          <w:szCs w:val="21"/>
          <w:highlight w:val="none"/>
        </w:rPr>
        <w:t>元的违约金。</w:t>
      </w:r>
    </w:p>
    <w:p>
      <w:pPr>
        <w:spacing w:line="360" w:lineRule="auto"/>
        <w:ind w:firstLine="359" w:firstLineChars="171"/>
        <w:rPr>
          <w:rFonts w:hAnsi="宋体" w:cs="宋体"/>
          <w:color w:val="auto"/>
          <w:sz w:val="21"/>
          <w:szCs w:val="21"/>
          <w:highlight w:val="none"/>
        </w:rPr>
      </w:pPr>
      <w:r>
        <w:rPr>
          <w:rFonts w:hint="eastAsia" w:hAnsi="宋体" w:cs="宋体"/>
          <w:color w:val="auto"/>
          <w:sz w:val="21"/>
          <w:szCs w:val="21"/>
          <w:highlight w:val="none"/>
          <w:lang w:val="en-US" w:eastAsia="zh-CN"/>
        </w:rPr>
        <w:t>8.5</w:t>
      </w:r>
      <w:r>
        <w:rPr>
          <w:rFonts w:hint="eastAsia" w:hAnsi="宋体" w:cs="宋体"/>
          <w:color w:val="auto"/>
          <w:sz w:val="21"/>
          <w:szCs w:val="21"/>
          <w:highlight w:val="none"/>
        </w:rPr>
        <w:t>中标人应按要求参加项目管理相关会议，项目负责人无故缺席的处以</w:t>
      </w:r>
      <w:r>
        <w:rPr>
          <w:rFonts w:hint="eastAsia" w:hAnsi="宋体" w:cs="宋体"/>
          <w:b/>
          <w:bCs/>
          <w:color w:val="auto"/>
          <w:sz w:val="21"/>
          <w:szCs w:val="21"/>
          <w:highlight w:val="none"/>
          <w:u w:val="single"/>
        </w:rPr>
        <w:t>4,000</w:t>
      </w:r>
      <w:r>
        <w:rPr>
          <w:rFonts w:hint="eastAsia" w:hAnsi="宋体" w:cs="宋体"/>
          <w:bCs/>
          <w:color w:val="auto"/>
          <w:sz w:val="21"/>
          <w:szCs w:val="21"/>
          <w:highlight w:val="none"/>
        </w:rPr>
        <w:t>元/次的违约金</w:t>
      </w:r>
      <w:r>
        <w:rPr>
          <w:rFonts w:hint="eastAsia" w:hAnsi="宋体" w:cs="宋体"/>
          <w:color w:val="auto"/>
          <w:sz w:val="21"/>
          <w:szCs w:val="21"/>
          <w:highlight w:val="none"/>
        </w:rPr>
        <w:t>，其他技术、管理人员无故缺席的处以每人</w:t>
      </w:r>
      <w:r>
        <w:rPr>
          <w:rFonts w:hint="eastAsia" w:hAnsi="宋体" w:cs="宋体"/>
          <w:b/>
          <w:bCs/>
          <w:color w:val="auto"/>
          <w:sz w:val="21"/>
          <w:szCs w:val="21"/>
          <w:highlight w:val="none"/>
          <w:u w:val="single"/>
        </w:rPr>
        <w:t>600</w:t>
      </w:r>
      <w:r>
        <w:rPr>
          <w:rFonts w:hint="eastAsia" w:hAnsi="宋体" w:cs="宋体"/>
          <w:b/>
          <w:bCs/>
          <w:color w:val="auto"/>
          <w:sz w:val="21"/>
          <w:szCs w:val="21"/>
          <w:highlight w:val="none"/>
        </w:rPr>
        <w:t>元</w:t>
      </w:r>
      <w:r>
        <w:rPr>
          <w:rFonts w:hint="eastAsia" w:hAnsi="宋体" w:cs="宋体"/>
          <w:bCs/>
          <w:color w:val="auto"/>
          <w:sz w:val="21"/>
          <w:szCs w:val="21"/>
          <w:highlight w:val="none"/>
        </w:rPr>
        <w:t>/次的违约金</w:t>
      </w:r>
      <w:r>
        <w:rPr>
          <w:rFonts w:hint="eastAsia" w:hAnsi="宋体" w:cs="宋体"/>
          <w:color w:val="auto"/>
          <w:sz w:val="21"/>
          <w:szCs w:val="21"/>
          <w:highlight w:val="none"/>
        </w:rPr>
        <w:t>。</w:t>
      </w:r>
    </w:p>
    <w:p>
      <w:pPr>
        <w:spacing w:line="360" w:lineRule="auto"/>
        <w:ind w:firstLine="361" w:firstLineChars="171"/>
        <w:rPr>
          <w:rFonts w:hAnsi="宋体" w:cs="宋体"/>
          <w:b/>
          <w:color w:val="auto"/>
          <w:sz w:val="21"/>
          <w:szCs w:val="21"/>
          <w:highlight w:val="none"/>
        </w:rPr>
      </w:pPr>
      <w:r>
        <w:rPr>
          <w:rFonts w:hint="eastAsia" w:hAnsi="宋体" w:cs="宋体"/>
          <w:b/>
          <w:color w:val="auto"/>
          <w:sz w:val="21"/>
          <w:szCs w:val="21"/>
          <w:highlight w:val="none"/>
          <w:lang w:val="en-US" w:eastAsia="zh-CN"/>
        </w:rPr>
        <w:t>8.6</w:t>
      </w:r>
      <w:r>
        <w:rPr>
          <w:rFonts w:hint="eastAsia" w:hAnsi="宋体" w:cs="宋体"/>
          <w:b/>
          <w:color w:val="auto"/>
          <w:sz w:val="21"/>
          <w:szCs w:val="21"/>
          <w:highlight w:val="none"/>
          <w:lang w:eastAsia="zh-CN"/>
        </w:rPr>
        <w:t>成交人</w:t>
      </w:r>
      <w:r>
        <w:rPr>
          <w:rFonts w:hint="eastAsia" w:hAnsi="宋体" w:cs="宋体"/>
          <w:b/>
          <w:color w:val="auto"/>
          <w:sz w:val="21"/>
          <w:szCs w:val="21"/>
          <w:highlight w:val="none"/>
        </w:rPr>
        <w:t>拟派驻本项目的项目管理机构技术、管理人员，必需保证项目实施期间，其所持有的资格证件（包括但不限于：一级建造师的注册证、安全生产考核合格证、上岗证）必须保持在有效期内。如不在有效期内，视为</w:t>
      </w:r>
      <w:r>
        <w:rPr>
          <w:rFonts w:hint="eastAsia" w:hAnsi="宋体" w:cs="宋体"/>
          <w:b/>
          <w:color w:val="auto"/>
          <w:sz w:val="21"/>
          <w:szCs w:val="21"/>
          <w:highlight w:val="none"/>
          <w:lang w:eastAsia="zh-CN"/>
        </w:rPr>
        <w:t>成交人</w:t>
      </w:r>
      <w:r>
        <w:rPr>
          <w:rFonts w:hint="eastAsia" w:hAnsi="宋体" w:cs="宋体"/>
          <w:b/>
          <w:color w:val="auto"/>
          <w:sz w:val="21"/>
          <w:szCs w:val="21"/>
          <w:highlight w:val="none"/>
        </w:rPr>
        <w:t>违约，每次违约，</w:t>
      </w:r>
      <w:r>
        <w:rPr>
          <w:rFonts w:hint="eastAsia" w:hAnsi="宋体" w:cs="宋体"/>
          <w:b/>
          <w:color w:val="auto"/>
          <w:sz w:val="21"/>
          <w:szCs w:val="21"/>
          <w:highlight w:val="none"/>
          <w:lang w:eastAsia="zh-CN"/>
        </w:rPr>
        <w:t>采购人</w:t>
      </w:r>
      <w:r>
        <w:rPr>
          <w:rFonts w:hint="eastAsia" w:hAnsi="宋体" w:cs="宋体"/>
          <w:b/>
          <w:color w:val="auto"/>
          <w:sz w:val="21"/>
          <w:szCs w:val="21"/>
          <w:highlight w:val="none"/>
        </w:rPr>
        <w:t>对</w:t>
      </w:r>
      <w:r>
        <w:rPr>
          <w:rFonts w:hint="eastAsia" w:hAnsi="宋体" w:cs="宋体"/>
          <w:b/>
          <w:color w:val="auto"/>
          <w:sz w:val="21"/>
          <w:szCs w:val="21"/>
          <w:highlight w:val="none"/>
          <w:lang w:eastAsia="zh-CN"/>
        </w:rPr>
        <w:t>成交人</w:t>
      </w:r>
      <w:r>
        <w:rPr>
          <w:rFonts w:hint="eastAsia" w:hAnsi="宋体" w:cs="宋体"/>
          <w:b/>
          <w:color w:val="auto"/>
          <w:sz w:val="21"/>
          <w:szCs w:val="21"/>
          <w:highlight w:val="none"/>
        </w:rPr>
        <w:t>处予每天人民币40,000元的违约金。同时，</w:t>
      </w:r>
      <w:r>
        <w:rPr>
          <w:rFonts w:hint="eastAsia" w:hAnsi="宋体" w:cs="宋体"/>
          <w:b/>
          <w:color w:val="auto"/>
          <w:sz w:val="21"/>
          <w:szCs w:val="21"/>
          <w:highlight w:val="none"/>
          <w:lang w:eastAsia="zh-CN"/>
        </w:rPr>
        <w:t>成交人</w:t>
      </w:r>
      <w:r>
        <w:rPr>
          <w:rFonts w:hint="eastAsia" w:hAnsi="宋体" w:cs="宋体"/>
          <w:b/>
          <w:color w:val="auto"/>
          <w:sz w:val="21"/>
          <w:szCs w:val="21"/>
          <w:highlight w:val="none"/>
        </w:rPr>
        <w:t>必须及时作出替换，且替换人员的专业、资格等级要求必须不低于被替换的人员。如替换人员的专业、资格等级要求低于被替换人员的，每次违约，</w:t>
      </w:r>
      <w:r>
        <w:rPr>
          <w:rFonts w:hint="eastAsia" w:hAnsi="宋体" w:cs="宋体"/>
          <w:b/>
          <w:color w:val="auto"/>
          <w:sz w:val="21"/>
          <w:szCs w:val="21"/>
          <w:highlight w:val="none"/>
          <w:lang w:eastAsia="zh-CN"/>
        </w:rPr>
        <w:t>采购人</w:t>
      </w:r>
      <w:r>
        <w:rPr>
          <w:rFonts w:hint="eastAsia" w:hAnsi="宋体" w:cs="宋体"/>
          <w:b/>
          <w:color w:val="auto"/>
          <w:sz w:val="21"/>
          <w:szCs w:val="21"/>
          <w:highlight w:val="none"/>
        </w:rPr>
        <w:t>对</w:t>
      </w:r>
      <w:r>
        <w:rPr>
          <w:rFonts w:hint="eastAsia" w:hAnsi="宋体" w:cs="宋体"/>
          <w:b/>
          <w:color w:val="auto"/>
          <w:sz w:val="21"/>
          <w:szCs w:val="21"/>
          <w:highlight w:val="none"/>
          <w:lang w:eastAsia="zh-CN"/>
        </w:rPr>
        <w:t>成交人</w:t>
      </w:r>
      <w:r>
        <w:rPr>
          <w:rFonts w:hint="eastAsia" w:hAnsi="宋体" w:cs="宋体"/>
          <w:b/>
          <w:color w:val="auto"/>
          <w:sz w:val="21"/>
          <w:szCs w:val="21"/>
          <w:highlight w:val="none"/>
        </w:rPr>
        <w:t>处予每天人民币20,000元的违约金，并保留终止合同的权利。</w:t>
      </w:r>
    </w:p>
    <w:p>
      <w:pPr>
        <w:pStyle w:val="5"/>
        <w:spacing w:line="360" w:lineRule="auto"/>
        <w:rPr>
          <w:rFonts w:cs="宋体"/>
          <w:color w:val="auto"/>
          <w:sz w:val="21"/>
          <w:szCs w:val="21"/>
          <w:highlight w:val="none"/>
        </w:rPr>
      </w:pPr>
      <w:bookmarkStart w:id="205" w:name="_Toc12394"/>
      <w:r>
        <w:rPr>
          <w:rFonts w:hint="eastAsia" w:cs="宋体"/>
          <w:color w:val="auto"/>
          <w:sz w:val="21"/>
          <w:szCs w:val="21"/>
          <w:highlight w:val="none"/>
        </w:rPr>
        <w:t>9、其他要求</w:t>
      </w:r>
      <w:bookmarkEnd w:id="205"/>
    </w:p>
    <w:p>
      <w:pPr>
        <w:spacing w:line="360" w:lineRule="auto"/>
        <w:ind w:firstLine="462" w:firstLineChars="220"/>
        <w:rPr>
          <w:rFonts w:hAnsi="宋体" w:cs="宋体"/>
          <w:color w:val="auto"/>
          <w:sz w:val="21"/>
          <w:szCs w:val="21"/>
          <w:highlight w:val="none"/>
        </w:rPr>
      </w:pPr>
      <w:r>
        <w:rPr>
          <w:rFonts w:hint="eastAsia" w:hAnsi="宋体" w:cs="宋体"/>
          <w:color w:val="auto"/>
          <w:sz w:val="21"/>
          <w:szCs w:val="21"/>
          <w:highlight w:val="none"/>
          <w:lang w:val="en-US" w:eastAsia="zh-CN"/>
        </w:rPr>
        <w:t>9.1</w:t>
      </w:r>
      <w:r>
        <w:rPr>
          <w:rFonts w:hint="eastAsia" w:hAnsi="宋体" w:cs="宋体"/>
          <w:color w:val="auto"/>
          <w:sz w:val="21"/>
          <w:szCs w:val="21"/>
          <w:highlight w:val="none"/>
        </w:rPr>
        <w:t>根据国家质量监督检验总局要求需实行强制性认证的产品必须有"CCC" 认证标志。</w:t>
      </w:r>
    </w:p>
    <w:p>
      <w:pPr>
        <w:spacing w:line="360" w:lineRule="auto"/>
        <w:ind w:firstLine="462" w:firstLineChars="220"/>
        <w:rPr>
          <w:rFonts w:hAnsi="宋体" w:cs="宋体"/>
          <w:color w:val="auto"/>
          <w:sz w:val="21"/>
          <w:szCs w:val="21"/>
          <w:highlight w:val="none"/>
        </w:rPr>
      </w:pPr>
      <w:r>
        <w:rPr>
          <w:rFonts w:hint="eastAsia" w:hAnsi="宋体" w:cs="宋体"/>
          <w:color w:val="auto"/>
          <w:sz w:val="21"/>
          <w:szCs w:val="21"/>
          <w:highlight w:val="none"/>
          <w:lang w:val="en-US" w:eastAsia="zh-CN"/>
        </w:rPr>
        <w:t>9.2</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电气施工要有供电部门认可的电气施工安装许可证，且已到东莞供电部门备案，保证系统开通（包通电），并取得验收合格证，由此产生的费用全部由</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承担。</w:t>
      </w:r>
    </w:p>
    <w:p>
      <w:pPr>
        <w:spacing w:line="360" w:lineRule="auto"/>
        <w:ind w:firstLine="462" w:firstLineChars="220"/>
        <w:rPr>
          <w:rFonts w:hAnsi="宋体" w:cs="宋体"/>
          <w:color w:val="auto"/>
          <w:sz w:val="21"/>
          <w:szCs w:val="21"/>
          <w:highlight w:val="none"/>
        </w:rPr>
      </w:pPr>
      <w:r>
        <w:rPr>
          <w:rFonts w:hint="eastAsia" w:hAnsi="宋体" w:cs="宋体"/>
          <w:color w:val="auto"/>
          <w:sz w:val="21"/>
          <w:szCs w:val="21"/>
          <w:highlight w:val="none"/>
          <w:lang w:val="en-US" w:eastAsia="zh-CN"/>
        </w:rPr>
        <w:t>9.3</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在竣工验收时，应向</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提供按国家有关部门的规格要求编制成册的工程竣工图及有关的技术档案资料一式四份，并提供包含竣工图的技术档案电子光盘两份。</w:t>
      </w:r>
    </w:p>
    <w:p>
      <w:pPr>
        <w:spacing w:line="360" w:lineRule="auto"/>
        <w:ind w:firstLine="462" w:firstLineChars="220"/>
        <w:rPr>
          <w:rFonts w:hAnsi="宋体" w:cs="宋体"/>
          <w:color w:val="auto"/>
          <w:sz w:val="21"/>
          <w:szCs w:val="21"/>
          <w:highlight w:val="none"/>
        </w:rPr>
      </w:pPr>
      <w:r>
        <w:rPr>
          <w:rFonts w:hint="eastAsia" w:hAnsi="宋体" w:cs="宋体"/>
          <w:color w:val="auto"/>
          <w:sz w:val="21"/>
          <w:szCs w:val="21"/>
          <w:highlight w:val="none"/>
          <w:lang w:val="en-US" w:eastAsia="zh-CN"/>
        </w:rPr>
        <w:t>9.4</w:t>
      </w:r>
      <w:r>
        <w:rPr>
          <w:rFonts w:hint="eastAsia" w:hAnsi="宋体" w:cs="宋体"/>
          <w:color w:val="auto"/>
          <w:sz w:val="21"/>
          <w:szCs w:val="21"/>
          <w:highlight w:val="none"/>
        </w:rPr>
        <w:t>若在工程移交后，发现有工程需要保修，在书面通知</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后，而</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未按合同履行工程保修义务的，</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有权直接委托第三方进行工程保修，该费用在</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剩余工程款内扣除支付给第三方，</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同时保留按合同有关条款对</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处以违约金的权利。</w:t>
      </w:r>
    </w:p>
    <w:p>
      <w:pPr>
        <w:spacing w:line="360" w:lineRule="auto"/>
        <w:ind w:firstLine="462" w:firstLineChars="220"/>
        <w:rPr>
          <w:rFonts w:hAnsi="宋体" w:cs="宋体"/>
          <w:color w:val="auto"/>
          <w:sz w:val="21"/>
          <w:szCs w:val="21"/>
          <w:highlight w:val="none"/>
        </w:rPr>
      </w:pPr>
      <w:r>
        <w:rPr>
          <w:rFonts w:hint="eastAsia" w:hAnsi="宋体" w:cs="宋体"/>
          <w:color w:val="auto"/>
          <w:sz w:val="21"/>
          <w:szCs w:val="21"/>
          <w:highlight w:val="none"/>
          <w:lang w:val="en-US" w:eastAsia="zh-CN"/>
        </w:rPr>
        <w:t>9.5</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在中标通知书发出之日起</w:t>
      </w:r>
      <w:r>
        <w:rPr>
          <w:rFonts w:hint="eastAsia" w:hAnsi="宋体" w:cs="宋体"/>
          <w:color w:val="auto"/>
          <w:sz w:val="21"/>
          <w:szCs w:val="21"/>
          <w:highlight w:val="none"/>
          <w:lang w:val="en-US" w:eastAsia="zh-CN"/>
        </w:rPr>
        <w:t>3个工作日</w:t>
      </w:r>
      <w:r>
        <w:rPr>
          <w:rFonts w:hint="eastAsia" w:hAnsi="宋体" w:cs="宋体"/>
          <w:color w:val="auto"/>
          <w:sz w:val="21"/>
          <w:szCs w:val="21"/>
          <w:highlight w:val="none"/>
        </w:rPr>
        <w:t>内必须与</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签订施工合同，否则</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有权取消其中标资格。</w:t>
      </w:r>
    </w:p>
    <w:p>
      <w:pPr>
        <w:spacing w:line="360" w:lineRule="auto"/>
        <w:ind w:firstLine="462" w:firstLineChars="220"/>
        <w:rPr>
          <w:rFonts w:hAnsi="宋体" w:cs="宋体"/>
          <w:color w:val="auto"/>
          <w:sz w:val="21"/>
          <w:szCs w:val="21"/>
          <w:highlight w:val="none"/>
        </w:rPr>
      </w:pPr>
      <w:r>
        <w:rPr>
          <w:rFonts w:hint="eastAsia" w:hAnsi="宋体" w:cs="宋体"/>
          <w:color w:val="auto"/>
          <w:sz w:val="21"/>
          <w:szCs w:val="21"/>
          <w:highlight w:val="none"/>
          <w:lang w:val="en-US" w:eastAsia="zh-CN"/>
        </w:rPr>
        <w:t>9.6</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所提供用于本项目的材料须有产品合格证、检测报告等，且符合</w:t>
      </w:r>
      <w:r>
        <w:rPr>
          <w:rFonts w:hint="eastAsia" w:hAnsi="宋体" w:cs="宋体"/>
          <w:color w:val="auto"/>
          <w:sz w:val="21"/>
          <w:szCs w:val="21"/>
          <w:highlight w:val="none"/>
          <w:lang w:eastAsia="zh-CN"/>
        </w:rPr>
        <w:t>采购</w:t>
      </w:r>
      <w:r>
        <w:rPr>
          <w:rFonts w:hint="eastAsia" w:hAnsi="宋体" w:cs="宋体"/>
          <w:color w:val="auto"/>
          <w:sz w:val="21"/>
          <w:szCs w:val="21"/>
          <w:highlight w:val="none"/>
        </w:rPr>
        <w:t>图纸、</w:t>
      </w:r>
      <w:r>
        <w:rPr>
          <w:rFonts w:hint="eastAsia" w:hAnsi="宋体" w:cs="宋体"/>
          <w:color w:val="auto"/>
          <w:sz w:val="21"/>
          <w:szCs w:val="21"/>
          <w:highlight w:val="none"/>
          <w:lang w:eastAsia="zh-CN"/>
        </w:rPr>
        <w:t>采购</w:t>
      </w:r>
      <w:r>
        <w:rPr>
          <w:rFonts w:hint="eastAsia" w:hAnsi="宋体" w:cs="宋体"/>
          <w:color w:val="auto"/>
          <w:sz w:val="21"/>
          <w:szCs w:val="21"/>
          <w:highlight w:val="none"/>
        </w:rPr>
        <w:t>文件要求并达到国家有关规定及验收标准。</w:t>
      </w:r>
    </w:p>
    <w:p>
      <w:pPr>
        <w:spacing w:line="360" w:lineRule="auto"/>
        <w:ind w:firstLine="462" w:firstLineChars="220"/>
        <w:rPr>
          <w:rFonts w:hAnsi="宋体" w:cs="宋体"/>
          <w:color w:val="auto"/>
          <w:sz w:val="21"/>
          <w:szCs w:val="21"/>
          <w:highlight w:val="none"/>
        </w:rPr>
      </w:pPr>
      <w:r>
        <w:rPr>
          <w:rFonts w:hint="eastAsia" w:hAnsi="宋体" w:cs="宋体"/>
          <w:color w:val="auto"/>
          <w:sz w:val="21"/>
          <w:szCs w:val="21"/>
          <w:highlight w:val="none"/>
          <w:lang w:val="en-US" w:eastAsia="zh-CN"/>
        </w:rPr>
        <w:t>9.7</w:t>
      </w:r>
      <w:r>
        <w:rPr>
          <w:rFonts w:hint="eastAsia" w:hAnsi="宋体" w:cs="宋体"/>
          <w:color w:val="auto"/>
          <w:sz w:val="21"/>
          <w:szCs w:val="21"/>
          <w:highlight w:val="none"/>
        </w:rPr>
        <w:t>临时设施搭设必须符合建设主管部门及消防要求；板房材料必须具备防火功能、耐火极限符合相关部门的要求。</w:t>
      </w:r>
      <w:bookmarkStart w:id="206" w:name="_Toc292727944"/>
    </w:p>
    <w:p>
      <w:pPr>
        <w:snapToGrid w:val="0"/>
        <w:spacing w:line="360" w:lineRule="auto"/>
        <w:ind w:firstLine="422" w:firstLineChars="200"/>
        <w:rPr>
          <w:rFonts w:hAnsi="宋体" w:cs="宋体"/>
          <w:b/>
          <w:color w:val="auto"/>
          <w:sz w:val="21"/>
          <w:szCs w:val="21"/>
          <w:highlight w:val="none"/>
        </w:rPr>
      </w:pPr>
      <w:r>
        <w:rPr>
          <w:rFonts w:hint="eastAsia" w:hAnsi="宋体" w:cs="宋体"/>
          <w:b/>
          <w:color w:val="auto"/>
          <w:sz w:val="21"/>
          <w:szCs w:val="21"/>
          <w:highlight w:val="none"/>
        </w:rPr>
        <w:t>10、项目竣工验收</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本项目约定质量标准为“合格”，竣工验收时，由业主负责组织寮步镇有关部门，按相关法律、法规进行验收，全面检查本项目的完成情况、工程质量和有关的技术记录等资料。</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应在</w:t>
      </w:r>
      <w:r>
        <w:rPr>
          <w:rFonts w:hint="eastAsia" w:hAnsi="宋体" w:cs="宋体"/>
          <w:color w:val="auto"/>
          <w:sz w:val="21"/>
          <w:szCs w:val="21"/>
          <w:highlight w:val="none"/>
          <w:lang w:val="en-US" w:eastAsia="zh-CN"/>
        </w:rPr>
        <w:t>完工</w:t>
      </w:r>
      <w:r>
        <w:rPr>
          <w:rFonts w:hint="eastAsia" w:hAnsi="宋体" w:cs="宋体"/>
          <w:color w:val="auto"/>
          <w:sz w:val="21"/>
          <w:szCs w:val="21"/>
          <w:highlight w:val="none"/>
        </w:rPr>
        <w:t>之日起</w:t>
      </w:r>
      <w:r>
        <w:rPr>
          <w:rFonts w:hint="eastAsia" w:hAnsi="宋体" w:cs="宋体"/>
          <w:color w:val="auto"/>
          <w:sz w:val="21"/>
          <w:szCs w:val="21"/>
          <w:highlight w:val="none"/>
          <w:lang w:val="en-US" w:eastAsia="zh-CN"/>
        </w:rPr>
        <w:t>7天</w:t>
      </w:r>
      <w:r>
        <w:rPr>
          <w:rFonts w:hint="eastAsia" w:hAnsi="宋体" w:cs="宋体"/>
          <w:color w:val="auto"/>
          <w:sz w:val="21"/>
          <w:szCs w:val="21"/>
          <w:highlight w:val="none"/>
        </w:rPr>
        <w:t>内自行将自有的垃圾处理设施和设备移走清场，并将处理场地区域移交给发包人。</w:t>
      </w:r>
    </w:p>
    <w:p>
      <w:pPr>
        <w:snapToGrid w:val="0"/>
        <w:spacing w:line="360" w:lineRule="auto"/>
        <w:ind w:firstLine="422" w:firstLineChars="200"/>
        <w:rPr>
          <w:rFonts w:hAnsi="宋体" w:cs="宋体"/>
          <w:b/>
          <w:color w:val="auto"/>
          <w:sz w:val="21"/>
          <w:szCs w:val="21"/>
          <w:highlight w:val="none"/>
        </w:rPr>
      </w:pPr>
      <w:r>
        <w:rPr>
          <w:rFonts w:hint="eastAsia" w:hAnsi="宋体" w:cs="宋体"/>
          <w:b/>
          <w:color w:val="auto"/>
          <w:sz w:val="21"/>
          <w:szCs w:val="21"/>
          <w:highlight w:val="none"/>
        </w:rPr>
        <w:t>11、其他要求</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11.1</w:t>
      </w:r>
      <w:r>
        <w:rPr>
          <w:rFonts w:hint="eastAsia" w:hAnsi="宋体" w:cs="宋体"/>
          <w:color w:val="auto"/>
          <w:sz w:val="21"/>
          <w:szCs w:val="21"/>
          <w:highlight w:val="none"/>
        </w:rPr>
        <w:t>承担项目场地安全保卫工作及提供和维修非夜间施工使用的照明、围护设施的责任和要求：提供和维修封闭施工使用的照明维护和交通标牌、标志设施，并负责安全保卫和交通协管工作，所需费用全部由</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承担。</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应在整个施工期间采取强有力的保护措施，按图施工确保各种（包括现场周边）地下永久管线和临近建筑物、构筑物、古树名木等的安全，</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负责并承担因</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 xml:space="preserve">防护不力而发生的事故，及由之产生的一切责任和经济损失。     </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11.2</w:t>
      </w:r>
      <w:r>
        <w:rPr>
          <w:rFonts w:hint="eastAsia" w:hAnsi="宋体" w:cs="宋体"/>
          <w:color w:val="auto"/>
          <w:sz w:val="21"/>
          <w:szCs w:val="21"/>
          <w:highlight w:val="none"/>
        </w:rPr>
        <w:t>项目场地及临时占用场地的余土、垃圾、办公及生活临时设施拆除；做到工完场清，并承担所需的费用。在颁发任何接收证书时，</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应从该接收证书涉及的那部分现场，清除并运出全部</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设备、多余材料、垃圾和各种临时工程，并保持该部分现场和工程清洁整齐，达到使</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满意的使用状态，若</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不能及时清理运走他的设备、多余材料、垃圾和各种临时工程，</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可予以出售或另行处理。</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有权从此类收益中扣留足够的款额，以支付出售或处理及整理现场所发生的费用支出。此类收益的所有余额归还</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，若出售所得不足以补偿</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的支出，则</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可以从</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处扣回不足部分的款额。</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11.3</w:t>
      </w:r>
      <w:r>
        <w:rPr>
          <w:rFonts w:hint="eastAsia" w:hAnsi="宋体" w:cs="宋体"/>
          <w:color w:val="auto"/>
          <w:sz w:val="21"/>
          <w:szCs w:val="21"/>
          <w:highlight w:val="none"/>
        </w:rPr>
        <w:t>在项目场地内土石方车辆出口处必须按有关部门规定设置洗车池，土石方车辆驶入市政道路前必须经过洗车池以保证出场上路的拉土车辆的整洁情况符合城管的要求，其修建、维护、及拆除、恢复等费用全部由</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承担。</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承担因自身原因，违反相关规定造成的损失、罚款及对周边居民的经济补偿。场地排水、场地硬化、场地清理（包括泥浆、垃圾等），需做专项方案报业主、监理审核，同意后实施，若</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未做场地硬化或施工达不到批准方案要求，则向</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 xml:space="preserve">支付违约金人民币5万元。   </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11.4</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应先到工地踏勘以充分了解工地位置、道路、储存空间、装卸限制及任何其它足以影响投标报价的情况，任何因忽视或误解工地情况而导致的索赔或工期延长申请将不获批准。安全文明施工措施费包括临时设施费、安全施工费、文明施工费、环境保护费。</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11.5</w:t>
      </w:r>
      <w:r>
        <w:rPr>
          <w:rFonts w:hint="eastAsia" w:hAnsi="宋体" w:cs="宋体"/>
          <w:color w:val="auto"/>
          <w:sz w:val="21"/>
          <w:szCs w:val="21"/>
          <w:highlight w:val="none"/>
        </w:rPr>
        <w:t>措施项目费用结算办法：措施项目费用（包括履约担保手续费、环境保护费、工程保险费、施工企业现场安全文明措施费、砼、钢筋砼模板及支架费、脚手架费、垂直运输机械费、施工排水、降水费、夜间施工增加费、赶工措施费、二次搬运费、已完成项目及设备保护费、大型机械设备进出场及安拆费、</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自身的基坑变形等所有检测、监测费用、与专业检测机构的相关检测、监测配合及施工期间监测点的埋设配合、监测点保护费用、其它措施费等）按投标报价包干，结算时不再调整（包括工程变更）。上述措施项目费用中已包括为保证工期、技术、安防、质量的所有费用，</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在投标报价项目单价中综合考虑，结算时无论是否发生上述该类措施项目费用或无论实际发生数量是否一致，该部分费用不因分部分项工程的项目、工程量的变化及其它原因而调整。</w:t>
      </w:r>
    </w:p>
    <w:p>
      <w:pPr>
        <w:pStyle w:val="5"/>
        <w:spacing w:line="360" w:lineRule="auto"/>
        <w:rPr>
          <w:rFonts w:cs="宋体"/>
          <w:color w:val="auto"/>
          <w:sz w:val="21"/>
          <w:szCs w:val="21"/>
          <w:highlight w:val="none"/>
        </w:rPr>
      </w:pPr>
      <w:bookmarkStart w:id="207" w:name="_Toc293996867"/>
      <w:bookmarkStart w:id="208" w:name="_Toc308516517"/>
      <w:bookmarkStart w:id="209" w:name="_Toc326853487"/>
      <w:bookmarkStart w:id="210" w:name="_Toc320539267"/>
      <w:bookmarkStart w:id="211" w:name="_Toc362278300"/>
      <w:bookmarkStart w:id="212" w:name="_Toc17410398"/>
      <w:bookmarkStart w:id="213" w:name="_Toc11484"/>
      <w:r>
        <w:rPr>
          <w:rFonts w:hint="eastAsia" w:cs="宋体"/>
          <w:color w:val="auto"/>
          <w:sz w:val="21"/>
          <w:szCs w:val="21"/>
          <w:highlight w:val="none"/>
        </w:rPr>
        <w:t>12、安全文明施工管理细则</w:t>
      </w:r>
      <w:bookmarkEnd w:id="206"/>
      <w:bookmarkEnd w:id="207"/>
      <w:bookmarkEnd w:id="208"/>
      <w:bookmarkEnd w:id="209"/>
      <w:bookmarkEnd w:id="210"/>
      <w:bookmarkEnd w:id="211"/>
      <w:bookmarkEnd w:id="212"/>
      <w:bookmarkEnd w:id="213"/>
    </w:p>
    <w:p>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为进一步加强施工现场的安全文明管理，预防质量安全事故发生，尽量减少施工给市民带来的不便，确保工程建设的顺利实施，根据东莞市住房和城乡建设局颁发的</w:t>
      </w:r>
      <w:r>
        <w:rPr>
          <w:rFonts w:hint="eastAsia" w:hAnsi="宋体" w:cs="宋体"/>
          <w:b/>
          <w:color w:val="auto"/>
          <w:sz w:val="21"/>
          <w:szCs w:val="21"/>
          <w:highlight w:val="none"/>
        </w:rPr>
        <w:t>《东莞市建筑工程施工安全标准化图集》</w:t>
      </w:r>
      <w:r>
        <w:rPr>
          <w:rFonts w:hint="eastAsia" w:hAnsi="宋体" w:cs="宋体"/>
          <w:color w:val="auto"/>
          <w:sz w:val="21"/>
          <w:szCs w:val="21"/>
          <w:highlight w:val="none"/>
        </w:rPr>
        <w:t>结合</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实际，制定本细则。</w:t>
      </w:r>
    </w:p>
    <w:p>
      <w:pPr>
        <w:spacing w:line="360" w:lineRule="auto"/>
        <w:ind w:firstLine="420" w:firstLineChars="200"/>
        <w:rPr>
          <w:rFonts w:hAnsi="宋体" w:cs="宋体"/>
          <w:color w:val="auto"/>
          <w:sz w:val="21"/>
          <w:szCs w:val="21"/>
          <w:highlight w:val="none"/>
        </w:rPr>
      </w:pPr>
    </w:p>
    <w:p>
      <w:pPr>
        <w:spacing w:line="360" w:lineRule="auto"/>
        <w:ind w:right="-40"/>
        <w:jc w:val="center"/>
        <w:rPr>
          <w:rFonts w:hAnsi="宋体" w:cs="宋体"/>
          <w:b/>
          <w:color w:val="auto"/>
          <w:spacing w:val="2"/>
          <w:w w:val="99"/>
          <w:position w:val="-3"/>
          <w:sz w:val="21"/>
          <w:szCs w:val="21"/>
          <w:highlight w:val="none"/>
        </w:rPr>
      </w:pPr>
      <w:r>
        <w:rPr>
          <w:rFonts w:hint="eastAsia" w:hAnsi="宋体" w:cs="宋体"/>
          <w:b/>
          <w:color w:val="auto"/>
          <w:spacing w:val="2"/>
          <w:w w:val="99"/>
          <w:position w:val="-3"/>
          <w:sz w:val="21"/>
          <w:szCs w:val="21"/>
          <w:highlight w:val="none"/>
          <w:lang w:val="en-US" w:eastAsia="zh-CN"/>
        </w:rPr>
        <w:t>12.1</w:t>
      </w:r>
      <w:r>
        <w:rPr>
          <w:rFonts w:hint="eastAsia" w:hAnsi="宋体" w:cs="宋体"/>
          <w:b/>
          <w:color w:val="auto"/>
          <w:spacing w:val="2"/>
          <w:w w:val="99"/>
          <w:position w:val="-3"/>
          <w:sz w:val="21"/>
          <w:szCs w:val="21"/>
          <w:highlight w:val="none"/>
        </w:rPr>
        <w:t xml:space="preserve"> 综合管理</w:t>
      </w:r>
    </w:p>
    <w:p>
      <w:pPr>
        <w:spacing w:line="360" w:lineRule="auto"/>
        <w:ind w:right="60" w:rightChars="25"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eastAsia="zh-CN"/>
        </w:rPr>
        <w:t>）</w:t>
      </w:r>
      <w:r>
        <w:rPr>
          <w:rFonts w:hint="eastAsia" w:hAnsi="宋体" w:cs="宋体"/>
          <w:color w:val="auto"/>
          <w:sz w:val="21"/>
          <w:szCs w:val="21"/>
          <w:highlight w:val="none"/>
        </w:rPr>
        <w:t>施工现场应做好清洁、安全保卫工作，建立工地现场材料进出场登记管理，组织保安队伍，防止非施工人员擅自进入施工区域。</w:t>
      </w:r>
    </w:p>
    <w:p>
      <w:pPr>
        <w:spacing w:line="360" w:lineRule="auto"/>
        <w:ind w:right="60" w:rightChars="25"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w:t>
      </w:r>
      <w:r>
        <w:rPr>
          <w:rFonts w:hint="eastAsia" w:hAnsi="宋体" w:cs="宋体"/>
          <w:color w:val="auto"/>
          <w:sz w:val="21"/>
          <w:szCs w:val="21"/>
          <w:highlight w:val="none"/>
        </w:rPr>
        <w:t>施工完毕后，</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应从施工现场清除并运出</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装备、剩余材料、垃圾和各种临时设施（包括临时房屋、临时硬化路面、临时绿化等）。</w:t>
      </w:r>
    </w:p>
    <w:p>
      <w:pPr>
        <w:spacing w:line="360" w:lineRule="auto"/>
        <w:ind w:right="223" w:rightChars="93"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3</w:t>
      </w:r>
      <w:r>
        <w:rPr>
          <w:rFonts w:hint="eastAsia" w:hAnsi="宋体" w:cs="宋体"/>
          <w:color w:val="auto"/>
          <w:sz w:val="21"/>
          <w:szCs w:val="21"/>
          <w:highlight w:val="none"/>
          <w:lang w:eastAsia="zh-CN"/>
        </w:rPr>
        <w:t>）</w:t>
      </w:r>
      <w:r>
        <w:rPr>
          <w:rFonts w:hint="eastAsia" w:hAnsi="宋体" w:cs="宋体"/>
          <w:color w:val="auto"/>
          <w:sz w:val="21"/>
          <w:szCs w:val="21"/>
          <w:highlight w:val="none"/>
        </w:rPr>
        <w:t>建设工程施工需要临时占用道路或规划批准范围以外场地的</w:t>
      </w:r>
      <w:r>
        <w:rPr>
          <w:rFonts w:hint="eastAsia" w:hAnsi="宋体" w:cs="宋体"/>
          <w:color w:val="auto"/>
          <w:spacing w:val="-17"/>
          <w:sz w:val="21"/>
          <w:szCs w:val="21"/>
          <w:highlight w:val="none"/>
        </w:rPr>
        <w:t>，</w:t>
      </w:r>
      <w:r>
        <w:rPr>
          <w:rFonts w:hint="eastAsia" w:hAnsi="宋体" w:cs="宋体"/>
          <w:color w:val="auto"/>
          <w:sz w:val="21"/>
          <w:szCs w:val="21"/>
          <w:highlight w:val="none"/>
        </w:rPr>
        <w:t>应按规定向有关部门办理报批手续。因施工造成毗邻单位、居民的出入口障碍和交通堵塞的，施工企业应采取有效措施，确保出入口和交通的畅通、安全。</w:t>
      </w:r>
    </w:p>
    <w:p>
      <w:pPr>
        <w:spacing w:line="360" w:lineRule="auto"/>
        <w:ind w:right="-24" w:rightChars="-10"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4</w:t>
      </w:r>
      <w:r>
        <w:rPr>
          <w:rFonts w:hint="eastAsia" w:hAnsi="宋体" w:cs="宋体"/>
          <w:color w:val="auto"/>
          <w:sz w:val="21"/>
          <w:szCs w:val="21"/>
          <w:highlight w:val="none"/>
          <w:lang w:eastAsia="zh-CN"/>
        </w:rPr>
        <w:t>）</w:t>
      </w:r>
      <w:r>
        <w:rPr>
          <w:rFonts w:hint="eastAsia" w:hAnsi="宋体" w:cs="宋体"/>
          <w:color w:val="auto"/>
          <w:sz w:val="21"/>
          <w:szCs w:val="21"/>
          <w:highlight w:val="none"/>
        </w:rPr>
        <w:t>处理好毗邻建（构）筑物、市政公用设施、水利设施和</w:t>
      </w:r>
      <w:r>
        <w:rPr>
          <w:rFonts w:hint="eastAsia" w:hAnsi="宋体" w:cs="宋体"/>
          <w:color w:val="auto"/>
          <w:spacing w:val="1"/>
          <w:sz w:val="21"/>
          <w:szCs w:val="21"/>
          <w:highlight w:val="none"/>
        </w:rPr>
        <w:t>地</w:t>
      </w:r>
      <w:r>
        <w:rPr>
          <w:rFonts w:hint="eastAsia" w:hAnsi="宋体" w:cs="宋体"/>
          <w:color w:val="auto"/>
          <w:sz w:val="21"/>
          <w:szCs w:val="21"/>
          <w:highlight w:val="none"/>
        </w:rPr>
        <w:t>下管线等的保护。</w:t>
      </w:r>
    </w:p>
    <w:p>
      <w:pPr>
        <w:autoSpaceDE/>
        <w:autoSpaceDN/>
        <w:adjustRightInd/>
        <w:spacing w:line="360" w:lineRule="auto"/>
        <w:ind w:left="-2" w:leftChars="-1" w:right="-24" w:rightChars="-10" w:firstLine="420" w:firstLineChars="200"/>
        <w:rPr>
          <w:rFonts w:hAnsi="宋体" w:cs="宋体"/>
          <w:b/>
          <w:bCs/>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5</w:t>
      </w:r>
      <w:r>
        <w:rPr>
          <w:rFonts w:hint="eastAsia" w:hAnsi="宋体" w:cs="宋体"/>
          <w:color w:val="auto"/>
          <w:sz w:val="21"/>
          <w:szCs w:val="21"/>
          <w:highlight w:val="none"/>
          <w:lang w:eastAsia="zh-CN"/>
        </w:rPr>
        <w:t>）</w:t>
      </w:r>
      <w:r>
        <w:rPr>
          <w:rFonts w:hint="eastAsia" w:hAnsi="宋体" w:cs="宋体"/>
          <w:b/>
          <w:bCs/>
          <w:color w:val="auto"/>
          <w:sz w:val="21"/>
          <w:szCs w:val="21"/>
          <w:highlight w:val="none"/>
        </w:rPr>
        <w:t>开挖过程中控制外来垃圾进入现有填埋场内，同时也禁止现有</w:t>
      </w:r>
      <w:r>
        <w:rPr>
          <w:rFonts w:hint="eastAsia" w:hAnsi="宋体" w:cs="宋体"/>
          <w:b/>
          <w:bCs/>
          <w:color w:val="auto"/>
          <w:sz w:val="21"/>
          <w:szCs w:val="21"/>
          <w:highlight w:val="none"/>
          <w:lang w:val="en-US" w:eastAsia="zh-CN"/>
        </w:rPr>
        <w:t>填埋</w:t>
      </w:r>
      <w:r>
        <w:rPr>
          <w:rFonts w:hint="eastAsia" w:hAnsi="宋体" w:cs="宋体"/>
          <w:b/>
          <w:bCs/>
          <w:color w:val="auto"/>
          <w:sz w:val="21"/>
          <w:szCs w:val="21"/>
          <w:highlight w:val="none"/>
        </w:rPr>
        <w:t>场垃圾外出至</w:t>
      </w:r>
      <w:r>
        <w:rPr>
          <w:rFonts w:hint="eastAsia" w:hAnsi="宋体" w:cs="宋体"/>
          <w:b/>
          <w:bCs/>
          <w:color w:val="auto"/>
          <w:sz w:val="21"/>
          <w:szCs w:val="21"/>
          <w:highlight w:val="none"/>
          <w:lang w:eastAsia="zh-CN"/>
        </w:rPr>
        <w:t>采购人</w:t>
      </w:r>
      <w:r>
        <w:rPr>
          <w:rFonts w:hint="eastAsia" w:hAnsi="宋体" w:cs="宋体"/>
          <w:b/>
          <w:bCs/>
          <w:color w:val="auto"/>
          <w:sz w:val="21"/>
          <w:szCs w:val="21"/>
          <w:highlight w:val="none"/>
        </w:rPr>
        <w:t>指定地点之外；</w:t>
      </w:r>
    </w:p>
    <w:p>
      <w:pPr>
        <w:spacing w:line="360" w:lineRule="auto"/>
        <w:ind w:right="-40"/>
        <w:jc w:val="center"/>
        <w:rPr>
          <w:rFonts w:hAnsi="宋体" w:cs="宋体"/>
          <w:b/>
          <w:color w:val="auto"/>
          <w:spacing w:val="2"/>
          <w:w w:val="99"/>
          <w:position w:val="-3"/>
          <w:sz w:val="21"/>
          <w:szCs w:val="21"/>
          <w:highlight w:val="none"/>
        </w:rPr>
      </w:pPr>
      <w:r>
        <w:rPr>
          <w:rFonts w:hint="eastAsia" w:hAnsi="宋体" w:cs="宋体"/>
          <w:b/>
          <w:color w:val="auto"/>
          <w:spacing w:val="2"/>
          <w:w w:val="99"/>
          <w:position w:val="-3"/>
          <w:sz w:val="21"/>
          <w:szCs w:val="21"/>
          <w:highlight w:val="none"/>
          <w:lang w:val="en-US" w:eastAsia="zh-CN"/>
        </w:rPr>
        <w:t>12.2</w:t>
      </w:r>
      <w:r>
        <w:rPr>
          <w:rFonts w:hint="eastAsia" w:hAnsi="宋体" w:cs="宋体"/>
          <w:b/>
          <w:color w:val="auto"/>
          <w:spacing w:val="2"/>
          <w:w w:val="99"/>
          <w:position w:val="-3"/>
          <w:sz w:val="21"/>
          <w:szCs w:val="21"/>
          <w:highlight w:val="none"/>
        </w:rPr>
        <w:t xml:space="preserve">  现场围挡设计与施工环境</w:t>
      </w:r>
    </w:p>
    <w:p>
      <w:pPr>
        <w:spacing w:line="360" w:lineRule="auto"/>
        <w:ind w:right="199"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eastAsia="zh-CN"/>
        </w:rPr>
        <w:t>）</w:t>
      </w:r>
      <w:r>
        <w:rPr>
          <w:rFonts w:hint="eastAsia" w:hAnsi="宋体" w:cs="宋体"/>
          <w:color w:val="auto"/>
          <w:sz w:val="21"/>
          <w:szCs w:val="21"/>
          <w:highlight w:val="none"/>
        </w:rPr>
        <w:t>施工现场视情况实行封闭式管理</w:t>
      </w:r>
      <w:r>
        <w:rPr>
          <w:rFonts w:hint="eastAsia" w:hAnsi="宋体" w:cs="宋体"/>
          <w:color w:val="auto"/>
          <w:spacing w:val="-7"/>
          <w:sz w:val="21"/>
          <w:szCs w:val="21"/>
          <w:highlight w:val="none"/>
        </w:rPr>
        <w:t>。</w:t>
      </w:r>
      <w:r>
        <w:rPr>
          <w:rFonts w:hint="eastAsia" w:hAnsi="宋体" w:cs="宋体"/>
          <w:color w:val="auto"/>
          <w:sz w:val="21"/>
          <w:szCs w:val="21"/>
          <w:highlight w:val="none"/>
        </w:rPr>
        <w:t>施工现场周边除设置必要的人员</w:t>
      </w:r>
      <w:r>
        <w:rPr>
          <w:rFonts w:hint="eastAsia" w:hAnsi="宋体" w:cs="宋体"/>
          <w:color w:val="auto"/>
          <w:spacing w:val="-7"/>
          <w:sz w:val="21"/>
          <w:szCs w:val="21"/>
          <w:highlight w:val="none"/>
        </w:rPr>
        <w:t>、</w:t>
      </w:r>
      <w:r>
        <w:rPr>
          <w:rFonts w:hint="eastAsia" w:hAnsi="宋体" w:cs="宋体"/>
          <w:color w:val="auto"/>
          <w:sz w:val="21"/>
          <w:szCs w:val="21"/>
          <w:highlight w:val="none"/>
        </w:rPr>
        <w:t>车辆进出口通道外</w:t>
      </w:r>
      <w:r>
        <w:rPr>
          <w:rFonts w:hint="eastAsia" w:hAnsi="宋体" w:cs="宋体"/>
          <w:color w:val="auto"/>
          <w:spacing w:val="-12"/>
          <w:sz w:val="21"/>
          <w:szCs w:val="21"/>
          <w:highlight w:val="none"/>
        </w:rPr>
        <w:t>，</w:t>
      </w:r>
      <w:r>
        <w:rPr>
          <w:rFonts w:hint="eastAsia" w:hAnsi="宋体" w:cs="宋体"/>
          <w:color w:val="auto"/>
          <w:sz w:val="21"/>
          <w:szCs w:val="21"/>
          <w:highlight w:val="none"/>
        </w:rPr>
        <w:t>应在项目开工前设置连续封闭的围</w:t>
      </w:r>
      <w:r>
        <w:rPr>
          <w:rFonts w:hint="eastAsia" w:hAnsi="宋体" w:cs="宋体"/>
          <w:color w:val="auto"/>
          <w:spacing w:val="-12"/>
          <w:sz w:val="21"/>
          <w:szCs w:val="21"/>
          <w:highlight w:val="none"/>
        </w:rPr>
        <w:t>挡</w:t>
      </w:r>
      <w:r>
        <w:rPr>
          <w:rFonts w:hint="eastAsia" w:hAnsi="宋体" w:cs="宋体"/>
          <w:color w:val="auto"/>
          <w:sz w:val="21"/>
          <w:szCs w:val="21"/>
          <w:highlight w:val="none"/>
        </w:rPr>
        <w:t>。</w:t>
      </w:r>
    </w:p>
    <w:p>
      <w:pPr>
        <w:spacing w:line="360" w:lineRule="auto"/>
        <w:ind w:right="199"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w:t>
      </w:r>
      <w:r>
        <w:rPr>
          <w:rFonts w:hint="eastAsia" w:hAnsi="宋体" w:cs="宋体"/>
          <w:color w:val="auto"/>
          <w:sz w:val="21"/>
          <w:szCs w:val="21"/>
          <w:highlight w:val="none"/>
        </w:rPr>
        <w:t>工地出入口设置洗车场和沉淀池</w:t>
      </w:r>
      <w:r>
        <w:rPr>
          <w:rFonts w:hint="eastAsia" w:hAnsi="宋体" w:cs="宋体"/>
          <w:color w:val="auto"/>
          <w:spacing w:val="-7"/>
          <w:sz w:val="21"/>
          <w:szCs w:val="21"/>
          <w:highlight w:val="none"/>
        </w:rPr>
        <w:t>，</w:t>
      </w:r>
      <w:r>
        <w:rPr>
          <w:rFonts w:hint="eastAsia" w:hAnsi="宋体" w:cs="宋体"/>
          <w:color w:val="auto"/>
          <w:sz w:val="21"/>
          <w:szCs w:val="21"/>
          <w:highlight w:val="none"/>
        </w:rPr>
        <w:t>并配备高压冲水枪</w:t>
      </w:r>
      <w:r>
        <w:rPr>
          <w:rFonts w:hint="eastAsia" w:hAnsi="宋体" w:cs="宋体"/>
          <w:color w:val="auto"/>
          <w:spacing w:val="-7"/>
          <w:sz w:val="21"/>
          <w:szCs w:val="21"/>
          <w:highlight w:val="none"/>
        </w:rPr>
        <w:t>，</w:t>
      </w:r>
      <w:r>
        <w:rPr>
          <w:rFonts w:hint="eastAsia" w:hAnsi="宋体" w:cs="宋体"/>
          <w:color w:val="auto"/>
          <w:sz w:val="21"/>
          <w:szCs w:val="21"/>
          <w:highlight w:val="none"/>
        </w:rPr>
        <w:t>驶出工地的机动车辆必须在工地出入口洗车场内冲洗干净后</w:t>
      </w:r>
      <w:r>
        <w:rPr>
          <w:rFonts w:hint="eastAsia" w:hAnsi="宋体" w:cs="宋体"/>
          <w:color w:val="auto"/>
          <w:spacing w:val="-5"/>
          <w:sz w:val="21"/>
          <w:szCs w:val="21"/>
          <w:highlight w:val="none"/>
        </w:rPr>
        <w:t>，</w:t>
      </w:r>
      <w:r>
        <w:rPr>
          <w:rFonts w:hint="eastAsia" w:hAnsi="宋体" w:cs="宋体"/>
          <w:color w:val="auto"/>
          <w:sz w:val="21"/>
          <w:szCs w:val="21"/>
          <w:highlight w:val="none"/>
        </w:rPr>
        <w:t>方可上路行驶</w:t>
      </w:r>
      <w:r>
        <w:rPr>
          <w:rFonts w:hint="eastAsia" w:hAnsi="宋体" w:cs="宋体"/>
          <w:color w:val="auto"/>
          <w:spacing w:val="-5"/>
          <w:sz w:val="21"/>
          <w:szCs w:val="21"/>
          <w:highlight w:val="none"/>
        </w:rPr>
        <w:t>，</w:t>
      </w:r>
      <w:r>
        <w:rPr>
          <w:rFonts w:hint="eastAsia" w:hAnsi="宋体" w:cs="宋体"/>
          <w:color w:val="auto"/>
          <w:sz w:val="21"/>
          <w:szCs w:val="21"/>
          <w:highlight w:val="none"/>
        </w:rPr>
        <w:t>防止施工运输车辆带泥上路，影响市政道路的清洁和环境卫生。在适当位置设车辆停放场，并用黄油漆在地面上划出车辆的停放位置线。</w:t>
      </w:r>
    </w:p>
    <w:p>
      <w:pPr>
        <w:spacing w:line="360" w:lineRule="auto"/>
        <w:ind w:right="-58" w:firstLine="392" w:firstLineChars="200"/>
        <w:rPr>
          <w:rFonts w:hAnsi="宋体" w:cs="宋体"/>
          <w:color w:val="auto"/>
          <w:sz w:val="21"/>
          <w:szCs w:val="21"/>
          <w:highlight w:val="none"/>
        </w:rPr>
      </w:pPr>
      <w:r>
        <w:rPr>
          <w:rFonts w:hint="eastAsia" w:hAnsi="宋体" w:cs="宋体"/>
          <w:color w:val="auto"/>
          <w:spacing w:val="-7"/>
          <w:sz w:val="21"/>
          <w:szCs w:val="21"/>
          <w:highlight w:val="none"/>
          <w:lang w:val="en-US" w:eastAsia="zh-CN"/>
        </w:rPr>
        <w:t>（3）</w:t>
      </w:r>
      <w:r>
        <w:rPr>
          <w:rFonts w:hint="eastAsia" w:hAnsi="宋体" w:cs="宋体"/>
          <w:color w:val="auto"/>
          <w:sz w:val="21"/>
          <w:szCs w:val="21"/>
          <w:highlight w:val="none"/>
        </w:rPr>
        <w:t>搞好围墙内施工环境卫生</w:t>
      </w:r>
      <w:r>
        <w:rPr>
          <w:rFonts w:hint="eastAsia" w:hAnsi="宋体" w:cs="宋体"/>
          <w:color w:val="auto"/>
          <w:spacing w:val="-7"/>
          <w:sz w:val="21"/>
          <w:szCs w:val="21"/>
          <w:highlight w:val="none"/>
        </w:rPr>
        <w:t>，</w:t>
      </w:r>
      <w:r>
        <w:rPr>
          <w:rFonts w:hint="eastAsia" w:hAnsi="宋体" w:cs="宋体"/>
          <w:color w:val="auto"/>
          <w:sz w:val="21"/>
          <w:szCs w:val="21"/>
          <w:highlight w:val="none"/>
        </w:rPr>
        <w:t>温暖季节做好生活区的局部绿化工作</w:t>
      </w:r>
      <w:r>
        <w:rPr>
          <w:rFonts w:hint="eastAsia" w:hAnsi="宋体" w:cs="宋体"/>
          <w:color w:val="auto"/>
          <w:spacing w:val="-7"/>
          <w:sz w:val="21"/>
          <w:szCs w:val="21"/>
          <w:highlight w:val="none"/>
        </w:rPr>
        <w:t>，</w:t>
      </w:r>
      <w:r>
        <w:rPr>
          <w:rFonts w:hint="eastAsia" w:hAnsi="宋体" w:cs="宋体"/>
          <w:color w:val="auto"/>
          <w:sz w:val="21"/>
          <w:szCs w:val="21"/>
          <w:highlight w:val="none"/>
        </w:rPr>
        <w:t>创造一个良好的生活、工作环境。</w:t>
      </w:r>
    </w:p>
    <w:p>
      <w:pPr>
        <w:spacing w:line="360" w:lineRule="auto"/>
        <w:ind w:right="-20"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4</w:t>
      </w:r>
      <w:r>
        <w:rPr>
          <w:rFonts w:hint="eastAsia" w:hAnsi="宋体" w:cs="宋体"/>
          <w:color w:val="auto"/>
          <w:sz w:val="21"/>
          <w:szCs w:val="21"/>
          <w:highlight w:val="none"/>
          <w:lang w:eastAsia="zh-CN"/>
        </w:rPr>
        <w:t>）</w:t>
      </w:r>
      <w:r>
        <w:rPr>
          <w:rFonts w:hint="eastAsia" w:hAnsi="宋体" w:cs="宋体"/>
          <w:color w:val="auto"/>
          <w:sz w:val="21"/>
          <w:szCs w:val="21"/>
          <w:highlight w:val="none"/>
        </w:rPr>
        <w:t>在施工场地进口处设置吸烟室，严禁任何人在填埋场区域、可燃质RDF堆场区域吸烟。</w:t>
      </w:r>
    </w:p>
    <w:p>
      <w:pPr>
        <w:spacing w:line="360" w:lineRule="auto"/>
        <w:ind w:right="-20"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5</w:t>
      </w:r>
      <w:r>
        <w:rPr>
          <w:rFonts w:hint="eastAsia" w:hAnsi="宋体" w:cs="宋体"/>
          <w:color w:val="auto"/>
          <w:sz w:val="21"/>
          <w:szCs w:val="21"/>
          <w:highlight w:val="none"/>
          <w:lang w:eastAsia="zh-CN"/>
        </w:rPr>
        <w:t>）</w:t>
      </w:r>
      <w:r>
        <w:rPr>
          <w:rFonts w:hint="eastAsia" w:hAnsi="宋体" w:cs="宋体"/>
          <w:color w:val="auto"/>
          <w:sz w:val="21"/>
          <w:szCs w:val="21"/>
          <w:highlight w:val="none"/>
        </w:rPr>
        <w:t>围挡</w:t>
      </w:r>
      <w:r>
        <w:rPr>
          <w:rFonts w:hint="eastAsia" w:hAnsi="宋体" w:cs="宋体"/>
          <w:color w:val="auto"/>
          <w:sz w:val="21"/>
          <w:szCs w:val="21"/>
          <w:highlight w:val="none"/>
          <w:lang w:val="zh-CN"/>
        </w:rPr>
        <w:t>应体现美化环境的文明宣传标语，</w:t>
      </w:r>
      <w:r>
        <w:rPr>
          <w:rFonts w:hint="eastAsia" w:hAnsi="宋体" w:cs="宋体"/>
          <w:color w:val="auto"/>
          <w:sz w:val="21"/>
          <w:szCs w:val="21"/>
          <w:highlight w:val="none"/>
        </w:rPr>
        <w:t>必须保持整齐、美观，如有损坏应及时更换，未经</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同意不得出现与本工程无关的内容，否则视为违约，将对中标单位处以人民币</w:t>
      </w:r>
      <w:r>
        <w:rPr>
          <w:rFonts w:hint="eastAsia" w:hAnsi="宋体" w:cs="宋体"/>
          <w:b/>
          <w:color w:val="auto"/>
          <w:sz w:val="21"/>
          <w:szCs w:val="21"/>
          <w:highlight w:val="none"/>
          <w:u w:val="single"/>
        </w:rPr>
        <w:t>20,000</w:t>
      </w:r>
      <w:r>
        <w:rPr>
          <w:rFonts w:hint="eastAsia" w:hAnsi="宋体" w:cs="宋体"/>
          <w:color w:val="auto"/>
          <w:sz w:val="21"/>
          <w:szCs w:val="21"/>
          <w:highlight w:val="none"/>
        </w:rPr>
        <w:t>元违约金。</w:t>
      </w:r>
    </w:p>
    <w:p>
      <w:pPr>
        <w:spacing w:line="360" w:lineRule="auto"/>
        <w:ind w:right="-40"/>
        <w:jc w:val="center"/>
        <w:rPr>
          <w:rFonts w:hAnsi="宋体" w:cs="宋体"/>
          <w:b/>
          <w:color w:val="auto"/>
          <w:spacing w:val="2"/>
          <w:w w:val="99"/>
          <w:position w:val="-3"/>
          <w:sz w:val="21"/>
          <w:szCs w:val="21"/>
          <w:highlight w:val="none"/>
        </w:rPr>
      </w:pPr>
      <w:r>
        <w:rPr>
          <w:rFonts w:hint="eastAsia" w:hAnsi="宋体" w:cs="宋体"/>
          <w:b/>
          <w:color w:val="auto"/>
          <w:spacing w:val="2"/>
          <w:w w:val="99"/>
          <w:position w:val="-3"/>
          <w:sz w:val="21"/>
          <w:szCs w:val="21"/>
          <w:highlight w:val="none"/>
          <w:lang w:val="en-US" w:eastAsia="zh-CN"/>
        </w:rPr>
        <w:t>12.3</w:t>
      </w:r>
      <w:r>
        <w:rPr>
          <w:rFonts w:hint="eastAsia" w:hAnsi="宋体" w:cs="宋体"/>
          <w:b/>
          <w:color w:val="auto"/>
          <w:spacing w:val="2"/>
          <w:w w:val="99"/>
          <w:position w:val="-3"/>
          <w:sz w:val="21"/>
          <w:szCs w:val="21"/>
          <w:highlight w:val="none"/>
        </w:rPr>
        <w:t xml:space="preserve">  现场标牌及宣传标语</w:t>
      </w:r>
    </w:p>
    <w:p>
      <w:pPr>
        <w:spacing w:line="360" w:lineRule="auto"/>
        <w:ind w:left="185" w:leftChars="77" w:right="81"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eastAsia="zh-CN"/>
        </w:rPr>
        <w:t>）</w:t>
      </w:r>
      <w:r>
        <w:rPr>
          <w:rFonts w:hint="eastAsia" w:hAnsi="宋体" w:cs="宋体"/>
          <w:color w:val="auto"/>
          <w:sz w:val="21"/>
          <w:szCs w:val="21"/>
          <w:highlight w:val="none"/>
        </w:rPr>
        <w:t>大门外侧在围挡的醒目位置上悬挂五牌一图，包括工程概况牌、组织网络牌、消防保卫牌</w:t>
      </w:r>
      <w:r>
        <w:rPr>
          <w:rFonts w:hint="eastAsia" w:hAnsi="宋体" w:cs="宋体"/>
          <w:color w:val="auto"/>
          <w:spacing w:val="-7"/>
          <w:sz w:val="21"/>
          <w:szCs w:val="21"/>
          <w:highlight w:val="none"/>
        </w:rPr>
        <w:t>、</w:t>
      </w:r>
      <w:r>
        <w:rPr>
          <w:rFonts w:hint="eastAsia" w:hAnsi="宋体" w:cs="宋体"/>
          <w:color w:val="auto"/>
          <w:sz w:val="21"/>
          <w:szCs w:val="21"/>
          <w:highlight w:val="none"/>
        </w:rPr>
        <w:t>安全生产牌</w:t>
      </w:r>
      <w:r>
        <w:rPr>
          <w:rFonts w:hint="eastAsia" w:hAnsi="宋体" w:cs="宋体"/>
          <w:color w:val="auto"/>
          <w:spacing w:val="-7"/>
          <w:sz w:val="21"/>
          <w:szCs w:val="21"/>
          <w:highlight w:val="none"/>
        </w:rPr>
        <w:t>、</w:t>
      </w:r>
      <w:r>
        <w:rPr>
          <w:rFonts w:hint="eastAsia" w:hAnsi="宋体" w:cs="宋体"/>
          <w:color w:val="auto"/>
          <w:sz w:val="21"/>
          <w:szCs w:val="21"/>
          <w:highlight w:val="none"/>
        </w:rPr>
        <w:t>文明施工管理牌和施工总平面布置图</w:t>
      </w:r>
      <w:r>
        <w:rPr>
          <w:rFonts w:hint="eastAsia" w:hAnsi="宋体" w:cs="宋体"/>
          <w:color w:val="auto"/>
          <w:spacing w:val="-7"/>
          <w:sz w:val="21"/>
          <w:szCs w:val="21"/>
          <w:highlight w:val="none"/>
        </w:rPr>
        <w:t>。</w:t>
      </w:r>
      <w:r>
        <w:rPr>
          <w:rFonts w:hint="eastAsia" w:hAnsi="宋体" w:cs="宋体"/>
          <w:color w:val="auto"/>
          <w:sz w:val="21"/>
          <w:szCs w:val="21"/>
          <w:highlight w:val="none"/>
        </w:rPr>
        <w:t>工程概况牌应当列明工程名称、规模、开工和竣工日期、施工许可证号以及建设、设计、施工</w:t>
      </w:r>
      <w:r>
        <w:rPr>
          <w:rFonts w:hint="eastAsia" w:hAnsi="宋体" w:cs="宋体"/>
          <w:color w:val="auto"/>
          <w:spacing w:val="-7"/>
          <w:sz w:val="21"/>
          <w:szCs w:val="21"/>
          <w:highlight w:val="none"/>
        </w:rPr>
        <w:t>、</w:t>
      </w:r>
      <w:r>
        <w:rPr>
          <w:rFonts w:hint="eastAsia" w:hAnsi="宋体" w:cs="宋体"/>
          <w:color w:val="auto"/>
          <w:sz w:val="21"/>
          <w:szCs w:val="21"/>
          <w:highlight w:val="none"/>
        </w:rPr>
        <w:t>监理</w:t>
      </w:r>
      <w:r>
        <w:rPr>
          <w:rFonts w:hint="eastAsia" w:hAnsi="宋体" w:cs="宋体"/>
          <w:color w:val="auto"/>
          <w:spacing w:val="-7"/>
          <w:sz w:val="21"/>
          <w:szCs w:val="21"/>
          <w:highlight w:val="none"/>
        </w:rPr>
        <w:t>、</w:t>
      </w:r>
      <w:r>
        <w:rPr>
          <w:rFonts w:hint="eastAsia" w:hAnsi="宋体" w:cs="宋体"/>
          <w:color w:val="auto"/>
          <w:sz w:val="21"/>
          <w:szCs w:val="21"/>
          <w:highlight w:val="none"/>
        </w:rPr>
        <w:t>质量和</w:t>
      </w:r>
      <w:r>
        <w:rPr>
          <w:rFonts w:hint="eastAsia" w:hAnsi="宋体" w:cs="宋体"/>
          <w:color w:val="auto"/>
          <w:spacing w:val="2"/>
          <w:sz w:val="21"/>
          <w:szCs w:val="21"/>
          <w:highlight w:val="none"/>
        </w:rPr>
        <w:t>安</w:t>
      </w:r>
      <w:r>
        <w:rPr>
          <w:rFonts w:hint="eastAsia" w:hAnsi="宋体" w:cs="宋体"/>
          <w:color w:val="auto"/>
          <w:sz w:val="21"/>
          <w:szCs w:val="21"/>
          <w:highlight w:val="none"/>
        </w:rPr>
        <w:t>全监督单位等内容</w:t>
      </w:r>
      <w:r>
        <w:rPr>
          <w:rFonts w:hint="eastAsia" w:hAnsi="宋体" w:cs="宋体"/>
          <w:color w:val="auto"/>
          <w:spacing w:val="-7"/>
          <w:sz w:val="21"/>
          <w:szCs w:val="21"/>
          <w:highlight w:val="none"/>
        </w:rPr>
        <w:t>，</w:t>
      </w:r>
      <w:r>
        <w:rPr>
          <w:rFonts w:hint="eastAsia" w:hAnsi="宋体" w:cs="宋体"/>
          <w:color w:val="auto"/>
          <w:spacing w:val="2"/>
          <w:sz w:val="21"/>
          <w:szCs w:val="21"/>
          <w:highlight w:val="none"/>
        </w:rPr>
        <w:t>施</w:t>
      </w:r>
      <w:r>
        <w:rPr>
          <w:rFonts w:hint="eastAsia" w:hAnsi="宋体" w:cs="宋体"/>
          <w:color w:val="auto"/>
          <w:sz w:val="21"/>
          <w:szCs w:val="21"/>
          <w:highlight w:val="none"/>
        </w:rPr>
        <w:t>工单位及法人代表</w:t>
      </w:r>
      <w:r>
        <w:rPr>
          <w:rFonts w:hint="eastAsia" w:hAnsi="宋体" w:cs="宋体"/>
          <w:color w:val="auto"/>
          <w:spacing w:val="-3"/>
          <w:sz w:val="21"/>
          <w:szCs w:val="21"/>
          <w:highlight w:val="none"/>
        </w:rPr>
        <w:t>、</w:t>
      </w:r>
      <w:r>
        <w:rPr>
          <w:rFonts w:hint="eastAsia" w:hAnsi="宋体" w:cs="宋体"/>
          <w:color w:val="auto"/>
          <w:sz w:val="21"/>
          <w:szCs w:val="21"/>
          <w:highlight w:val="none"/>
        </w:rPr>
        <w:t>项目负责人（建造师）或现场负责人</w:t>
      </w:r>
      <w:r>
        <w:rPr>
          <w:rFonts w:hint="eastAsia" w:hAnsi="宋体" w:cs="宋体"/>
          <w:color w:val="auto"/>
          <w:spacing w:val="-36"/>
          <w:sz w:val="21"/>
          <w:szCs w:val="21"/>
          <w:highlight w:val="none"/>
        </w:rPr>
        <w:t>、</w:t>
      </w:r>
      <w:r>
        <w:rPr>
          <w:rFonts w:hint="eastAsia" w:hAnsi="宋体" w:cs="宋体"/>
          <w:color w:val="auto"/>
          <w:sz w:val="21"/>
          <w:szCs w:val="21"/>
          <w:highlight w:val="none"/>
        </w:rPr>
        <w:t>技术负责人</w:t>
      </w:r>
      <w:r>
        <w:rPr>
          <w:rFonts w:hint="eastAsia" w:hAnsi="宋体" w:cs="宋体"/>
          <w:color w:val="auto"/>
          <w:spacing w:val="-36"/>
          <w:sz w:val="21"/>
          <w:szCs w:val="21"/>
          <w:highlight w:val="none"/>
        </w:rPr>
        <w:t>、</w:t>
      </w:r>
      <w:r>
        <w:rPr>
          <w:rFonts w:hint="eastAsia" w:hAnsi="宋体" w:cs="宋体"/>
          <w:color w:val="auto"/>
          <w:sz w:val="21"/>
          <w:szCs w:val="21"/>
          <w:highlight w:val="none"/>
        </w:rPr>
        <w:t>质监员、监理单位</w:t>
      </w:r>
      <w:r>
        <w:rPr>
          <w:rFonts w:hint="eastAsia" w:hAnsi="宋体" w:cs="宋体"/>
          <w:color w:val="auto"/>
          <w:spacing w:val="-36"/>
          <w:sz w:val="21"/>
          <w:szCs w:val="21"/>
          <w:highlight w:val="none"/>
        </w:rPr>
        <w:t>、</w:t>
      </w:r>
      <w:r>
        <w:rPr>
          <w:rFonts w:hint="eastAsia" w:hAnsi="宋体" w:cs="宋体"/>
          <w:color w:val="auto"/>
          <w:sz w:val="21"/>
          <w:szCs w:val="21"/>
          <w:highlight w:val="none"/>
        </w:rPr>
        <w:t>项目总监</w:t>
      </w:r>
      <w:r>
        <w:rPr>
          <w:rFonts w:hint="eastAsia" w:hAnsi="宋体" w:cs="宋体"/>
          <w:color w:val="auto"/>
          <w:spacing w:val="-36"/>
          <w:sz w:val="21"/>
          <w:szCs w:val="21"/>
          <w:highlight w:val="none"/>
        </w:rPr>
        <w:t>、</w:t>
      </w:r>
      <w:r>
        <w:rPr>
          <w:rFonts w:hint="eastAsia" w:hAnsi="宋体" w:cs="宋体"/>
          <w:color w:val="auto"/>
          <w:sz w:val="21"/>
          <w:szCs w:val="21"/>
          <w:highlight w:val="none"/>
        </w:rPr>
        <w:t>项目组组长5寸个人彩照及投诉电话等内容，未按要求落实的，将对中标单位处予人民币</w:t>
      </w:r>
      <w:r>
        <w:rPr>
          <w:rFonts w:hint="eastAsia" w:hAnsi="宋体" w:cs="宋体"/>
          <w:b/>
          <w:color w:val="auto"/>
          <w:sz w:val="21"/>
          <w:szCs w:val="21"/>
          <w:highlight w:val="none"/>
          <w:u w:val="single"/>
        </w:rPr>
        <w:t>30,000</w:t>
      </w:r>
      <w:r>
        <w:rPr>
          <w:rFonts w:hint="eastAsia" w:hAnsi="宋体" w:cs="宋体"/>
          <w:color w:val="auto"/>
          <w:sz w:val="21"/>
          <w:szCs w:val="21"/>
          <w:highlight w:val="none"/>
        </w:rPr>
        <w:t>元的违约金。</w:t>
      </w:r>
    </w:p>
    <w:p>
      <w:pPr>
        <w:spacing w:line="360" w:lineRule="auto"/>
        <w:ind w:right="199"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w:t>
      </w:r>
      <w:r>
        <w:rPr>
          <w:rFonts w:hint="eastAsia" w:hAnsi="宋体" w:cs="宋体"/>
          <w:color w:val="auto"/>
          <w:sz w:val="21"/>
          <w:szCs w:val="21"/>
          <w:highlight w:val="none"/>
        </w:rPr>
        <w:t>施工现场办公区应当与施工作业区明显分隔。办公室内应当在醒目处张贴施工许可证</w:t>
      </w:r>
      <w:r>
        <w:rPr>
          <w:rFonts w:hint="eastAsia" w:hAnsi="宋体" w:cs="宋体"/>
          <w:color w:val="auto"/>
          <w:spacing w:val="-5"/>
          <w:sz w:val="21"/>
          <w:szCs w:val="21"/>
          <w:highlight w:val="none"/>
        </w:rPr>
        <w:t>、</w:t>
      </w:r>
      <w:r>
        <w:rPr>
          <w:rFonts w:hint="eastAsia" w:hAnsi="宋体" w:cs="宋体"/>
          <w:color w:val="auto"/>
          <w:sz w:val="21"/>
          <w:szCs w:val="21"/>
          <w:highlight w:val="none"/>
        </w:rPr>
        <w:t>规划许可证等证件的复印件</w:t>
      </w:r>
      <w:r>
        <w:rPr>
          <w:rFonts w:hint="eastAsia" w:hAnsi="宋体" w:cs="宋体"/>
          <w:color w:val="auto"/>
          <w:spacing w:val="-5"/>
          <w:sz w:val="21"/>
          <w:szCs w:val="21"/>
          <w:highlight w:val="none"/>
        </w:rPr>
        <w:t>，</w:t>
      </w:r>
      <w:r>
        <w:rPr>
          <w:rFonts w:hint="eastAsia" w:hAnsi="宋体" w:cs="宋体"/>
          <w:color w:val="auto"/>
          <w:sz w:val="21"/>
          <w:szCs w:val="21"/>
          <w:highlight w:val="none"/>
        </w:rPr>
        <w:t>悬挂质量管理</w:t>
      </w:r>
      <w:r>
        <w:rPr>
          <w:rFonts w:hint="eastAsia" w:hAnsi="宋体" w:cs="宋体"/>
          <w:color w:val="auto"/>
          <w:spacing w:val="-5"/>
          <w:sz w:val="21"/>
          <w:szCs w:val="21"/>
          <w:highlight w:val="none"/>
        </w:rPr>
        <w:t>、</w:t>
      </w:r>
      <w:r>
        <w:rPr>
          <w:rFonts w:hint="eastAsia" w:hAnsi="宋体" w:cs="宋体"/>
          <w:color w:val="auto"/>
          <w:sz w:val="21"/>
          <w:szCs w:val="21"/>
          <w:highlight w:val="none"/>
        </w:rPr>
        <w:t>安全生产</w:t>
      </w:r>
      <w:r>
        <w:rPr>
          <w:rFonts w:hint="eastAsia" w:hAnsi="宋体" w:cs="宋体"/>
          <w:color w:val="auto"/>
          <w:spacing w:val="-5"/>
          <w:sz w:val="21"/>
          <w:szCs w:val="21"/>
          <w:highlight w:val="none"/>
        </w:rPr>
        <w:t>、</w:t>
      </w:r>
      <w:r>
        <w:rPr>
          <w:rFonts w:hint="eastAsia" w:hAnsi="宋体" w:cs="宋体"/>
          <w:color w:val="auto"/>
          <w:spacing w:val="-2"/>
          <w:sz w:val="21"/>
          <w:szCs w:val="21"/>
          <w:highlight w:val="none"/>
        </w:rPr>
        <w:t>文</w:t>
      </w:r>
      <w:r>
        <w:rPr>
          <w:rFonts w:hint="eastAsia" w:hAnsi="宋体" w:cs="宋体"/>
          <w:color w:val="auto"/>
          <w:sz w:val="21"/>
          <w:szCs w:val="21"/>
          <w:highlight w:val="none"/>
        </w:rPr>
        <w:t>明施工制度和组织机构图、岗位职责、人员分工安排、规程、图表及各种记录。</w:t>
      </w:r>
    </w:p>
    <w:p>
      <w:pPr>
        <w:spacing w:line="360" w:lineRule="auto"/>
        <w:ind w:right="-55"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3</w:t>
      </w:r>
      <w:r>
        <w:rPr>
          <w:rFonts w:hint="eastAsia" w:hAnsi="宋体" w:cs="宋体"/>
          <w:color w:val="auto"/>
          <w:sz w:val="21"/>
          <w:szCs w:val="21"/>
          <w:highlight w:val="none"/>
          <w:lang w:eastAsia="zh-CN"/>
        </w:rPr>
        <w:t>）</w:t>
      </w:r>
      <w:r>
        <w:rPr>
          <w:rFonts w:hint="eastAsia" w:hAnsi="宋体" w:cs="宋体"/>
          <w:color w:val="auto"/>
          <w:sz w:val="21"/>
          <w:szCs w:val="21"/>
          <w:highlight w:val="none"/>
        </w:rPr>
        <w:t>在施工现场适当位置竖立黑板报</w:t>
      </w:r>
      <w:r>
        <w:rPr>
          <w:rFonts w:hint="eastAsia" w:hAnsi="宋体" w:cs="宋体"/>
          <w:color w:val="auto"/>
          <w:spacing w:val="-7"/>
          <w:sz w:val="21"/>
          <w:szCs w:val="21"/>
          <w:highlight w:val="none"/>
        </w:rPr>
        <w:t>、</w:t>
      </w:r>
      <w:r>
        <w:rPr>
          <w:rFonts w:hint="eastAsia" w:hAnsi="宋体" w:cs="宋体"/>
          <w:color w:val="auto"/>
          <w:spacing w:val="1"/>
          <w:sz w:val="21"/>
          <w:szCs w:val="21"/>
          <w:highlight w:val="none"/>
        </w:rPr>
        <w:t>阅</w:t>
      </w:r>
      <w:r>
        <w:rPr>
          <w:rFonts w:hint="eastAsia" w:hAnsi="宋体" w:cs="宋体"/>
          <w:color w:val="auto"/>
          <w:sz w:val="21"/>
          <w:szCs w:val="21"/>
          <w:highlight w:val="none"/>
        </w:rPr>
        <w:t>报栏</w:t>
      </w:r>
      <w:r>
        <w:rPr>
          <w:rFonts w:hint="eastAsia" w:hAnsi="宋体" w:cs="宋体"/>
          <w:color w:val="auto"/>
          <w:spacing w:val="-7"/>
          <w:sz w:val="21"/>
          <w:szCs w:val="21"/>
          <w:highlight w:val="none"/>
        </w:rPr>
        <w:t>、</w:t>
      </w:r>
      <w:r>
        <w:rPr>
          <w:rFonts w:hint="eastAsia" w:hAnsi="宋体" w:cs="宋体"/>
          <w:color w:val="auto"/>
          <w:sz w:val="21"/>
          <w:szCs w:val="21"/>
          <w:highlight w:val="none"/>
        </w:rPr>
        <w:t>宣传栏</w:t>
      </w:r>
      <w:r>
        <w:rPr>
          <w:rFonts w:hint="eastAsia" w:hAnsi="宋体" w:cs="宋体"/>
          <w:color w:val="auto"/>
          <w:spacing w:val="-7"/>
          <w:sz w:val="21"/>
          <w:szCs w:val="21"/>
          <w:highlight w:val="none"/>
        </w:rPr>
        <w:t>，</w:t>
      </w:r>
      <w:r>
        <w:rPr>
          <w:rFonts w:hint="eastAsia" w:hAnsi="宋体" w:cs="宋体"/>
          <w:color w:val="auto"/>
          <w:sz w:val="21"/>
          <w:szCs w:val="21"/>
          <w:highlight w:val="none"/>
        </w:rPr>
        <w:t>三个栏目高低一致</w:t>
      </w:r>
      <w:r>
        <w:rPr>
          <w:rFonts w:hint="eastAsia" w:hAnsi="宋体" w:cs="宋体"/>
          <w:color w:val="auto"/>
          <w:spacing w:val="-7"/>
          <w:sz w:val="21"/>
          <w:szCs w:val="21"/>
          <w:highlight w:val="none"/>
        </w:rPr>
        <w:t>，</w:t>
      </w:r>
      <w:r>
        <w:rPr>
          <w:rFonts w:hint="eastAsia" w:hAnsi="宋体" w:cs="宋体"/>
          <w:color w:val="auto"/>
          <w:sz w:val="21"/>
          <w:szCs w:val="21"/>
          <w:highlight w:val="none"/>
        </w:rPr>
        <w:t>水平并排。在施工现场适当位置设重大危险源公示牌。</w:t>
      </w:r>
    </w:p>
    <w:p>
      <w:pPr>
        <w:spacing w:line="360" w:lineRule="auto"/>
        <w:ind w:left="65" w:leftChars="27" w:right="-55" w:firstLine="392" w:firstLineChars="200"/>
        <w:rPr>
          <w:rFonts w:hAnsi="宋体" w:cs="宋体"/>
          <w:color w:val="auto"/>
          <w:sz w:val="21"/>
          <w:szCs w:val="21"/>
          <w:highlight w:val="none"/>
        </w:rPr>
      </w:pPr>
      <w:r>
        <w:rPr>
          <w:rFonts w:hint="eastAsia" w:hAnsi="宋体" w:cs="宋体"/>
          <w:color w:val="auto"/>
          <w:spacing w:val="-7"/>
          <w:sz w:val="21"/>
          <w:szCs w:val="21"/>
          <w:highlight w:val="none"/>
          <w:lang w:val="en-US" w:eastAsia="zh-CN"/>
        </w:rPr>
        <w:t>（4）</w:t>
      </w:r>
      <w:r>
        <w:rPr>
          <w:rFonts w:hint="eastAsia" w:hAnsi="宋体" w:cs="宋体"/>
          <w:color w:val="auto"/>
          <w:sz w:val="21"/>
          <w:szCs w:val="21"/>
          <w:highlight w:val="none"/>
        </w:rPr>
        <w:t>在施工现场适当位置悬挂质量管理、安全生产和文明施工标语，危险区域应当设置危险警示标牌和警示灯。标语和标牌要规范、整齐、美观。</w:t>
      </w:r>
    </w:p>
    <w:p>
      <w:pPr>
        <w:spacing w:line="360" w:lineRule="auto"/>
        <w:ind w:right="-40"/>
        <w:jc w:val="center"/>
        <w:rPr>
          <w:rFonts w:hAnsi="宋体" w:cs="宋体"/>
          <w:b/>
          <w:color w:val="auto"/>
          <w:spacing w:val="2"/>
          <w:w w:val="99"/>
          <w:position w:val="-3"/>
          <w:sz w:val="21"/>
          <w:szCs w:val="21"/>
          <w:highlight w:val="none"/>
        </w:rPr>
      </w:pPr>
      <w:r>
        <w:rPr>
          <w:rFonts w:hint="eastAsia" w:hAnsi="宋体" w:cs="宋体"/>
          <w:b/>
          <w:color w:val="auto"/>
          <w:spacing w:val="2"/>
          <w:w w:val="99"/>
          <w:position w:val="-3"/>
          <w:sz w:val="21"/>
          <w:szCs w:val="21"/>
          <w:highlight w:val="none"/>
          <w:lang w:val="en-US" w:eastAsia="zh-CN"/>
        </w:rPr>
        <w:t>12.4</w:t>
      </w:r>
      <w:r>
        <w:rPr>
          <w:rFonts w:hint="eastAsia" w:hAnsi="宋体" w:cs="宋体"/>
          <w:b/>
          <w:color w:val="auto"/>
          <w:spacing w:val="2"/>
          <w:w w:val="99"/>
          <w:position w:val="-3"/>
          <w:sz w:val="21"/>
          <w:szCs w:val="21"/>
          <w:highlight w:val="none"/>
        </w:rPr>
        <w:t xml:space="preserve">  施工场地硬化、排水</w:t>
      </w:r>
    </w:p>
    <w:p>
      <w:pPr>
        <w:spacing w:line="360" w:lineRule="auto"/>
        <w:ind w:right="221"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eastAsia="zh-CN"/>
        </w:rPr>
        <w:t>）</w:t>
      </w:r>
      <w:r>
        <w:rPr>
          <w:rFonts w:hint="eastAsia" w:hAnsi="宋体" w:cs="宋体"/>
          <w:color w:val="auto"/>
          <w:sz w:val="21"/>
          <w:szCs w:val="21"/>
          <w:highlight w:val="none"/>
        </w:rPr>
        <w:t>施工现场设置连续、通畅的排水设施，场地内不得大面积积水。泥浆</w:t>
      </w:r>
      <w:r>
        <w:rPr>
          <w:rFonts w:hint="eastAsia" w:hAnsi="宋体" w:cs="宋体"/>
          <w:color w:val="auto"/>
          <w:spacing w:val="-12"/>
          <w:sz w:val="21"/>
          <w:szCs w:val="21"/>
          <w:highlight w:val="none"/>
        </w:rPr>
        <w:t>、</w:t>
      </w:r>
      <w:r>
        <w:rPr>
          <w:rFonts w:hint="eastAsia" w:hAnsi="宋体" w:cs="宋体"/>
          <w:color w:val="auto"/>
          <w:sz w:val="21"/>
          <w:szCs w:val="21"/>
          <w:highlight w:val="none"/>
        </w:rPr>
        <w:t>污水必须经必要的处理后方可排出，未经处理禁止排入市政工程排水系统。</w:t>
      </w:r>
    </w:p>
    <w:p>
      <w:pPr>
        <w:spacing w:line="360" w:lineRule="auto"/>
        <w:ind w:right="218"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w:t>
      </w:r>
      <w:r>
        <w:rPr>
          <w:rFonts w:hint="eastAsia" w:hAnsi="宋体" w:cs="宋体"/>
          <w:color w:val="auto"/>
          <w:sz w:val="21"/>
          <w:szCs w:val="21"/>
          <w:highlight w:val="none"/>
        </w:rPr>
        <w:t>生活区排水：雨水由</w:t>
      </w:r>
      <w:r>
        <w:rPr>
          <w:rFonts w:hint="eastAsia" w:hAnsi="宋体" w:cs="宋体"/>
          <w:color w:val="auto"/>
          <w:spacing w:val="1"/>
          <w:sz w:val="21"/>
          <w:szCs w:val="21"/>
          <w:highlight w:val="none"/>
        </w:rPr>
        <w:t>地</w:t>
      </w:r>
      <w:r>
        <w:rPr>
          <w:rFonts w:hint="eastAsia" w:hAnsi="宋体" w:cs="宋体"/>
          <w:color w:val="auto"/>
          <w:sz w:val="21"/>
          <w:szCs w:val="21"/>
          <w:highlight w:val="none"/>
        </w:rPr>
        <w:t>面找坡经排水</w:t>
      </w:r>
      <w:r>
        <w:rPr>
          <w:rFonts w:hint="eastAsia" w:hAnsi="宋体" w:cs="宋体"/>
          <w:color w:val="auto"/>
          <w:spacing w:val="-2"/>
          <w:sz w:val="21"/>
          <w:szCs w:val="21"/>
          <w:highlight w:val="none"/>
        </w:rPr>
        <w:t>沟</w:t>
      </w:r>
      <w:r>
        <w:rPr>
          <w:rFonts w:hint="eastAsia" w:hAnsi="宋体" w:cs="宋体"/>
          <w:color w:val="auto"/>
          <w:sz w:val="21"/>
          <w:szCs w:val="21"/>
          <w:highlight w:val="none"/>
        </w:rPr>
        <w:t>沉淀后排出。 生活污水</w:t>
      </w:r>
      <w:r>
        <w:rPr>
          <w:rFonts w:hint="eastAsia" w:hAnsi="宋体" w:cs="宋体"/>
          <w:color w:val="auto"/>
          <w:spacing w:val="-26"/>
          <w:sz w:val="21"/>
          <w:szCs w:val="21"/>
          <w:highlight w:val="none"/>
        </w:rPr>
        <w:t>：</w:t>
      </w:r>
      <w:r>
        <w:rPr>
          <w:rFonts w:hint="eastAsia" w:hAnsi="宋体" w:cs="宋体"/>
          <w:color w:val="auto"/>
          <w:sz w:val="21"/>
          <w:szCs w:val="21"/>
          <w:highlight w:val="none"/>
        </w:rPr>
        <w:t>设置化粪池处理</w:t>
      </w:r>
      <w:r>
        <w:rPr>
          <w:rFonts w:hint="eastAsia" w:hAnsi="宋体" w:cs="宋体"/>
          <w:color w:val="auto"/>
          <w:spacing w:val="-26"/>
          <w:sz w:val="21"/>
          <w:szCs w:val="21"/>
          <w:highlight w:val="none"/>
        </w:rPr>
        <w:t>，</w:t>
      </w:r>
      <w:r>
        <w:rPr>
          <w:rFonts w:hint="eastAsia" w:hAnsi="宋体" w:cs="宋体"/>
          <w:color w:val="auto"/>
          <w:sz w:val="21"/>
          <w:szCs w:val="21"/>
          <w:highlight w:val="none"/>
        </w:rPr>
        <w:t>经处理后方可排出</w:t>
      </w:r>
      <w:r>
        <w:rPr>
          <w:rFonts w:hint="eastAsia" w:hAnsi="宋体" w:cs="宋体"/>
          <w:color w:val="auto"/>
          <w:spacing w:val="-26"/>
          <w:sz w:val="21"/>
          <w:szCs w:val="21"/>
          <w:highlight w:val="none"/>
        </w:rPr>
        <w:t>。</w:t>
      </w:r>
      <w:r>
        <w:rPr>
          <w:rFonts w:hint="eastAsia" w:hAnsi="宋体" w:cs="宋体"/>
          <w:color w:val="auto"/>
          <w:sz w:val="21"/>
          <w:szCs w:val="21"/>
          <w:highlight w:val="none"/>
        </w:rPr>
        <w:t>不得直接对河道和大型雨塘排放污水。</w:t>
      </w:r>
    </w:p>
    <w:p>
      <w:pPr>
        <w:spacing w:line="360" w:lineRule="auto"/>
        <w:ind w:right="-40"/>
        <w:jc w:val="center"/>
        <w:rPr>
          <w:rFonts w:hAnsi="宋体" w:cs="宋体"/>
          <w:b/>
          <w:color w:val="auto"/>
          <w:spacing w:val="2"/>
          <w:w w:val="99"/>
          <w:position w:val="-3"/>
          <w:sz w:val="21"/>
          <w:szCs w:val="21"/>
          <w:highlight w:val="none"/>
        </w:rPr>
      </w:pPr>
      <w:r>
        <w:rPr>
          <w:rFonts w:hint="eastAsia" w:hAnsi="宋体" w:cs="宋体"/>
          <w:b/>
          <w:color w:val="auto"/>
          <w:spacing w:val="2"/>
          <w:w w:val="99"/>
          <w:position w:val="-3"/>
          <w:sz w:val="21"/>
          <w:szCs w:val="21"/>
          <w:highlight w:val="none"/>
          <w:lang w:val="en-US" w:eastAsia="zh-CN"/>
        </w:rPr>
        <w:t>12.5</w:t>
      </w:r>
      <w:r>
        <w:rPr>
          <w:rFonts w:hint="eastAsia" w:hAnsi="宋体" w:cs="宋体"/>
          <w:b/>
          <w:color w:val="auto"/>
          <w:spacing w:val="2"/>
          <w:w w:val="99"/>
          <w:position w:val="-3"/>
          <w:sz w:val="21"/>
          <w:szCs w:val="21"/>
          <w:highlight w:val="none"/>
        </w:rPr>
        <w:t xml:space="preserve">  临时设施、半成品和原材料的堆放及施工设施</w:t>
      </w:r>
    </w:p>
    <w:p>
      <w:pPr>
        <w:spacing w:line="360" w:lineRule="auto"/>
        <w:ind w:right="221"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eastAsia="zh-CN"/>
        </w:rPr>
        <w:t>）</w:t>
      </w:r>
      <w:r>
        <w:rPr>
          <w:rFonts w:hint="eastAsia" w:hAnsi="宋体" w:cs="宋体"/>
          <w:color w:val="auto"/>
          <w:sz w:val="21"/>
          <w:szCs w:val="21"/>
          <w:highlight w:val="none"/>
        </w:rPr>
        <w:t>施工现场办公区、生活区与作业区分开设置，保持安全距离。施工现场设置的办公室、宿舍、厨房、厕所、浴室等临时设施应当采用混凝土硬底、砖砌墙体、轻钢屋架、压型钢板盖顶的临时房屋和活动板房。单层临时设施的檐口高度不宜低于 2.8 米，并符合消防安全要求。禁止使用竹料、木材、油毡、石棉瓦等易燃和对人体有害的材料搭建临时设施。临时设施应避开易发生危险的山坡和低洼地等地段。</w:t>
      </w:r>
    </w:p>
    <w:p>
      <w:pPr>
        <w:spacing w:line="360" w:lineRule="auto"/>
        <w:ind w:right="-23" w:firstLine="411" w:firstLineChars="196"/>
        <w:rPr>
          <w:rFonts w:hAnsi="宋体" w:cs="宋体"/>
          <w:color w:val="auto"/>
          <w:sz w:val="21"/>
          <w:szCs w:val="21"/>
          <w:highlight w:val="none"/>
        </w:rPr>
      </w:pPr>
      <w:r>
        <w:rPr>
          <w:rFonts w:hint="eastAsia" w:hAnsi="宋体" w:cs="宋体"/>
          <w:bCs/>
          <w:color w:val="auto"/>
          <w:position w:val="-2"/>
          <w:sz w:val="21"/>
          <w:szCs w:val="21"/>
          <w:highlight w:val="none"/>
          <w:lang w:eastAsia="zh-CN"/>
        </w:rPr>
        <w:t>（</w:t>
      </w:r>
      <w:r>
        <w:rPr>
          <w:rFonts w:hint="eastAsia" w:hAnsi="宋体" w:cs="宋体"/>
          <w:bCs/>
          <w:color w:val="auto"/>
          <w:position w:val="-2"/>
          <w:sz w:val="21"/>
          <w:szCs w:val="21"/>
          <w:highlight w:val="none"/>
          <w:lang w:val="en-US" w:eastAsia="zh-CN"/>
        </w:rPr>
        <w:t>2</w:t>
      </w:r>
      <w:r>
        <w:rPr>
          <w:rFonts w:hint="eastAsia" w:hAnsi="宋体" w:cs="宋体"/>
          <w:bCs/>
          <w:color w:val="auto"/>
          <w:position w:val="-2"/>
          <w:sz w:val="21"/>
          <w:szCs w:val="21"/>
          <w:highlight w:val="none"/>
          <w:lang w:eastAsia="zh-CN"/>
        </w:rPr>
        <w:t>）</w:t>
      </w:r>
      <w:r>
        <w:rPr>
          <w:rFonts w:hint="eastAsia" w:hAnsi="宋体" w:cs="宋体"/>
          <w:color w:val="auto"/>
          <w:spacing w:val="2"/>
          <w:position w:val="-2"/>
          <w:sz w:val="21"/>
          <w:szCs w:val="21"/>
          <w:highlight w:val="none"/>
        </w:rPr>
        <w:t>如现场有集中住宿的</w:t>
      </w:r>
      <w:r>
        <w:rPr>
          <w:rFonts w:hint="eastAsia" w:hAnsi="宋体" w:cs="宋体"/>
          <w:color w:val="auto"/>
          <w:position w:val="-2"/>
          <w:sz w:val="21"/>
          <w:szCs w:val="21"/>
          <w:highlight w:val="none"/>
        </w:rPr>
        <w:t>工</w:t>
      </w:r>
      <w:r>
        <w:rPr>
          <w:rFonts w:hint="eastAsia" w:hAnsi="宋体" w:cs="宋体"/>
          <w:color w:val="auto"/>
          <w:spacing w:val="2"/>
          <w:position w:val="-2"/>
          <w:sz w:val="21"/>
          <w:szCs w:val="21"/>
          <w:highlight w:val="none"/>
        </w:rPr>
        <w:t>人</w:t>
      </w:r>
      <w:r>
        <w:rPr>
          <w:rFonts w:hint="eastAsia" w:hAnsi="宋体" w:cs="宋体"/>
          <w:color w:val="auto"/>
          <w:position w:val="-2"/>
          <w:sz w:val="21"/>
          <w:szCs w:val="21"/>
          <w:highlight w:val="none"/>
        </w:rPr>
        <w:t>宿舍</w:t>
      </w:r>
    </w:p>
    <w:p>
      <w:pPr>
        <w:spacing w:line="360" w:lineRule="auto"/>
        <w:ind w:right="101"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1）</w:t>
      </w:r>
      <w:r>
        <w:rPr>
          <w:rFonts w:hint="eastAsia" w:hAnsi="宋体" w:cs="宋体"/>
          <w:color w:val="auto"/>
          <w:sz w:val="21"/>
          <w:szCs w:val="21"/>
          <w:highlight w:val="none"/>
        </w:rPr>
        <w:t>宿舍及周围环境要求卫生、安</w:t>
      </w:r>
      <w:r>
        <w:rPr>
          <w:rFonts w:hint="eastAsia" w:hAnsi="宋体" w:cs="宋体"/>
          <w:color w:val="auto"/>
          <w:spacing w:val="1"/>
          <w:sz w:val="21"/>
          <w:szCs w:val="21"/>
          <w:highlight w:val="none"/>
        </w:rPr>
        <w:t>全</w:t>
      </w:r>
      <w:r>
        <w:rPr>
          <w:rFonts w:hint="eastAsia" w:hAnsi="宋体" w:cs="宋体"/>
          <w:color w:val="auto"/>
          <w:sz w:val="21"/>
          <w:szCs w:val="21"/>
          <w:highlight w:val="none"/>
        </w:rPr>
        <w:t>。宿舍门宽度不小于1.0米，高度不小于2.0米，并向外开启；窗应设置合理，窗口宽度不小于0.9米，高度不小于1.2米。每个房间居住人数不应超过12人</w:t>
      </w:r>
      <w:r>
        <w:rPr>
          <w:rFonts w:hint="eastAsia" w:hAnsi="宋体" w:cs="宋体"/>
          <w:color w:val="auto"/>
          <w:spacing w:val="-17"/>
          <w:sz w:val="21"/>
          <w:szCs w:val="21"/>
          <w:highlight w:val="none"/>
        </w:rPr>
        <w:t>，</w:t>
      </w:r>
      <w:r>
        <w:rPr>
          <w:rFonts w:hint="eastAsia" w:hAnsi="宋体" w:cs="宋体"/>
          <w:color w:val="auto"/>
          <w:sz w:val="21"/>
          <w:szCs w:val="21"/>
          <w:highlight w:val="none"/>
        </w:rPr>
        <w:t>人均占有宿舍面积不小于2平方米</w:t>
      </w:r>
      <w:r>
        <w:rPr>
          <w:rFonts w:hint="eastAsia" w:hAnsi="宋体" w:cs="宋体"/>
          <w:color w:val="auto"/>
          <w:spacing w:val="-17"/>
          <w:sz w:val="21"/>
          <w:szCs w:val="21"/>
          <w:highlight w:val="none"/>
        </w:rPr>
        <w:t>，</w:t>
      </w:r>
      <w:r>
        <w:rPr>
          <w:rFonts w:hint="eastAsia" w:hAnsi="宋体" w:cs="宋体"/>
          <w:color w:val="auto"/>
          <w:sz w:val="21"/>
          <w:szCs w:val="21"/>
          <w:highlight w:val="none"/>
        </w:rPr>
        <w:t>通道宽不小于1.2米</w:t>
      </w:r>
      <w:r>
        <w:rPr>
          <w:rFonts w:hint="eastAsia" w:hAnsi="宋体" w:cs="宋体"/>
          <w:color w:val="auto"/>
          <w:spacing w:val="-24"/>
          <w:sz w:val="21"/>
          <w:szCs w:val="21"/>
          <w:highlight w:val="none"/>
        </w:rPr>
        <w:t>，</w:t>
      </w:r>
      <w:r>
        <w:rPr>
          <w:rFonts w:hint="eastAsia" w:hAnsi="宋体" w:cs="宋体"/>
          <w:color w:val="auto"/>
          <w:sz w:val="21"/>
          <w:szCs w:val="21"/>
          <w:highlight w:val="none"/>
        </w:rPr>
        <w:t>并保持空气流通</w:t>
      </w:r>
      <w:r>
        <w:rPr>
          <w:rFonts w:hint="eastAsia" w:hAnsi="宋体" w:cs="宋体"/>
          <w:color w:val="auto"/>
          <w:spacing w:val="-24"/>
          <w:sz w:val="21"/>
          <w:szCs w:val="21"/>
          <w:highlight w:val="none"/>
        </w:rPr>
        <w:t>。</w:t>
      </w:r>
      <w:r>
        <w:rPr>
          <w:rFonts w:hint="eastAsia" w:hAnsi="宋体" w:cs="宋体"/>
          <w:color w:val="auto"/>
          <w:sz w:val="21"/>
          <w:szCs w:val="21"/>
          <w:highlight w:val="none"/>
        </w:rPr>
        <w:t>当使用双层铁架床</w:t>
      </w:r>
      <w:r>
        <w:rPr>
          <w:rFonts w:hint="eastAsia" w:hAnsi="宋体" w:cs="宋体"/>
          <w:color w:val="auto"/>
          <w:spacing w:val="-24"/>
          <w:sz w:val="21"/>
          <w:szCs w:val="21"/>
          <w:highlight w:val="none"/>
        </w:rPr>
        <w:t>，</w:t>
      </w:r>
      <w:r>
        <w:rPr>
          <w:rFonts w:hint="eastAsia" w:hAnsi="宋体" w:cs="宋体"/>
          <w:color w:val="auto"/>
          <w:sz w:val="21"/>
          <w:szCs w:val="21"/>
          <w:highlight w:val="none"/>
        </w:rPr>
        <w:t>做到单人单铺</w:t>
      </w:r>
      <w:r>
        <w:rPr>
          <w:rFonts w:hint="eastAsia" w:hAnsi="宋体" w:cs="宋体"/>
          <w:color w:val="auto"/>
          <w:spacing w:val="-24"/>
          <w:sz w:val="21"/>
          <w:szCs w:val="21"/>
          <w:highlight w:val="none"/>
        </w:rPr>
        <w:t>，</w:t>
      </w:r>
      <w:r>
        <w:rPr>
          <w:rFonts w:hint="eastAsia" w:hAnsi="宋体" w:cs="宋体"/>
          <w:color w:val="auto"/>
          <w:sz w:val="21"/>
          <w:szCs w:val="21"/>
          <w:highlight w:val="none"/>
        </w:rPr>
        <w:t>严禁设置通铺</w:t>
      </w:r>
      <w:r>
        <w:rPr>
          <w:rFonts w:hint="eastAsia" w:hAnsi="宋体" w:cs="宋体"/>
          <w:color w:val="auto"/>
          <w:spacing w:val="-12"/>
          <w:sz w:val="21"/>
          <w:szCs w:val="21"/>
          <w:highlight w:val="none"/>
        </w:rPr>
        <w:t>。</w:t>
      </w:r>
      <w:r>
        <w:rPr>
          <w:rFonts w:hint="eastAsia" w:hAnsi="宋体" w:cs="宋体"/>
          <w:color w:val="auto"/>
          <w:sz w:val="21"/>
          <w:szCs w:val="21"/>
          <w:highlight w:val="none"/>
        </w:rPr>
        <w:t>宿舍用电应当设置独立的漏电</w:t>
      </w:r>
      <w:r>
        <w:rPr>
          <w:rFonts w:hint="eastAsia" w:hAnsi="宋体" w:cs="宋体"/>
          <w:color w:val="auto"/>
          <w:spacing w:val="-12"/>
          <w:sz w:val="21"/>
          <w:szCs w:val="21"/>
          <w:highlight w:val="none"/>
        </w:rPr>
        <w:t>、</w:t>
      </w:r>
      <w:r>
        <w:rPr>
          <w:rFonts w:hint="eastAsia" w:hAnsi="宋体" w:cs="宋体"/>
          <w:color w:val="auto"/>
          <w:sz w:val="21"/>
          <w:szCs w:val="21"/>
          <w:highlight w:val="none"/>
        </w:rPr>
        <w:t>短路保护器和安全插座</w:t>
      </w:r>
      <w:r>
        <w:rPr>
          <w:rFonts w:hint="eastAsia" w:hAnsi="宋体" w:cs="宋体"/>
          <w:color w:val="auto"/>
          <w:spacing w:val="-12"/>
          <w:sz w:val="21"/>
          <w:szCs w:val="21"/>
          <w:highlight w:val="none"/>
        </w:rPr>
        <w:t>，</w:t>
      </w:r>
      <w:r>
        <w:rPr>
          <w:rFonts w:hint="eastAsia" w:hAnsi="宋体" w:cs="宋体"/>
          <w:color w:val="auto"/>
          <w:sz w:val="21"/>
          <w:szCs w:val="21"/>
          <w:highlight w:val="none"/>
        </w:rPr>
        <w:t>电线必须套管，禁止电线乱拉乱接</w:t>
      </w:r>
      <w:r>
        <w:rPr>
          <w:rFonts w:hint="eastAsia" w:hAnsi="宋体" w:cs="宋体"/>
          <w:color w:val="auto"/>
          <w:spacing w:val="-12"/>
          <w:sz w:val="21"/>
          <w:szCs w:val="21"/>
          <w:highlight w:val="none"/>
        </w:rPr>
        <w:t>。</w:t>
      </w:r>
      <w:r>
        <w:rPr>
          <w:rFonts w:hint="eastAsia" w:hAnsi="宋体" w:cs="宋体"/>
          <w:color w:val="auto"/>
          <w:sz w:val="21"/>
          <w:szCs w:val="21"/>
          <w:highlight w:val="none"/>
        </w:rPr>
        <w:t>宿舍要有管理制度</w:t>
      </w:r>
      <w:r>
        <w:rPr>
          <w:rFonts w:hint="eastAsia" w:hAnsi="宋体" w:cs="宋体"/>
          <w:color w:val="auto"/>
          <w:spacing w:val="-12"/>
          <w:sz w:val="21"/>
          <w:szCs w:val="21"/>
          <w:highlight w:val="none"/>
        </w:rPr>
        <w:t>，</w:t>
      </w:r>
      <w:r>
        <w:rPr>
          <w:rFonts w:hint="eastAsia" w:hAnsi="宋体" w:cs="宋体"/>
          <w:color w:val="auto"/>
          <w:sz w:val="21"/>
          <w:szCs w:val="21"/>
          <w:highlight w:val="none"/>
        </w:rPr>
        <w:t>并落实治安</w:t>
      </w:r>
      <w:r>
        <w:rPr>
          <w:rFonts w:hint="eastAsia" w:hAnsi="宋体" w:cs="宋体"/>
          <w:color w:val="auto"/>
          <w:spacing w:val="-12"/>
          <w:sz w:val="21"/>
          <w:szCs w:val="21"/>
          <w:highlight w:val="none"/>
        </w:rPr>
        <w:t>、</w:t>
      </w:r>
      <w:r>
        <w:rPr>
          <w:rFonts w:hint="eastAsia" w:hAnsi="宋体" w:cs="宋体"/>
          <w:color w:val="auto"/>
          <w:sz w:val="21"/>
          <w:szCs w:val="21"/>
          <w:highlight w:val="none"/>
        </w:rPr>
        <w:t>防火和卫生管理责任人。</w:t>
      </w:r>
    </w:p>
    <w:p>
      <w:pPr>
        <w:spacing w:line="360" w:lineRule="auto"/>
        <w:ind w:right="-132"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2）</w:t>
      </w:r>
      <w:r>
        <w:rPr>
          <w:rFonts w:hint="eastAsia" w:hAnsi="宋体" w:cs="宋体"/>
          <w:color w:val="auto"/>
          <w:sz w:val="21"/>
          <w:szCs w:val="21"/>
          <w:highlight w:val="none"/>
        </w:rPr>
        <w:t>应设置统一的集体厨房</w:t>
      </w:r>
      <w:r>
        <w:rPr>
          <w:rFonts w:hint="eastAsia" w:hAnsi="宋体" w:cs="宋体"/>
          <w:color w:val="auto"/>
          <w:spacing w:val="-12"/>
          <w:sz w:val="21"/>
          <w:szCs w:val="21"/>
          <w:highlight w:val="none"/>
        </w:rPr>
        <w:t>，</w:t>
      </w:r>
      <w:r>
        <w:rPr>
          <w:rFonts w:hint="eastAsia" w:hAnsi="宋体" w:cs="宋体"/>
          <w:color w:val="auto"/>
          <w:sz w:val="21"/>
          <w:szCs w:val="21"/>
          <w:highlight w:val="none"/>
        </w:rPr>
        <w:t>厨房距离作业场所和厕所</w:t>
      </w:r>
      <w:r>
        <w:rPr>
          <w:rFonts w:hint="eastAsia" w:hAnsi="宋体" w:cs="宋体"/>
          <w:color w:val="auto"/>
          <w:spacing w:val="-12"/>
          <w:sz w:val="21"/>
          <w:szCs w:val="21"/>
          <w:highlight w:val="none"/>
        </w:rPr>
        <w:t>、</w:t>
      </w:r>
      <w:r>
        <w:rPr>
          <w:rFonts w:hint="eastAsia" w:hAnsi="宋体" w:cs="宋体"/>
          <w:color w:val="auto"/>
          <w:sz w:val="21"/>
          <w:szCs w:val="21"/>
          <w:highlight w:val="none"/>
        </w:rPr>
        <w:t>污水沟</w:t>
      </w:r>
      <w:r>
        <w:rPr>
          <w:rFonts w:hint="eastAsia" w:hAnsi="宋体" w:cs="宋体"/>
          <w:color w:val="auto"/>
          <w:spacing w:val="-12"/>
          <w:sz w:val="21"/>
          <w:szCs w:val="21"/>
          <w:highlight w:val="none"/>
        </w:rPr>
        <w:t>、</w:t>
      </w:r>
      <w:r>
        <w:rPr>
          <w:rFonts w:hint="eastAsia" w:hAnsi="宋体" w:cs="宋体"/>
          <w:color w:val="auto"/>
          <w:sz w:val="21"/>
          <w:szCs w:val="21"/>
          <w:highlight w:val="none"/>
        </w:rPr>
        <w:t>垃圾站等污染源要有20米以上</w:t>
      </w:r>
      <w:r>
        <w:rPr>
          <w:rFonts w:hint="eastAsia" w:hAnsi="宋体" w:cs="宋体"/>
          <w:color w:val="auto"/>
          <w:spacing w:val="-10"/>
          <w:sz w:val="21"/>
          <w:szCs w:val="21"/>
          <w:highlight w:val="none"/>
        </w:rPr>
        <w:t>，</w:t>
      </w:r>
      <w:r>
        <w:rPr>
          <w:rFonts w:hint="eastAsia" w:hAnsi="宋体" w:cs="宋体"/>
          <w:color w:val="auto"/>
          <w:sz w:val="21"/>
          <w:szCs w:val="21"/>
          <w:highlight w:val="none"/>
        </w:rPr>
        <w:t>厨房内不得存放有毒有害物品</w:t>
      </w:r>
      <w:r>
        <w:rPr>
          <w:rFonts w:hint="eastAsia" w:hAnsi="宋体" w:cs="宋体"/>
          <w:color w:val="auto"/>
          <w:spacing w:val="-10"/>
          <w:sz w:val="21"/>
          <w:szCs w:val="21"/>
          <w:highlight w:val="none"/>
        </w:rPr>
        <w:t>。</w:t>
      </w:r>
      <w:r>
        <w:rPr>
          <w:rFonts w:hint="eastAsia" w:hAnsi="宋体" w:cs="宋体"/>
          <w:color w:val="auto"/>
          <w:sz w:val="21"/>
          <w:szCs w:val="21"/>
          <w:highlight w:val="none"/>
        </w:rPr>
        <w:t>厨房要求通风</w:t>
      </w:r>
      <w:r>
        <w:rPr>
          <w:rFonts w:hint="eastAsia" w:hAnsi="宋体" w:cs="宋体"/>
          <w:color w:val="auto"/>
          <w:spacing w:val="-10"/>
          <w:sz w:val="21"/>
          <w:szCs w:val="21"/>
          <w:highlight w:val="none"/>
        </w:rPr>
        <w:t>、</w:t>
      </w:r>
      <w:r>
        <w:rPr>
          <w:rFonts w:hint="eastAsia" w:hAnsi="宋体" w:cs="宋体"/>
          <w:color w:val="auto"/>
          <w:spacing w:val="2"/>
          <w:sz w:val="21"/>
          <w:szCs w:val="21"/>
          <w:highlight w:val="none"/>
        </w:rPr>
        <w:t>卫</w:t>
      </w:r>
      <w:r>
        <w:rPr>
          <w:rFonts w:hint="eastAsia" w:hAnsi="宋体" w:cs="宋体"/>
          <w:color w:val="auto"/>
          <w:sz w:val="21"/>
          <w:szCs w:val="21"/>
          <w:highlight w:val="none"/>
        </w:rPr>
        <w:t>生</w:t>
      </w:r>
      <w:r>
        <w:rPr>
          <w:rFonts w:hint="eastAsia" w:hAnsi="宋体" w:cs="宋体"/>
          <w:color w:val="auto"/>
          <w:spacing w:val="-10"/>
          <w:sz w:val="21"/>
          <w:szCs w:val="21"/>
          <w:highlight w:val="none"/>
        </w:rPr>
        <w:t>，</w:t>
      </w:r>
      <w:r>
        <w:rPr>
          <w:rFonts w:hint="eastAsia" w:hAnsi="宋体" w:cs="宋体"/>
          <w:color w:val="auto"/>
          <w:sz w:val="21"/>
          <w:szCs w:val="21"/>
          <w:highlight w:val="none"/>
        </w:rPr>
        <w:t>地面排</w:t>
      </w:r>
      <w:r>
        <w:rPr>
          <w:rFonts w:hint="eastAsia" w:hAnsi="宋体" w:cs="宋体"/>
          <w:color w:val="auto"/>
          <w:position w:val="-2"/>
          <w:sz w:val="21"/>
          <w:szCs w:val="21"/>
          <w:highlight w:val="none"/>
        </w:rPr>
        <w:t>水良好。内墙面铺贴高度2米的白瓷片，其余抹平刷白。厨房内加工、灶台、</w:t>
      </w:r>
      <w:r>
        <w:rPr>
          <w:rFonts w:hint="eastAsia" w:hAnsi="宋体" w:cs="宋体"/>
          <w:color w:val="auto"/>
          <w:sz w:val="21"/>
          <w:szCs w:val="21"/>
          <w:highlight w:val="none"/>
        </w:rPr>
        <w:t>售饭、食物储藏等设施应适当分隔，并应铺贴白瓷片，门窗设置窗纱。</w:t>
      </w:r>
    </w:p>
    <w:p>
      <w:pPr>
        <w:spacing w:line="360" w:lineRule="auto"/>
        <w:ind w:right="-132"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3）</w:t>
      </w:r>
      <w:r>
        <w:rPr>
          <w:rFonts w:hint="eastAsia" w:hAnsi="宋体" w:cs="宋体"/>
          <w:color w:val="auto"/>
          <w:sz w:val="21"/>
          <w:szCs w:val="21"/>
          <w:highlight w:val="none"/>
        </w:rPr>
        <w:t>厕所应设置洗手盆、蹲便器和冲洗装置，蹲位数量与使用人员比例不低于1：25，蹲位之间设置隔墙，隔墙高度不低于1.2米，厕所内墙面应当铺贴高度1.2米的白瓷片，地面贴防滑砖。并设置至少2个自动冲洗水箱，派专人定期清扫。必须设置加盖化粪池，禁止将粪便直接排入下水道和河道。浴室内墙面应当铺 贴高度1.5米的白瓷片，淋浴龙头数量与使用人员比例不低于1：15。</w:t>
      </w:r>
    </w:p>
    <w:p>
      <w:pPr>
        <w:spacing w:line="360" w:lineRule="auto"/>
        <w:ind w:right="-20" w:firstLine="420" w:firstLineChars="200"/>
        <w:rPr>
          <w:rFonts w:hAnsi="宋体" w:cs="宋体"/>
          <w:color w:val="auto"/>
          <w:position w:val="-2"/>
          <w:sz w:val="21"/>
          <w:szCs w:val="21"/>
          <w:highlight w:val="none"/>
        </w:rPr>
      </w:pPr>
      <w:r>
        <w:rPr>
          <w:rFonts w:hint="eastAsia" w:hAnsi="宋体" w:cs="宋体"/>
          <w:color w:val="auto"/>
          <w:position w:val="-2"/>
          <w:sz w:val="21"/>
          <w:szCs w:val="21"/>
          <w:highlight w:val="none"/>
          <w:lang w:eastAsia="zh-CN"/>
        </w:rPr>
        <w:t>（</w:t>
      </w:r>
      <w:r>
        <w:rPr>
          <w:rFonts w:hint="eastAsia" w:hAnsi="宋体" w:cs="宋体"/>
          <w:color w:val="auto"/>
          <w:position w:val="-2"/>
          <w:sz w:val="21"/>
          <w:szCs w:val="21"/>
          <w:highlight w:val="none"/>
          <w:lang w:val="en-US" w:eastAsia="zh-CN"/>
        </w:rPr>
        <w:t>3</w:t>
      </w:r>
      <w:r>
        <w:rPr>
          <w:rFonts w:hint="eastAsia" w:hAnsi="宋体" w:cs="宋体"/>
          <w:color w:val="auto"/>
          <w:position w:val="-2"/>
          <w:sz w:val="21"/>
          <w:szCs w:val="21"/>
          <w:highlight w:val="none"/>
          <w:lang w:eastAsia="zh-CN"/>
        </w:rPr>
        <w:t>）</w:t>
      </w:r>
      <w:r>
        <w:rPr>
          <w:rFonts w:hint="eastAsia" w:hAnsi="宋体" w:cs="宋体"/>
          <w:color w:val="auto"/>
          <w:position w:val="-2"/>
          <w:sz w:val="21"/>
          <w:szCs w:val="21"/>
          <w:highlight w:val="none"/>
        </w:rPr>
        <w:t>材料堆放</w:t>
      </w:r>
    </w:p>
    <w:p>
      <w:pPr>
        <w:spacing w:line="360" w:lineRule="auto"/>
        <w:ind w:right="-239"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1）</w:t>
      </w:r>
      <w:r>
        <w:rPr>
          <w:rFonts w:hint="eastAsia" w:hAnsi="宋体" w:cs="宋体"/>
          <w:color w:val="auto"/>
          <w:sz w:val="21"/>
          <w:szCs w:val="21"/>
          <w:highlight w:val="none"/>
        </w:rPr>
        <w:t>施工现场的材料、构件和工具应当严格按照施工总平面布置图分类堆放。不得混放非施工材料，否则处予人民币</w:t>
      </w:r>
      <w:r>
        <w:rPr>
          <w:rFonts w:hint="eastAsia" w:hAnsi="宋体" w:cs="宋体"/>
          <w:b/>
          <w:color w:val="auto"/>
          <w:sz w:val="21"/>
          <w:szCs w:val="21"/>
          <w:highlight w:val="none"/>
          <w:u w:val="single"/>
        </w:rPr>
        <w:t>30,000</w:t>
      </w:r>
      <w:r>
        <w:rPr>
          <w:rFonts w:hint="eastAsia" w:hAnsi="宋体" w:cs="宋体"/>
          <w:color w:val="auto"/>
          <w:sz w:val="21"/>
          <w:szCs w:val="21"/>
          <w:highlight w:val="none"/>
        </w:rPr>
        <w:t>元的违约金。</w:t>
      </w:r>
    </w:p>
    <w:p>
      <w:pPr>
        <w:spacing w:line="360" w:lineRule="auto"/>
        <w:ind w:right="-38" w:firstLine="420" w:firstLineChars="200"/>
        <w:rPr>
          <w:rFonts w:hAnsi="宋体" w:cs="宋体"/>
          <w:color w:val="auto"/>
          <w:sz w:val="21"/>
          <w:szCs w:val="21"/>
          <w:highlight w:val="none"/>
        </w:rPr>
      </w:pPr>
      <w:r>
        <w:rPr>
          <w:rFonts w:hint="eastAsia" w:hAnsi="宋体" w:cs="宋体"/>
          <w:color w:val="auto"/>
          <w:position w:val="-2"/>
          <w:sz w:val="21"/>
          <w:szCs w:val="21"/>
          <w:highlight w:val="none"/>
          <w:lang w:val="en-US" w:eastAsia="zh-CN"/>
        </w:rPr>
        <w:t>2）</w:t>
      </w:r>
      <w:r>
        <w:rPr>
          <w:rFonts w:hint="eastAsia" w:hAnsi="宋体" w:cs="宋体"/>
          <w:color w:val="auto"/>
          <w:sz w:val="21"/>
          <w:szCs w:val="21"/>
          <w:highlight w:val="none"/>
        </w:rPr>
        <w:t xml:space="preserve"> 易燃易爆物品</w:t>
      </w:r>
      <w:r>
        <w:rPr>
          <w:rFonts w:hint="eastAsia" w:hAnsi="宋体" w:cs="宋体"/>
          <w:color w:val="auto"/>
          <w:spacing w:val="-7"/>
          <w:sz w:val="21"/>
          <w:szCs w:val="21"/>
          <w:highlight w:val="none"/>
        </w:rPr>
        <w:t>、</w:t>
      </w:r>
      <w:r>
        <w:rPr>
          <w:rFonts w:hint="eastAsia" w:hAnsi="宋体" w:cs="宋体"/>
          <w:color w:val="auto"/>
          <w:sz w:val="21"/>
          <w:szCs w:val="21"/>
          <w:highlight w:val="none"/>
        </w:rPr>
        <w:t>有毒有害物质分类堆放并标识</w:t>
      </w:r>
      <w:r>
        <w:rPr>
          <w:rFonts w:hint="eastAsia" w:hAnsi="宋体" w:cs="宋体"/>
          <w:color w:val="auto"/>
          <w:spacing w:val="-7"/>
          <w:sz w:val="21"/>
          <w:szCs w:val="21"/>
          <w:highlight w:val="none"/>
        </w:rPr>
        <w:t>，且悬挂“严禁火种”等警示标志。</w:t>
      </w:r>
    </w:p>
    <w:p>
      <w:pPr>
        <w:spacing w:line="360" w:lineRule="auto"/>
        <w:ind w:right="-20"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3）</w:t>
      </w:r>
      <w:r>
        <w:rPr>
          <w:rFonts w:hint="eastAsia" w:hAnsi="宋体" w:cs="宋体"/>
          <w:color w:val="auto"/>
          <w:sz w:val="21"/>
          <w:szCs w:val="21"/>
          <w:highlight w:val="none"/>
        </w:rPr>
        <w:t>施工场地工完场净，各种材料使用后要归堆、</w:t>
      </w:r>
      <w:r>
        <w:rPr>
          <w:rFonts w:hint="eastAsia" w:hAnsi="宋体" w:cs="宋体"/>
          <w:color w:val="auto"/>
          <w:spacing w:val="1"/>
          <w:sz w:val="21"/>
          <w:szCs w:val="21"/>
          <w:highlight w:val="none"/>
        </w:rPr>
        <w:t>铲</w:t>
      </w:r>
      <w:r>
        <w:rPr>
          <w:rFonts w:hint="eastAsia" w:hAnsi="宋体" w:cs="宋体"/>
          <w:color w:val="auto"/>
          <w:sz w:val="21"/>
          <w:szCs w:val="21"/>
          <w:highlight w:val="none"/>
        </w:rPr>
        <w:t>齐。</w:t>
      </w:r>
    </w:p>
    <w:p>
      <w:pPr>
        <w:spacing w:line="360" w:lineRule="auto"/>
        <w:ind w:right="-40"/>
        <w:jc w:val="center"/>
        <w:rPr>
          <w:rFonts w:hAnsi="宋体" w:cs="宋体"/>
          <w:b/>
          <w:color w:val="auto"/>
          <w:spacing w:val="2"/>
          <w:w w:val="99"/>
          <w:position w:val="-3"/>
          <w:sz w:val="21"/>
          <w:szCs w:val="21"/>
          <w:highlight w:val="none"/>
        </w:rPr>
      </w:pPr>
      <w:r>
        <w:rPr>
          <w:rFonts w:hint="eastAsia" w:hAnsi="宋体" w:cs="宋体"/>
          <w:b/>
          <w:color w:val="auto"/>
          <w:spacing w:val="2"/>
          <w:w w:val="99"/>
          <w:position w:val="-3"/>
          <w:sz w:val="21"/>
          <w:szCs w:val="21"/>
          <w:highlight w:val="none"/>
          <w:lang w:val="en-US" w:eastAsia="zh-CN"/>
        </w:rPr>
        <w:t>12.6</w:t>
      </w:r>
      <w:r>
        <w:rPr>
          <w:rFonts w:hint="eastAsia" w:hAnsi="宋体" w:cs="宋体"/>
          <w:b/>
          <w:color w:val="auto"/>
          <w:spacing w:val="2"/>
          <w:w w:val="99"/>
          <w:position w:val="-3"/>
          <w:sz w:val="21"/>
          <w:szCs w:val="21"/>
          <w:highlight w:val="none"/>
        </w:rPr>
        <w:t xml:space="preserve"> 安全生产及现场防火</w:t>
      </w:r>
    </w:p>
    <w:p>
      <w:pPr>
        <w:spacing w:line="360" w:lineRule="auto"/>
        <w:ind w:right="221" w:firstLine="380" w:firstLineChars="200"/>
        <w:rPr>
          <w:rFonts w:hAnsi="宋体" w:cs="宋体"/>
          <w:color w:val="auto"/>
          <w:sz w:val="21"/>
          <w:szCs w:val="21"/>
          <w:highlight w:val="none"/>
        </w:rPr>
      </w:pPr>
      <w:r>
        <w:rPr>
          <w:rFonts w:hint="eastAsia" w:hAnsi="宋体" w:cs="宋体"/>
          <w:color w:val="auto"/>
          <w:spacing w:val="-10"/>
          <w:sz w:val="21"/>
          <w:szCs w:val="21"/>
          <w:highlight w:val="none"/>
          <w:lang w:val="en-US" w:eastAsia="zh-CN"/>
        </w:rPr>
        <w:t>（1）</w:t>
      </w:r>
      <w:r>
        <w:rPr>
          <w:rFonts w:hint="eastAsia" w:hAnsi="宋体" w:cs="宋体"/>
          <w:color w:val="auto"/>
          <w:sz w:val="21"/>
          <w:szCs w:val="21"/>
          <w:highlight w:val="none"/>
        </w:rPr>
        <w:t>现场施工及管理人员要按规定必须统一服装，且佩带工作证、戴安全帽、穿反光衣，其中施工人员戴黄色安全帽，施工管理人员戴蓝色安全帽。所有安全帽的前面须标明单位简称。</w:t>
      </w:r>
    </w:p>
    <w:p>
      <w:pPr>
        <w:spacing w:line="360" w:lineRule="auto"/>
        <w:ind w:right="-20"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w:t>
      </w:r>
      <w:r>
        <w:rPr>
          <w:rFonts w:hint="eastAsia" w:hAnsi="宋体" w:cs="宋体"/>
          <w:color w:val="auto"/>
          <w:sz w:val="21"/>
          <w:szCs w:val="21"/>
          <w:highlight w:val="none"/>
        </w:rPr>
        <w:t>高空作业须系安全带。</w:t>
      </w:r>
    </w:p>
    <w:p>
      <w:pPr>
        <w:spacing w:line="360" w:lineRule="auto"/>
        <w:ind w:right="-20"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3</w:t>
      </w:r>
      <w:r>
        <w:rPr>
          <w:rFonts w:hint="eastAsia" w:hAnsi="宋体" w:cs="宋体"/>
          <w:color w:val="auto"/>
          <w:sz w:val="21"/>
          <w:szCs w:val="21"/>
          <w:highlight w:val="none"/>
          <w:lang w:eastAsia="zh-CN"/>
        </w:rPr>
        <w:t>）</w:t>
      </w:r>
      <w:r>
        <w:rPr>
          <w:rFonts w:hint="eastAsia" w:hAnsi="宋体" w:cs="宋体"/>
          <w:color w:val="auto"/>
          <w:sz w:val="21"/>
          <w:szCs w:val="21"/>
          <w:highlight w:val="none"/>
        </w:rPr>
        <w:t>施工现场危险地段应设置明显安全标志，夜间须悬挂红色警示灯。</w:t>
      </w:r>
    </w:p>
    <w:p>
      <w:pPr>
        <w:spacing w:line="360" w:lineRule="auto"/>
        <w:ind w:right="48"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4</w:t>
      </w:r>
      <w:r>
        <w:rPr>
          <w:rFonts w:hint="eastAsia" w:hAnsi="宋体" w:cs="宋体"/>
          <w:color w:val="auto"/>
          <w:sz w:val="21"/>
          <w:szCs w:val="21"/>
          <w:highlight w:val="none"/>
          <w:lang w:eastAsia="zh-CN"/>
        </w:rPr>
        <w:t>）</w:t>
      </w:r>
      <w:r>
        <w:rPr>
          <w:rFonts w:hint="eastAsia" w:hAnsi="宋体" w:cs="宋体"/>
          <w:color w:val="auto"/>
          <w:sz w:val="21"/>
          <w:szCs w:val="21"/>
          <w:highlight w:val="none"/>
        </w:rPr>
        <w:t>挖掘作业时，施工单位须指派技术人员现场指挥，确保各种管线的安全，大型机械作业应有专人指挥。</w:t>
      </w:r>
    </w:p>
    <w:p>
      <w:pPr>
        <w:spacing w:line="360" w:lineRule="auto"/>
        <w:ind w:right="-162"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5</w:t>
      </w:r>
      <w:r>
        <w:rPr>
          <w:rFonts w:hint="eastAsia" w:hAnsi="宋体" w:cs="宋体"/>
          <w:color w:val="auto"/>
          <w:sz w:val="21"/>
          <w:szCs w:val="21"/>
          <w:highlight w:val="none"/>
          <w:lang w:eastAsia="zh-CN"/>
        </w:rPr>
        <w:t>）</w:t>
      </w:r>
      <w:r>
        <w:rPr>
          <w:rFonts w:hint="eastAsia" w:hAnsi="宋体" w:cs="宋体"/>
          <w:color w:val="auto"/>
          <w:sz w:val="21"/>
          <w:szCs w:val="21"/>
          <w:highlight w:val="none"/>
        </w:rPr>
        <w:t>施工地段及工棚的临时电力</w:t>
      </w:r>
      <w:r>
        <w:rPr>
          <w:rFonts w:hint="eastAsia" w:hAnsi="宋体" w:cs="宋体"/>
          <w:color w:val="auto"/>
          <w:spacing w:val="-10"/>
          <w:sz w:val="21"/>
          <w:szCs w:val="21"/>
          <w:highlight w:val="none"/>
        </w:rPr>
        <w:t>、</w:t>
      </w:r>
      <w:r>
        <w:rPr>
          <w:rFonts w:hint="eastAsia" w:hAnsi="宋体" w:cs="宋体"/>
          <w:color w:val="auto"/>
          <w:sz w:val="21"/>
          <w:szCs w:val="21"/>
          <w:highlight w:val="none"/>
        </w:rPr>
        <w:t>通信等设施</w:t>
      </w:r>
      <w:r>
        <w:rPr>
          <w:rFonts w:hint="eastAsia" w:hAnsi="宋体" w:cs="宋体"/>
          <w:color w:val="auto"/>
          <w:spacing w:val="-10"/>
          <w:sz w:val="21"/>
          <w:szCs w:val="21"/>
          <w:highlight w:val="none"/>
        </w:rPr>
        <w:t>，</w:t>
      </w:r>
      <w:r>
        <w:rPr>
          <w:rFonts w:hint="eastAsia" w:hAnsi="宋体" w:cs="宋体"/>
          <w:color w:val="auto"/>
          <w:sz w:val="21"/>
          <w:szCs w:val="21"/>
          <w:highlight w:val="none"/>
        </w:rPr>
        <w:t>要按规范规程安装</w:t>
      </w:r>
      <w:r>
        <w:rPr>
          <w:rFonts w:hint="eastAsia" w:hAnsi="宋体" w:cs="宋体"/>
          <w:color w:val="auto"/>
          <w:spacing w:val="-7"/>
          <w:sz w:val="21"/>
          <w:szCs w:val="21"/>
          <w:highlight w:val="none"/>
        </w:rPr>
        <w:t>，</w:t>
      </w:r>
      <w:r>
        <w:rPr>
          <w:rFonts w:hint="eastAsia" w:hAnsi="宋体" w:cs="宋体"/>
          <w:color w:val="auto"/>
          <w:sz w:val="21"/>
          <w:szCs w:val="21"/>
          <w:highlight w:val="none"/>
        </w:rPr>
        <w:t>严禁私拉乱接，开闸后应及时上锁，加强管理。</w:t>
      </w:r>
    </w:p>
    <w:p>
      <w:pPr>
        <w:spacing w:line="360" w:lineRule="auto"/>
        <w:ind w:right="-162" w:firstLine="420" w:firstLineChars="200"/>
        <w:rPr>
          <w:rFonts w:hAnsi="宋体" w:cs="宋体"/>
          <w:color w:val="auto"/>
          <w:sz w:val="21"/>
          <w:szCs w:val="21"/>
          <w:highlight w:val="none"/>
        </w:rPr>
      </w:pPr>
      <w:bookmarkStart w:id="214" w:name="_Toc326853493"/>
      <w:bookmarkStart w:id="215" w:name="_Toc320539273"/>
      <w:bookmarkStart w:id="216" w:name="_Toc362278306"/>
      <w:bookmarkStart w:id="217" w:name="_Toc308516523"/>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6</w:t>
      </w:r>
      <w:r>
        <w:rPr>
          <w:rFonts w:hint="eastAsia" w:hAnsi="宋体" w:cs="宋体"/>
          <w:color w:val="auto"/>
          <w:sz w:val="21"/>
          <w:szCs w:val="21"/>
          <w:highlight w:val="none"/>
          <w:lang w:eastAsia="zh-CN"/>
        </w:rPr>
        <w:t>）</w:t>
      </w:r>
      <w:r>
        <w:rPr>
          <w:rFonts w:hint="eastAsia" w:hAnsi="宋体" w:cs="宋体"/>
          <w:color w:val="auto"/>
          <w:sz w:val="21"/>
          <w:szCs w:val="21"/>
          <w:highlight w:val="none"/>
        </w:rPr>
        <w:t>施工用电</w:t>
      </w:r>
      <w:bookmarkEnd w:id="214"/>
      <w:bookmarkEnd w:id="215"/>
      <w:bookmarkEnd w:id="216"/>
      <w:bookmarkEnd w:id="217"/>
    </w:p>
    <w:p>
      <w:pPr>
        <w:spacing w:line="360" w:lineRule="auto"/>
        <w:ind w:right="-20"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1）</w:t>
      </w:r>
      <w:r>
        <w:rPr>
          <w:rFonts w:hint="eastAsia" w:hAnsi="宋体" w:cs="宋体"/>
          <w:color w:val="auto"/>
          <w:sz w:val="21"/>
          <w:szCs w:val="21"/>
          <w:highlight w:val="none"/>
        </w:rPr>
        <w:t>按照 TN</w:t>
      </w:r>
      <w:r>
        <w:rPr>
          <w:rFonts w:hint="eastAsia" w:hAnsi="宋体" w:cs="宋体"/>
          <w:color w:val="auto"/>
          <w:spacing w:val="-1"/>
          <w:sz w:val="21"/>
          <w:szCs w:val="21"/>
          <w:highlight w:val="none"/>
        </w:rPr>
        <w:t>-</w:t>
      </w:r>
      <w:r>
        <w:rPr>
          <w:rFonts w:hint="eastAsia" w:hAnsi="宋体" w:cs="宋体"/>
          <w:color w:val="auto"/>
          <w:sz w:val="21"/>
          <w:szCs w:val="21"/>
          <w:highlight w:val="none"/>
        </w:rPr>
        <w:t>S</w:t>
      </w:r>
      <w:r>
        <w:rPr>
          <w:rFonts w:hint="eastAsia" w:hAnsi="宋体" w:cs="宋体"/>
          <w:color w:val="auto"/>
          <w:spacing w:val="1"/>
          <w:sz w:val="21"/>
          <w:szCs w:val="21"/>
          <w:highlight w:val="none"/>
        </w:rPr>
        <w:t xml:space="preserve"> </w:t>
      </w:r>
      <w:r>
        <w:rPr>
          <w:rFonts w:hint="eastAsia" w:hAnsi="宋体" w:cs="宋体"/>
          <w:color w:val="auto"/>
          <w:sz w:val="21"/>
          <w:szCs w:val="21"/>
          <w:highlight w:val="none"/>
        </w:rPr>
        <w:t>系统要求配备五芯电缆、四芯电缆和三芯电缆。</w:t>
      </w:r>
    </w:p>
    <w:p>
      <w:pPr>
        <w:spacing w:line="360" w:lineRule="auto"/>
        <w:ind w:right="-72"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2）</w:t>
      </w:r>
      <w:r>
        <w:rPr>
          <w:rFonts w:hint="eastAsia" w:hAnsi="宋体" w:cs="宋体"/>
          <w:color w:val="auto"/>
          <w:sz w:val="21"/>
          <w:szCs w:val="21"/>
          <w:highlight w:val="none"/>
        </w:rPr>
        <w:t>按要求架设临时用电线路的电杆、横担、瓷夹、瓷瓶等，或电缆埋地的地沟。</w:t>
      </w:r>
    </w:p>
    <w:p>
      <w:pPr>
        <w:spacing w:line="360" w:lineRule="auto"/>
        <w:ind w:right="-20"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3）</w:t>
      </w:r>
      <w:r>
        <w:rPr>
          <w:rFonts w:hint="eastAsia" w:hAnsi="宋体" w:cs="宋体"/>
          <w:color w:val="auto"/>
          <w:sz w:val="21"/>
          <w:szCs w:val="21"/>
          <w:highlight w:val="none"/>
        </w:rPr>
        <w:t xml:space="preserve"> 对靠近施工现场的外电线路，设置木质、塑料等绝缘体的防护设施。</w:t>
      </w:r>
    </w:p>
    <w:p>
      <w:pPr>
        <w:spacing w:line="360" w:lineRule="auto"/>
        <w:ind w:right="-99"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4）</w:t>
      </w:r>
      <w:r>
        <w:rPr>
          <w:rFonts w:hint="eastAsia" w:hAnsi="宋体" w:cs="宋体"/>
          <w:color w:val="auto"/>
          <w:sz w:val="21"/>
          <w:szCs w:val="21"/>
          <w:highlight w:val="none"/>
        </w:rPr>
        <w:t xml:space="preserve"> 按三级配电要求</w:t>
      </w:r>
      <w:r>
        <w:rPr>
          <w:rFonts w:hint="eastAsia" w:hAnsi="宋体" w:cs="宋体"/>
          <w:color w:val="auto"/>
          <w:spacing w:val="-10"/>
          <w:sz w:val="21"/>
          <w:szCs w:val="21"/>
          <w:highlight w:val="none"/>
        </w:rPr>
        <w:t>，</w:t>
      </w:r>
      <w:r>
        <w:rPr>
          <w:rFonts w:hint="eastAsia" w:hAnsi="宋体" w:cs="宋体"/>
          <w:color w:val="auto"/>
          <w:sz w:val="21"/>
          <w:szCs w:val="21"/>
          <w:highlight w:val="none"/>
        </w:rPr>
        <w:t>配备总配电箱</w:t>
      </w:r>
      <w:r>
        <w:rPr>
          <w:rFonts w:hint="eastAsia" w:hAnsi="宋体" w:cs="宋体"/>
          <w:color w:val="auto"/>
          <w:spacing w:val="-10"/>
          <w:sz w:val="21"/>
          <w:szCs w:val="21"/>
          <w:highlight w:val="none"/>
        </w:rPr>
        <w:t>、</w:t>
      </w:r>
      <w:r>
        <w:rPr>
          <w:rFonts w:hint="eastAsia" w:hAnsi="宋体" w:cs="宋体"/>
          <w:color w:val="auto"/>
          <w:sz w:val="21"/>
          <w:szCs w:val="21"/>
          <w:highlight w:val="none"/>
        </w:rPr>
        <w:t>分配电箱</w:t>
      </w:r>
      <w:r>
        <w:rPr>
          <w:rFonts w:hint="eastAsia" w:hAnsi="宋体" w:cs="宋体"/>
          <w:color w:val="auto"/>
          <w:spacing w:val="-10"/>
          <w:sz w:val="21"/>
          <w:szCs w:val="21"/>
          <w:highlight w:val="none"/>
        </w:rPr>
        <w:t>、</w:t>
      </w:r>
      <w:r>
        <w:rPr>
          <w:rFonts w:hint="eastAsia" w:hAnsi="宋体" w:cs="宋体"/>
          <w:color w:val="auto"/>
          <w:sz w:val="21"/>
          <w:szCs w:val="21"/>
          <w:highlight w:val="none"/>
        </w:rPr>
        <w:t>开关箱三类标准电箱</w:t>
      </w:r>
      <w:r>
        <w:rPr>
          <w:rFonts w:hint="eastAsia" w:hAnsi="宋体" w:cs="宋体"/>
          <w:color w:val="auto"/>
          <w:spacing w:val="-10"/>
          <w:sz w:val="21"/>
          <w:szCs w:val="21"/>
          <w:highlight w:val="none"/>
        </w:rPr>
        <w:t>。</w:t>
      </w:r>
      <w:r>
        <w:rPr>
          <w:rFonts w:hint="eastAsia" w:hAnsi="宋体" w:cs="宋体"/>
          <w:color w:val="auto"/>
          <w:sz w:val="21"/>
          <w:szCs w:val="21"/>
          <w:highlight w:val="none"/>
        </w:rPr>
        <w:t>开关箱应符合一机、一箱、一闸、一漏的要求。三类电箱中的各类电器应是合格品。</w:t>
      </w:r>
    </w:p>
    <w:p>
      <w:pPr>
        <w:spacing w:line="360" w:lineRule="auto"/>
        <w:ind w:right="-99"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5）</w:t>
      </w:r>
      <w:r>
        <w:rPr>
          <w:rFonts w:hint="eastAsia" w:hAnsi="宋体" w:cs="宋体"/>
          <w:color w:val="auto"/>
          <w:sz w:val="21"/>
          <w:szCs w:val="21"/>
          <w:highlight w:val="none"/>
        </w:rPr>
        <w:t>按两级保护的要求</w:t>
      </w:r>
      <w:r>
        <w:rPr>
          <w:rFonts w:hint="eastAsia" w:hAnsi="宋体" w:cs="宋体"/>
          <w:color w:val="auto"/>
          <w:spacing w:val="-36"/>
          <w:sz w:val="21"/>
          <w:szCs w:val="21"/>
          <w:highlight w:val="none"/>
        </w:rPr>
        <w:t>，</w:t>
      </w:r>
      <w:r>
        <w:rPr>
          <w:rFonts w:hint="eastAsia" w:hAnsi="宋体" w:cs="宋体"/>
          <w:color w:val="auto"/>
          <w:sz w:val="21"/>
          <w:szCs w:val="21"/>
          <w:highlight w:val="none"/>
        </w:rPr>
        <w:t>选取符合容量要求和质量合格的总配电箱和开关箱中的漏电保护器。</w:t>
      </w:r>
    </w:p>
    <w:p>
      <w:pPr>
        <w:spacing w:line="360" w:lineRule="auto"/>
        <w:ind w:right="-20" w:firstLine="420" w:firstLineChars="200"/>
        <w:rPr>
          <w:rFonts w:hAnsi="宋体" w:cs="宋体"/>
          <w:color w:val="auto"/>
          <w:sz w:val="21"/>
          <w:szCs w:val="21"/>
          <w:highlight w:val="none"/>
        </w:rPr>
      </w:pPr>
      <w:r>
        <w:rPr>
          <w:rFonts w:hint="eastAsia" w:hAnsi="宋体" w:cs="宋体"/>
          <w:color w:val="auto"/>
          <w:position w:val="-2"/>
          <w:sz w:val="21"/>
          <w:szCs w:val="21"/>
          <w:highlight w:val="none"/>
          <w:lang w:eastAsia="zh-CN"/>
        </w:rPr>
        <w:t>（</w:t>
      </w:r>
      <w:r>
        <w:rPr>
          <w:rFonts w:hint="eastAsia" w:hAnsi="宋体" w:cs="宋体"/>
          <w:color w:val="auto"/>
          <w:position w:val="-2"/>
          <w:sz w:val="21"/>
          <w:szCs w:val="21"/>
          <w:highlight w:val="none"/>
          <w:lang w:val="en-US" w:eastAsia="zh-CN"/>
        </w:rPr>
        <w:t>7</w:t>
      </w:r>
      <w:r>
        <w:rPr>
          <w:rFonts w:hint="eastAsia" w:hAnsi="宋体" w:cs="宋体"/>
          <w:color w:val="auto"/>
          <w:position w:val="-2"/>
          <w:sz w:val="21"/>
          <w:szCs w:val="21"/>
          <w:highlight w:val="none"/>
          <w:lang w:eastAsia="zh-CN"/>
        </w:rPr>
        <w:t>）</w:t>
      </w:r>
      <w:r>
        <w:rPr>
          <w:rFonts w:hint="eastAsia" w:hAnsi="宋体" w:cs="宋体"/>
          <w:color w:val="auto"/>
          <w:position w:val="-2"/>
          <w:sz w:val="21"/>
          <w:szCs w:val="21"/>
          <w:highlight w:val="none"/>
        </w:rPr>
        <w:t>临边、洞口、交叉高处作业防护</w:t>
      </w:r>
    </w:p>
    <w:p>
      <w:pPr>
        <w:tabs>
          <w:tab w:val="left" w:pos="927"/>
        </w:tabs>
        <w:spacing w:line="360" w:lineRule="auto"/>
        <w:ind w:left="22" w:leftChars="9"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8</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在现场配置的各类特种施工设备在进场、安装、使用前必须按规定向</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（监理单位）提交有关证明资料（包括由依法经核准的特种设备检验检测机构出具的设备合格检测报告、安装单位资质证明材料、安装人员特种作业人员资格证等），经</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（监理单位）批准后，方可组织施工。严禁使用未经检测或检测不合格的施工起重机械。</w:t>
      </w:r>
    </w:p>
    <w:p>
      <w:pPr>
        <w:spacing w:line="360" w:lineRule="auto"/>
        <w:ind w:right="-59" w:firstLine="475" w:firstLineChars="250"/>
        <w:rPr>
          <w:rFonts w:hAnsi="宋体" w:cs="宋体"/>
          <w:color w:val="auto"/>
          <w:sz w:val="21"/>
          <w:szCs w:val="21"/>
          <w:highlight w:val="none"/>
        </w:rPr>
      </w:pPr>
      <w:r>
        <w:rPr>
          <w:rFonts w:hint="eastAsia" w:hAnsi="宋体" w:cs="宋体"/>
          <w:color w:val="auto"/>
          <w:spacing w:val="-10"/>
          <w:sz w:val="21"/>
          <w:szCs w:val="21"/>
          <w:highlight w:val="none"/>
          <w:lang w:eastAsia="zh-CN"/>
        </w:rPr>
        <w:t>（</w:t>
      </w:r>
      <w:r>
        <w:rPr>
          <w:rFonts w:hint="eastAsia" w:hAnsi="宋体" w:cs="宋体"/>
          <w:color w:val="auto"/>
          <w:spacing w:val="-10"/>
          <w:sz w:val="21"/>
          <w:szCs w:val="21"/>
          <w:highlight w:val="none"/>
          <w:lang w:val="en-US" w:eastAsia="zh-CN"/>
        </w:rPr>
        <w:t>9</w:t>
      </w:r>
      <w:r>
        <w:rPr>
          <w:rFonts w:hint="eastAsia" w:hAnsi="宋体" w:cs="宋体"/>
          <w:color w:val="auto"/>
          <w:spacing w:val="-10"/>
          <w:sz w:val="21"/>
          <w:szCs w:val="21"/>
          <w:highlight w:val="none"/>
          <w:lang w:eastAsia="zh-CN"/>
        </w:rPr>
        <w:t>）</w:t>
      </w:r>
      <w:r>
        <w:rPr>
          <w:rFonts w:hint="eastAsia" w:hAnsi="宋体" w:cs="宋体"/>
          <w:color w:val="auto"/>
          <w:sz w:val="21"/>
          <w:szCs w:val="21"/>
          <w:highlight w:val="none"/>
        </w:rPr>
        <w:t>施工现场应按消防要求配置消防设备，加强保卫巡逻，消除各种安全隐患。</w:t>
      </w:r>
    </w:p>
    <w:p>
      <w:pPr>
        <w:spacing w:line="360" w:lineRule="auto"/>
        <w:ind w:right="-58"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10</w:t>
      </w:r>
      <w:r>
        <w:rPr>
          <w:rFonts w:hint="eastAsia" w:hAnsi="宋体" w:cs="宋体"/>
          <w:color w:val="auto"/>
          <w:sz w:val="21"/>
          <w:szCs w:val="21"/>
          <w:highlight w:val="none"/>
          <w:lang w:eastAsia="zh-CN"/>
        </w:rPr>
        <w:t>）</w:t>
      </w:r>
      <w:r>
        <w:rPr>
          <w:rFonts w:hint="eastAsia" w:hAnsi="宋体" w:cs="宋体"/>
          <w:color w:val="auto"/>
          <w:sz w:val="21"/>
          <w:szCs w:val="21"/>
          <w:highlight w:val="none"/>
        </w:rPr>
        <w:t>施工企业应做好施工现场作业区</w:t>
      </w:r>
      <w:r>
        <w:rPr>
          <w:rFonts w:hint="eastAsia" w:hAnsi="宋体" w:cs="宋体"/>
          <w:color w:val="auto"/>
          <w:spacing w:val="-12"/>
          <w:sz w:val="21"/>
          <w:szCs w:val="21"/>
          <w:highlight w:val="none"/>
        </w:rPr>
        <w:t>、</w:t>
      </w:r>
      <w:r>
        <w:rPr>
          <w:rFonts w:hint="eastAsia" w:hAnsi="宋体" w:cs="宋体"/>
          <w:color w:val="auto"/>
          <w:sz w:val="21"/>
          <w:szCs w:val="21"/>
          <w:highlight w:val="none"/>
        </w:rPr>
        <w:t>办公区和生活区的防火工作</w:t>
      </w:r>
      <w:r>
        <w:rPr>
          <w:rFonts w:hint="eastAsia" w:hAnsi="宋体" w:cs="宋体"/>
          <w:color w:val="auto"/>
          <w:spacing w:val="-12"/>
          <w:sz w:val="21"/>
          <w:szCs w:val="21"/>
          <w:highlight w:val="none"/>
        </w:rPr>
        <w:t>，</w:t>
      </w:r>
      <w:r>
        <w:rPr>
          <w:rFonts w:hint="eastAsia" w:hAnsi="宋体" w:cs="宋体"/>
          <w:color w:val="auto"/>
          <w:sz w:val="21"/>
          <w:szCs w:val="21"/>
          <w:highlight w:val="none"/>
        </w:rPr>
        <w:t>建立健全消防制度和应急措施。</w:t>
      </w:r>
    </w:p>
    <w:p>
      <w:pPr>
        <w:spacing w:line="360" w:lineRule="auto"/>
        <w:ind w:right="-64"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11</w:t>
      </w:r>
      <w:r>
        <w:rPr>
          <w:rFonts w:hint="eastAsia" w:hAnsi="宋体" w:cs="宋体"/>
          <w:color w:val="auto"/>
          <w:sz w:val="21"/>
          <w:szCs w:val="21"/>
          <w:highlight w:val="none"/>
          <w:lang w:eastAsia="zh-CN"/>
        </w:rPr>
        <w:t>）</w:t>
      </w:r>
      <w:r>
        <w:rPr>
          <w:rFonts w:hint="eastAsia" w:hAnsi="宋体" w:cs="宋体"/>
          <w:color w:val="auto"/>
          <w:sz w:val="21"/>
          <w:szCs w:val="21"/>
          <w:highlight w:val="none"/>
        </w:rPr>
        <w:t>施工现场应制定严格的防火措施及灭火方案</w:t>
      </w:r>
      <w:r>
        <w:rPr>
          <w:rFonts w:hint="eastAsia" w:hAnsi="宋体" w:cs="宋体"/>
          <w:color w:val="auto"/>
          <w:spacing w:val="-11"/>
          <w:sz w:val="21"/>
          <w:szCs w:val="21"/>
          <w:highlight w:val="none"/>
        </w:rPr>
        <w:t>，</w:t>
      </w:r>
      <w:r>
        <w:rPr>
          <w:rFonts w:hint="eastAsia" w:hAnsi="宋体" w:cs="宋体"/>
          <w:color w:val="auto"/>
          <w:sz w:val="21"/>
          <w:szCs w:val="21"/>
          <w:highlight w:val="none"/>
        </w:rPr>
        <w:t>并按消防规定配备灭火器材</w:t>
      </w:r>
      <w:r>
        <w:rPr>
          <w:rFonts w:hint="eastAsia" w:hAnsi="宋体" w:cs="宋体"/>
          <w:color w:val="auto"/>
          <w:spacing w:val="-11"/>
          <w:sz w:val="21"/>
          <w:szCs w:val="21"/>
          <w:highlight w:val="none"/>
        </w:rPr>
        <w:t>。</w:t>
      </w:r>
      <w:r>
        <w:rPr>
          <w:rFonts w:hint="eastAsia" w:hAnsi="宋体" w:cs="宋体"/>
          <w:color w:val="auto"/>
          <w:sz w:val="21"/>
          <w:szCs w:val="21"/>
          <w:highlight w:val="none"/>
        </w:rPr>
        <w:t>在易于发生火灾的地方进行焊接施工时应采取严格的防范措施。</w:t>
      </w:r>
    </w:p>
    <w:p>
      <w:pPr>
        <w:spacing w:line="360" w:lineRule="auto"/>
        <w:ind w:right="-58"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12</w:t>
      </w:r>
      <w:r>
        <w:rPr>
          <w:rFonts w:hint="eastAsia" w:hAnsi="宋体" w:cs="宋体"/>
          <w:color w:val="auto"/>
          <w:sz w:val="21"/>
          <w:szCs w:val="21"/>
          <w:highlight w:val="none"/>
          <w:lang w:eastAsia="zh-CN"/>
        </w:rPr>
        <w:t>）</w:t>
      </w:r>
      <w:r>
        <w:rPr>
          <w:rFonts w:hint="eastAsia" w:hAnsi="宋体" w:cs="宋体"/>
          <w:color w:val="auto"/>
          <w:sz w:val="21"/>
          <w:szCs w:val="21"/>
          <w:highlight w:val="none"/>
        </w:rPr>
        <w:t>作业人员必须佩戴安全帽</w:t>
      </w:r>
      <w:r>
        <w:rPr>
          <w:rFonts w:hint="eastAsia" w:hAnsi="宋体" w:cs="宋体"/>
          <w:color w:val="auto"/>
          <w:spacing w:val="-12"/>
          <w:sz w:val="21"/>
          <w:szCs w:val="21"/>
          <w:highlight w:val="none"/>
        </w:rPr>
        <w:t>、</w:t>
      </w:r>
      <w:r>
        <w:rPr>
          <w:rFonts w:hint="eastAsia" w:hAnsi="宋体" w:cs="宋体"/>
          <w:color w:val="auto"/>
          <w:sz w:val="21"/>
          <w:szCs w:val="21"/>
          <w:highlight w:val="none"/>
        </w:rPr>
        <w:t>高空作业要佩戴安全带</w:t>
      </w:r>
      <w:r>
        <w:rPr>
          <w:rFonts w:hint="eastAsia" w:hAnsi="宋体" w:cs="宋体"/>
          <w:color w:val="auto"/>
          <w:spacing w:val="-12"/>
          <w:sz w:val="21"/>
          <w:szCs w:val="21"/>
          <w:highlight w:val="none"/>
        </w:rPr>
        <w:t>。</w:t>
      </w:r>
    </w:p>
    <w:p>
      <w:pPr>
        <w:spacing w:line="360" w:lineRule="auto"/>
        <w:ind w:right="-61" w:firstLine="420" w:firstLineChars="200"/>
        <w:rPr>
          <w:rFonts w:hAnsi="宋体" w:cs="宋体"/>
          <w:color w:val="auto"/>
          <w:sz w:val="21"/>
          <w:szCs w:val="21"/>
          <w:highlight w:val="none"/>
        </w:rPr>
      </w:pPr>
    </w:p>
    <w:p>
      <w:pPr>
        <w:spacing w:line="360" w:lineRule="auto"/>
        <w:ind w:right="-40"/>
        <w:jc w:val="center"/>
        <w:rPr>
          <w:rFonts w:hAnsi="宋体" w:cs="宋体"/>
          <w:b/>
          <w:color w:val="auto"/>
          <w:spacing w:val="2"/>
          <w:w w:val="99"/>
          <w:position w:val="-3"/>
          <w:sz w:val="21"/>
          <w:szCs w:val="21"/>
          <w:highlight w:val="none"/>
        </w:rPr>
      </w:pPr>
      <w:r>
        <w:rPr>
          <w:rFonts w:hint="eastAsia" w:hAnsi="宋体" w:cs="宋体"/>
          <w:b/>
          <w:color w:val="auto"/>
          <w:spacing w:val="2"/>
          <w:w w:val="99"/>
          <w:position w:val="-3"/>
          <w:sz w:val="21"/>
          <w:szCs w:val="21"/>
          <w:highlight w:val="none"/>
          <w:lang w:val="en-US" w:eastAsia="zh-CN"/>
        </w:rPr>
        <w:t>12.7</w:t>
      </w:r>
      <w:r>
        <w:rPr>
          <w:rFonts w:hint="eastAsia" w:hAnsi="宋体" w:cs="宋体"/>
          <w:b/>
          <w:color w:val="auto"/>
          <w:spacing w:val="2"/>
          <w:w w:val="99"/>
          <w:position w:val="-3"/>
          <w:sz w:val="21"/>
          <w:szCs w:val="21"/>
          <w:highlight w:val="none"/>
        </w:rPr>
        <w:t xml:space="preserve"> 环境保护及卫生</w:t>
      </w:r>
    </w:p>
    <w:p>
      <w:pPr>
        <w:spacing w:line="360" w:lineRule="auto"/>
        <w:ind w:right="285"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（1）</w:t>
      </w:r>
      <w:r>
        <w:rPr>
          <w:rFonts w:hint="eastAsia" w:hAnsi="宋体" w:cs="宋体"/>
          <w:color w:val="auto"/>
          <w:sz w:val="21"/>
          <w:szCs w:val="21"/>
          <w:highlight w:val="none"/>
        </w:rPr>
        <w:t>现场对容易产生扬尘、恶臭污染的作业面应当采取遮挡围蔽、喷水降尘等措施。 。</w:t>
      </w:r>
    </w:p>
    <w:p>
      <w:pPr>
        <w:spacing w:line="360" w:lineRule="auto"/>
        <w:ind w:right="-27"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w:t>
      </w:r>
      <w:r>
        <w:rPr>
          <w:rFonts w:hint="eastAsia" w:hAnsi="宋体" w:cs="宋体"/>
          <w:color w:val="auto"/>
          <w:sz w:val="21"/>
          <w:szCs w:val="21"/>
          <w:highlight w:val="none"/>
        </w:rPr>
        <w:t>施工现场应设立垃圾池，施工和生活垃圾分别集中堆放并及时清运。施工现场禁止使用有毒、有害物质作为燃料，禁止燃烧各类废料和生活垃圾。</w:t>
      </w:r>
    </w:p>
    <w:p>
      <w:pPr>
        <w:spacing w:line="360" w:lineRule="auto"/>
        <w:ind w:right="285"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3</w:t>
      </w:r>
      <w:r>
        <w:rPr>
          <w:rFonts w:hint="eastAsia" w:hAnsi="宋体" w:cs="宋体"/>
          <w:color w:val="auto"/>
          <w:sz w:val="21"/>
          <w:szCs w:val="21"/>
          <w:highlight w:val="none"/>
          <w:lang w:eastAsia="zh-CN"/>
        </w:rPr>
        <w:t>）</w:t>
      </w:r>
      <w:r>
        <w:rPr>
          <w:rFonts w:hint="eastAsia" w:hAnsi="宋体" w:cs="宋体"/>
          <w:color w:val="auto"/>
          <w:sz w:val="21"/>
          <w:szCs w:val="21"/>
          <w:highlight w:val="none"/>
        </w:rPr>
        <w:t>运输车辆应采取封闭、覆盖，外运前须采取有效措施，防止飞扬、洒落、流溢，保证行驶途中不污染道路和环境。对散落地面的垃圾要及时清扫冲洗，保持道路清洁。</w:t>
      </w:r>
    </w:p>
    <w:p>
      <w:pPr>
        <w:spacing w:line="360" w:lineRule="auto"/>
        <w:ind w:right="285"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4</w:t>
      </w:r>
      <w:r>
        <w:rPr>
          <w:rFonts w:hint="eastAsia" w:hAnsi="宋体" w:cs="宋体"/>
          <w:color w:val="auto"/>
          <w:sz w:val="21"/>
          <w:szCs w:val="21"/>
          <w:highlight w:val="none"/>
          <w:lang w:eastAsia="zh-CN"/>
        </w:rPr>
        <w:t>）</w:t>
      </w:r>
      <w:r>
        <w:rPr>
          <w:rFonts w:hint="eastAsia" w:hAnsi="宋体" w:cs="宋体"/>
          <w:color w:val="auto"/>
          <w:sz w:val="21"/>
          <w:szCs w:val="21"/>
          <w:highlight w:val="none"/>
        </w:rPr>
        <w:t>采取有效措施控制现场的各种粉尘、废气、废水、固体废弃物以及噪声、振动对环境的污染和危害。对产生的噪声、振动的施工机械，采取有效控制措施，减轻噪声扰民。</w:t>
      </w:r>
    </w:p>
    <w:p>
      <w:pPr>
        <w:spacing w:line="360" w:lineRule="auto"/>
        <w:ind w:left="115" w:leftChars="48" w:right="285" w:firstLine="315" w:firstLineChars="15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5</w:t>
      </w:r>
      <w:r>
        <w:rPr>
          <w:rFonts w:hint="eastAsia" w:hAnsi="宋体" w:cs="宋体"/>
          <w:color w:val="auto"/>
          <w:sz w:val="21"/>
          <w:szCs w:val="21"/>
          <w:highlight w:val="none"/>
          <w:lang w:eastAsia="zh-CN"/>
        </w:rPr>
        <w:t>）</w:t>
      </w:r>
      <w:r>
        <w:rPr>
          <w:rFonts w:hint="eastAsia" w:hAnsi="宋体" w:cs="宋体"/>
          <w:color w:val="auto"/>
          <w:sz w:val="21"/>
          <w:szCs w:val="21"/>
          <w:highlight w:val="none"/>
        </w:rPr>
        <w:t>办公室、现场宿舍、食堂</w:t>
      </w:r>
      <w:r>
        <w:rPr>
          <w:rFonts w:hint="eastAsia" w:hAnsi="宋体" w:cs="宋体"/>
          <w:color w:val="auto"/>
          <w:spacing w:val="1"/>
          <w:sz w:val="21"/>
          <w:szCs w:val="21"/>
          <w:highlight w:val="none"/>
        </w:rPr>
        <w:t>、</w:t>
      </w:r>
      <w:r>
        <w:rPr>
          <w:rFonts w:hint="eastAsia" w:hAnsi="宋体" w:cs="宋体"/>
          <w:color w:val="auto"/>
          <w:sz w:val="21"/>
          <w:szCs w:val="21"/>
          <w:highlight w:val="none"/>
        </w:rPr>
        <w:t>厕所、饮水、休息场所符合卫生和安全要求。中标方要建立健全施工现场卫生责任制。教育员工搞好个人卫生，提高员工预防疾病的意识。合理安排工作时间，保证员工有充分的休息。注意员工的营养需要，提高员工抵抗疾病的能力。夏季施工应当有防暑降温措施。</w:t>
      </w:r>
    </w:p>
    <w:p>
      <w:pPr>
        <w:spacing w:line="360" w:lineRule="auto"/>
        <w:ind w:right="285"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6</w:t>
      </w:r>
      <w:r>
        <w:rPr>
          <w:rFonts w:hint="eastAsia" w:hAnsi="宋体" w:cs="宋体"/>
          <w:color w:val="auto"/>
          <w:sz w:val="21"/>
          <w:szCs w:val="21"/>
          <w:highlight w:val="none"/>
          <w:lang w:eastAsia="zh-CN"/>
        </w:rPr>
        <w:t>）</w:t>
      </w:r>
      <w:r>
        <w:rPr>
          <w:rFonts w:hint="eastAsia" w:hAnsi="宋体" w:cs="宋体"/>
          <w:color w:val="auto"/>
          <w:sz w:val="21"/>
          <w:szCs w:val="21"/>
          <w:highlight w:val="none"/>
        </w:rPr>
        <w:t>炊事人员应当定期进行体检，取得《健康证》后方可上岗。炊事人员工作时应当穿戴白色工作服、工作帽，帽外不露长发，不得穿拖鞋。厨房操作应当符合卫生要求，洗、切、煮、卖、存等环节要设置合理，生熟食物要严格分开，食物放置高度应不小于 0.2 米。厨具用后随即洗刷干净，并消毒。</w:t>
      </w:r>
    </w:p>
    <w:p>
      <w:pPr>
        <w:spacing w:line="360" w:lineRule="auto"/>
        <w:ind w:right="285"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7</w:t>
      </w:r>
      <w:r>
        <w:rPr>
          <w:rFonts w:hint="eastAsia" w:hAnsi="宋体" w:cs="宋体"/>
          <w:color w:val="auto"/>
          <w:sz w:val="21"/>
          <w:szCs w:val="21"/>
          <w:highlight w:val="none"/>
          <w:lang w:eastAsia="zh-CN"/>
        </w:rPr>
        <w:t>）</w:t>
      </w:r>
      <w:r>
        <w:rPr>
          <w:rFonts w:hint="eastAsia" w:hAnsi="宋体" w:cs="宋体"/>
          <w:color w:val="auto"/>
          <w:sz w:val="21"/>
          <w:szCs w:val="21"/>
          <w:highlight w:val="none"/>
        </w:rPr>
        <w:t>现场应当落实各项除“四害”措施，严格控制“四害”孳生，厕所、浴室要落实专人清扫，定期喷药，保持工作和生活环境清洁，预防和控制传染病的发生。</w:t>
      </w:r>
    </w:p>
    <w:p>
      <w:pPr>
        <w:spacing w:line="360" w:lineRule="auto"/>
        <w:ind w:right="-58" w:firstLine="420" w:firstLineChars="200"/>
        <w:rPr>
          <w:rFonts w:hAnsi="宋体" w:cs="宋体"/>
          <w:color w:val="auto"/>
          <w:sz w:val="21"/>
          <w:szCs w:val="21"/>
          <w:highlight w:val="none"/>
        </w:rPr>
      </w:pPr>
      <w:r>
        <w:rPr>
          <w:rFonts w:hint="eastAsia" w:hAnsi="宋体" w:cs="宋体"/>
          <w:color w:val="auto"/>
          <w:position w:val="-2"/>
          <w:sz w:val="21"/>
          <w:szCs w:val="21"/>
          <w:highlight w:val="none"/>
          <w:lang w:eastAsia="zh-CN"/>
        </w:rPr>
        <w:t>（</w:t>
      </w:r>
      <w:r>
        <w:rPr>
          <w:rFonts w:hint="eastAsia" w:hAnsi="宋体" w:cs="宋体"/>
          <w:color w:val="auto"/>
          <w:position w:val="-2"/>
          <w:sz w:val="21"/>
          <w:szCs w:val="21"/>
          <w:highlight w:val="none"/>
          <w:lang w:val="en-US" w:eastAsia="zh-CN"/>
        </w:rPr>
        <w:t>8</w:t>
      </w:r>
      <w:r>
        <w:rPr>
          <w:rFonts w:hint="eastAsia" w:hAnsi="宋体" w:cs="宋体"/>
          <w:color w:val="auto"/>
          <w:position w:val="-2"/>
          <w:sz w:val="21"/>
          <w:szCs w:val="21"/>
          <w:highlight w:val="none"/>
          <w:lang w:eastAsia="zh-CN"/>
        </w:rPr>
        <w:t>）</w:t>
      </w:r>
      <w:r>
        <w:rPr>
          <w:rFonts w:hint="eastAsia" w:hAnsi="宋体" w:cs="宋体"/>
          <w:color w:val="auto"/>
          <w:position w:val="-2"/>
          <w:sz w:val="21"/>
          <w:szCs w:val="21"/>
          <w:highlight w:val="none"/>
        </w:rPr>
        <w:t>现场应当设立医疗急救箱</w:t>
      </w:r>
      <w:r>
        <w:rPr>
          <w:rFonts w:hint="eastAsia" w:hAnsi="宋体" w:cs="宋体"/>
          <w:color w:val="auto"/>
          <w:spacing w:val="-12"/>
          <w:position w:val="-2"/>
          <w:sz w:val="21"/>
          <w:szCs w:val="21"/>
          <w:highlight w:val="none"/>
        </w:rPr>
        <w:t>，</w:t>
      </w:r>
      <w:r>
        <w:rPr>
          <w:rFonts w:hint="eastAsia" w:hAnsi="宋体" w:cs="宋体"/>
          <w:color w:val="auto"/>
          <w:position w:val="-2"/>
          <w:sz w:val="21"/>
          <w:szCs w:val="21"/>
          <w:highlight w:val="none"/>
        </w:rPr>
        <w:t>配备电子式探热器等医疗和急救用品</w:t>
      </w:r>
      <w:r>
        <w:rPr>
          <w:rFonts w:hint="eastAsia" w:hAnsi="宋体" w:cs="宋体"/>
          <w:color w:val="auto"/>
          <w:spacing w:val="-12"/>
          <w:position w:val="-2"/>
          <w:sz w:val="21"/>
          <w:szCs w:val="21"/>
          <w:highlight w:val="none"/>
        </w:rPr>
        <w:t>。</w:t>
      </w:r>
      <w:r>
        <w:rPr>
          <w:rFonts w:hint="eastAsia" w:hAnsi="宋体" w:cs="宋体"/>
          <w:color w:val="auto"/>
          <w:position w:val="-2"/>
          <w:sz w:val="21"/>
          <w:szCs w:val="21"/>
          <w:highlight w:val="none"/>
        </w:rPr>
        <w:t>要有经</w:t>
      </w:r>
      <w:r>
        <w:rPr>
          <w:rFonts w:hint="eastAsia" w:hAnsi="宋体" w:cs="宋体"/>
          <w:color w:val="auto"/>
          <w:sz w:val="21"/>
          <w:szCs w:val="21"/>
          <w:highlight w:val="none"/>
        </w:rPr>
        <w:t>培训的急救人员，熟悉急救措施和急救用品的使用。</w:t>
      </w:r>
    </w:p>
    <w:p>
      <w:pPr>
        <w:spacing w:line="360" w:lineRule="auto"/>
        <w:ind w:right="81"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9</w:t>
      </w:r>
      <w:r>
        <w:rPr>
          <w:rFonts w:hint="eastAsia" w:hAnsi="宋体" w:cs="宋体"/>
          <w:color w:val="auto"/>
          <w:sz w:val="21"/>
          <w:szCs w:val="21"/>
          <w:highlight w:val="none"/>
          <w:lang w:eastAsia="zh-CN"/>
        </w:rPr>
        <w:t>）</w:t>
      </w:r>
      <w:r>
        <w:rPr>
          <w:rFonts w:hint="eastAsia" w:hAnsi="宋体" w:cs="宋体"/>
          <w:color w:val="auto"/>
          <w:sz w:val="21"/>
          <w:szCs w:val="21"/>
          <w:highlight w:val="none"/>
        </w:rPr>
        <w:t>组织场容清洁队</w:t>
      </w:r>
      <w:r>
        <w:rPr>
          <w:rFonts w:hint="eastAsia" w:hAnsi="宋体" w:cs="宋体"/>
          <w:color w:val="auto"/>
          <w:spacing w:val="-7"/>
          <w:sz w:val="21"/>
          <w:szCs w:val="21"/>
          <w:highlight w:val="none"/>
        </w:rPr>
        <w:t>，</w:t>
      </w:r>
      <w:r>
        <w:rPr>
          <w:rFonts w:hint="eastAsia" w:hAnsi="宋体" w:cs="宋体"/>
          <w:color w:val="auto"/>
          <w:sz w:val="21"/>
          <w:szCs w:val="21"/>
          <w:highlight w:val="none"/>
        </w:rPr>
        <w:t>专门负责生产区</w:t>
      </w:r>
      <w:r>
        <w:rPr>
          <w:rFonts w:hint="eastAsia" w:hAnsi="宋体" w:cs="宋体"/>
          <w:color w:val="auto"/>
          <w:spacing w:val="-10"/>
          <w:sz w:val="21"/>
          <w:szCs w:val="21"/>
          <w:highlight w:val="none"/>
        </w:rPr>
        <w:t>、</w:t>
      </w:r>
      <w:r>
        <w:rPr>
          <w:rFonts w:hint="eastAsia" w:hAnsi="宋体" w:cs="宋体"/>
          <w:color w:val="auto"/>
          <w:sz w:val="21"/>
          <w:szCs w:val="21"/>
          <w:highlight w:val="none"/>
        </w:rPr>
        <w:t>生活区的清洁卫生工作</w:t>
      </w:r>
      <w:r>
        <w:rPr>
          <w:rFonts w:hint="eastAsia" w:hAnsi="宋体" w:cs="宋体"/>
          <w:color w:val="auto"/>
          <w:spacing w:val="-10"/>
          <w:sz w:val="21"/>
          <w:szCs w:val="21"/>
          <w:highlight w:val="none"/>
        </w:rPr>
        <w:t>，</w:t>
      </w:r>
      <w:r>
        <w:rPr>
          <w:rFonts w:hint="eastAsia" w:hAnsi="宋体" w:cs="宋体"/>
          <w:color w:val="auto"/>
          <w:sz w:val="21"/>
          <w:szCs w:val="21"/>
          <w:highlight w:val="none"/>
        </w:rPr>
        <w:t>生活垃圾应及时运出场外</w:t>
      </w:r>
      <w:r>
        <w:rPr>
          <w:rFonts w:hint="eastAsia" w:hAnsi="宋体" w:cs="宋体"/>
          <w:color w:val="auto"/>
          <w:spacing w:val="-12"/>
          <w:sz w:val="21"/>
          <w:szCs w:val="21"/>
          <w:highlight w:val="none"/>
        </w:rPr>
        <w:t>，</w:t>
      </w:r>
      <w:r>
        <w:rPr>
          <w:rFonts w:hint="eastAsia" w:hAnsi="宋体" w:cs="宋体"/>
          <w:color w:val="auto"/>
          <w:sz w:val="21"/>
          <w:szCs w:val="21"/>
          <w:highlight w:val="none"/>
        </w:rPr>
        <w:t>保持良好的现场环境</w:t>
      </w:r>
      <w:r>
        <w:rPr>
          <w:rFonts w:hint="eastAsia" w:hAnsi="宋体" w:cs="宋体"/>
          <w:color w:val="auto"/>
          <w:spacing w:val="-12"/>
          <w:sz w:val="21"/>
          <w:szCs w:val="21"/>
          <w:highlight w:val="none"/>
        </w:rPr>
        <w:t>，</w:t>
      </w:r>
      <w:r>
        <w:rPr>
          <w:rFonts w:hint="eastAsia" w:hAnsi="宋体" w:cs="宋体"/>
          <w:color w:val="auto"/>
          <w:sz w:val="21"/>
          <w:szCs w:val="21"/>
          <w:highlight w:val="none"/>
        </w:rPr>
        <w:t>生活区的工人宿舍</w:t>
      </w:r>
      <w:r>
        <w:rPr>
          <w:rFonts w:hint="eastAsia" w:hAnsi="宋体" w:cs="宋体"/>
          <w:color w:val="auto"/>
          <w:spacing w:val="-12"/>
          <w:sz w:val="21"/>
          <w:szCs w:val="21"/>
          <w:highlight w:val="none"/>
        </w:rPr>
        <w:t>、</w:t>
      </w:r>
      <w:r>
        <w:rPr>
          <w:rFonts w:hint="eastAsia" w:hAnsi="宋体" w:cs="宋体"/>
          <w:color w:val="auto"/>
          <w:sz w:val="21"/>
          <w:szCs w:val="21"/>
          <w:highlight w:val="none"/>
        </w:rPr>
        <w:t>厨房等场所要经常打扫，定期消毒，栽花种草，美化环境。</w:t>
      </w:r>
    </w:p>
    <w:p>
      <w:pPr>
        <w:spacing w:line="360" w:lineRule="auto"/>
        <w:ind w:right="197" w:firstLine="400" w:firstLineChars="200"/>
        <w:rPr>
          <w:rFonts w:hAnsi="宋体" w:cs="宋体"/>
          <w:color w:val="auto"/>
          <w:spacing w:val="-5"/>
          <w:sz w:val="21"/>
          <w:szCs w:val="21"/>
          <w:highlight w:val="none"/>
        </w:rPr>
      </w:pPr>
      <w:r>
        <w:rPr>
          <w:rFonts w:hint="eastAsia" w:hAnsi="宋体" w:cs="宋体"/>
          <w:color w:val="auto"/>
          <w:spacing w:val="-5"/>
          <w:sz w:val="21"/>
          <w:szCs w:val="21"/>
          <w:highlight w:val="none"/>
          <w:lang w:eastAsia="zh-CN"/>
        </w:rPr>
        <w:t>（</w:t>
      </w:r>
      <w:r>
        <w:rPr>
          <w:rFonts w:hint="eastAsia" w:hAnsi="宋体" w:cs="宋体"/>
          <w:color w:val="auto"/>
          <w:spacing w:val="-5"/>
          <w:sz w:val="21"/>
          <w:szCs w:val="21"/>
          <w:highlight w:val="none"/>
          <w:lang w:val="en-US" w:eastAsia="zh-CN"/>
        </w:rPr>
        <w:t>10</w:t>
      </w:r>
      <w:r>
        <w:rPr>
          <w:rFonts w:hint="eastAsia" w:hAnsi="宋体" w:cs="宋体"/>
          <w:color w:val="auto"/>
          <w:spacing w:val="-5"/>
          <w:sz w:val="21"/>
          <w:szCs w:val="21"/>
          <w:highlight w:val="none"/>
          <w:lang w:eastAsia="zh-CN"/>
        </w:rPr>
        <w:t>）</w:t>
      </w:r>
      <w:r>
        <w:rPr>
          <w:rFonts w:hint="eastAsia" w:hAnsi="宋体" w:cs="宋体"/>
          <w:color w:val="auto"/>
          <w:spacing w:val="-5"/>
          <w:sz w:val="21"/>
          <w:szCs w:val="21"/>
          <w:highlight w:val="none"/>
        </w:rPr>
        <w:t>保证施工场地清洁符合环境卫生管理的有关规定，交工前清洁施工现场，承担因自身原因违反有关规定造成的损失和罚款，本项目环境保护应符合国家及行业相关标准。施工现场需成立、除臭小组，配备足额的除臭设备，灭蝇，灭蚊设备，定期消杀。</w:t>
      </w:r>
    </w:p>
    <w:p>
      <w:pPr>
        <w:tabs>
          <w:tab w:val="left" w:pos="927"/>
        </w:tabs>
        <w:spacing w:line="360" w:lineRule="auto"/>
        <w:ind w:firstLine="372" w:firstLineChars="200"/>
        <w:rPr>
          <w:rFonts w:hAnsi="宋体" w:cs="宋体"/>
          <w:b/>
          <w:color w:val="auto"/>
          <w:sz w:val="21"/>
          <w:szCs w:val="21"/>
          <w:highlight w:val="none"/>
        </w:rPr>
      </w:pPr>
      <w:r>
        <w:rPr>
          <w:rFonts w:hint="eastAsia" w:hAnsi="宋体" w:cs="宋体"/>
          <w:color w:val="auto"/>
          <w:spacing w:val="-12"/>
          <w:sz w:val="21"/>
          <w:szCs w:val="21"/>
          <w:highlight w:val="none"/>
          <w:lang w:val="en-US" w:eastAsia="zh-CN"/>
        </w:rPr>
        <w:t>（11）</w:t>
      </w:r>
      <w:r>
        <w:rPr>
          <w:rFonts w:hint="eastAsia" w:hAnsi="宋体" w:cs="宋体"/>
          <w:color w:val="auto"/>
          <w:sz w:val="21"/>
          <w:szCs w:val="21"/>
          <w:highlight w:val="none"/>
        </w:rPr>
        <w:t>工程竣工后</w:t>
      </w:r>
      <w:r>
        <w:rPr>
          <w:rFonts w:hint="eastAsia" w:hAnsi="宋体" w:cs="宋体"/>
          <w:color w:val="auto"/>
          <w:spacing w:val="-12"/>
          <w:sz w:val="21"/>
          <w:szCs w:val="21"/>
          <w:highlight w:val="none"/>
        </w:rPr>
        <w:t>，</w:t>
      </w:r>
      <w:r>
        <w:rPr>
          <w:rFonts w:hint="eastAsia" w:hAnsi="宋体" w:cs="宋体"/>
          <w:color w:val="auto"/>
          <w:sz w:val="21"/>
          <w:szCs w:val="21"/>
          <w:highlight w:val="none"/>
        </w:rPr>
        <w:t>施工企业应当在一个月内拆除工地围挡</w:t>
      </w:r>
      <w:r>
        <w:rPr>
          <w:rFonts w:hint="eastAsia" w:hAnsi="宋体" w:cs="宋体"/>
          <w:color w:val="auto"/>
          <w:spacing w:val="-12"/>
          <w:sz w:val="21"/>
          <w:szCs w:val="21"/>
          <w:highlight w:val="none"/>
        </w:rPr>
        <w:t>、</w:t>
      </w:r>
      <w:r>
        <w:rPr>
          <w:rFonts w:hint="eastAsia" w:hAnsi="宋体" w:cs="宋体"/>
          <w:color w:val="auto"/>
          <w:sz w:val="21"/>
          <w:szCs w:val="21"/>
          <w:highlight w:val="none"/>
        </w:rPr>
        <w:t>安全防护设施和其他临时设施，做到工完、料净、场地清。</w:t>
      </w:r>
    </w:p>
    <w:p>
      <w:pPr>
        <w:spacing w:line="360" w:lineRule="auto"/>
        <w:ind w:right="-40"/>
        <w:jc w:val="center"/>
        <w:rPr>
          <w:rFonts w:hAnsi="宋体" w:cs="宋体"/>
          <w:b/>
          <w:color w:val="auto"/>
          <w:spacing w:val="2"/>
          <w:w w:val="99"/>
          <w:position w:val="-3"/>
          <w:sz w:val="21"/>
          <w:szCs w:val="21"/>
          <w:highlight w:val="none"/>
        </w:rPr>
      </w:pPr>
      <w:r>
        <w:rPr>
          <w:rFonts w:hint="eastAsia" w:hAnsi="宋体" w:cs="宋体"/>
          <w:b/>
          <w:color w:val="auto"/>
          <w:spacing w:val="2"/>
          <w:w w:val="99"/>
          <w:position w:val="-3"/>
          <w:sz w:val="21"/>
          <w:szCs w:val="21"/>
          <w:highlight w:val="none"/>
          <w:lang w:val="en-US" w:eastAsia="zh-CN"/>
        </w:rPr>
        <w:t>12.8</w:t>
      </w:r>
      <w:r>
        <w:rPr>
          <w:rFonts w:hint="eastAsia" w:hAnsi="宋体" w:cs="宋体"/>
          <w:b/>
          <w:color w:val="auto"/>
          <w:spacing w:val="2"/>
          <w:w w:val="99"/>
          <w:position w:val="-3"/>
          <w:sz w:val="21"/>
          <w:szCs w:val="21"/>
          <w:highlight w:val="none"/>
        </w:rPr>
        <w:t xml:space="preserve"> 安全管理</w:t>
      </w:r>
    </w:p>
    <w:p>
      <w:pPr>
        <w:snapToGrid w:val="0"/>
        <w:spacing w:line="360" w:lineRule="auto"/>
        <w:ind w:firstLine="420" w:firstLineChars="200"/>
        <w:rPr>
          <w:rFonts w:hAnsi="宋体" w:cs="宋体"/>
          <w:color w:val="auto"/>
          <w:sz w:val="21"/>
          <w:szCs w:val="21"/>
          <w:highlight w:val="none"/>
        </w:rPr>
      </w:pPr>
      <w:bookmarkStart w:id="218" w:name="_Toc20726413"/>
      <w:bookmarkEnd w:id="218"/>
      <w:bookmarkStart w:id="219" w:name="_Toc433125995"/>
      <w:bookmarkEnd w:id="219"/>
      <w:bookmarkStart w:id="220" w:name="_Toc504924422"/>
      <w:bookmarkEnd w:id="220"/>
      <w:bookmarkStart w:id="221" w:name="_Toc440623467"/>
      <w:bookmarkEnd w:id="221"/>
      <w:bookmarkStart w:id="222" w:name="_Toc440648949"/>
      <w:bookmarkEnd w:id="222"/>
      <w:bookmarkStart w:id="223" w:name="_Toc440648644"/>
      <w:bookmarkEnd w:id="223"/>
      <w:bookmarkStart w:id="224" w:name="_Toc440649916"/>
      <w:bookmarkEnd w:id="224"/>
      <w:bookmarkStart w:id="225" w:name="_Toc440530397"/>
      <w:bookmarkEnd w:id="225"/>
      <w:bookmarkStart w:id="226" w:name="_Toc504924438"/>
      <w:bookmarkEnd w:id="226"/>
      <w:bookmarkStart w:id="227" w:name="_Toc440623259"/>
      <w:bookmarkEnd w:id="227"/>
      <w:bookmarkStart w:id="228" w:name="_Toc440652153"/>
      <w:bookmarkEnd w:id="228"/>
      <w:bookmarkStart w:id="229" w:name="_Toc440645518"/>
      <w:bookmarkEnd w:id="229"/>
      <w:bookmarkStart w:id="230" w:name="_Toc440648574"/>
      <w:bookmarkEnd w:id="230"/>
      <w:bookmarkStart w:id="231" w:name="_Toc440646027"/>
      <w:bookmarkEnd w:id="231"/>
      <w:bookmarkStart w:id="232" w:name="_Toc504028696"/>
      <w:bookmarkEnd w:id="232"/>
      <w:bookmarkStart w:id="233" w:name="_Toc440623105"/>
      <w:bookmarkEnd w:id="233"/>
      <w:bookmarkStart w:id="234" w:name="_Toc503944312"/>
      <w:bookmarkEnd w:id="234"/>
      <w:bookmarkStart w:id="235" w:name="_Toc440648538"/>
      <w:bookmarkEnd w:id="235"/>
      <w:bookmarkStart w:id="236" w:name="_Toc441234913"/>
      <w:bookmarkEnd w:id="236"/>
      <w:bookmarkStart w:id="237" w:name="_Toc513756565"/>
      <w:bookmarkEnd w:id="237"/>
      <w:bookmarkStart w:id="238" w:name="_Toc20575583"/>
      <w:bookmarkEnd w:id="238"/>
      <w:bookmarkStart w:id="239" w:name="_Toc145512390"/>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应按照市建设行政主管部门发布的施工安全文明施工措施费清单管理与支付办法，编制安全文明施工措施费清单并向中标人支付安全文明措施费。</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应对其在施工现场的工作人员进行安全教育，并对他们的安全负责。</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3</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不得要求中标人违反安全文明施工的规定进行施工。</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4</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应按照</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提供的安全文明施工措施费清单，制定合理的安全文明施工措施和方案，并以书面形式提交给工程师。</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应按照安全文明施工标准组织施工，采取必要的安全防护措施，消除事故隐患，并随时接受行业安全检查人员依法实施的监督检查。</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5</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安全生产管理机构和专职安全生产管理人员负责对施工企业现场安全文明措施的组织实施进行现场监督检查，并及时向</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和建设行政主管部门反映情况。</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6</w:t>
      </w:r>
      <w:r>
        <w:rPr>
          <w:rFonts w:hint="eastAsia" w:hAnsi="宋体" w:cs="宋体"/>
          <w:color w:val="auto"/>
          <w:sz w:val="21"/>
          <w:szCs w:val="21"/>
          <w:highlight w:val="none"/>
          <w:lang w:eastAsia="zh-CN"/>
        </w:rPr>
        <w:t>）</w:t>
      </w:r>
      <w:r>
        <w:rPr>
          <w:rFonts w:hint="eastAsia" w:hAnsi="宋体" w:cs="宋体"/>
          <w:color w:val="auto"/>
          <w:sz w:val="21"/>
          <w:szCs w:val="21"/>
          <w:highlight w:val="none"/>
        </w:rPr>
        <w:t>由于</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原因造成的安全事故，由</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承担相应责任及发生的费用，工期不予顺延。</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7</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对</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落实施工企业现场安全文明措施情况进行现场监督。对</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已经落实的施工企业现场安全文明措施，及时审查确认。如</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未落实施工组织设计及专项施工方案中安全防护和文明施工措施的，</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有权责令其立即整改，必要时责令暂停施工。</w:t>
      </w:r>
    </w:p>
    <w:p>
      <w:pPr>
        <w:snapToGrid w:val="0"/>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8</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应将其作业限制在现场内。在施工期间，</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应保持现场没有障碍物，妥善存放和处理材料设备和</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装备，及时从现场清除并运走任何残物、垃圾和不再需要的临时工程。</w:t>
      </w:r>
    </w:p>
    <w:p>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9</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应确保施工现场安全文明措施费专款专用，在财务管理中单独列出施工企业现场安全文明措施项目费用清单及金额备查，并设立单独的安全文明措施费银行账户，接受</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的监管。</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应当按照分包合同约定及时向分包人支付施工现场安全文明措施费。</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不按约定支付费用，造成分包人不能及时落实安全防护措施导致发生事故的，由</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负主要责任。</w:t>
      </w:r>
      <w:bookmarkEnd w:id="239"/>
    </w:p>
    <w:p>
      <w:pPr>
        <w:tabs>
          <w:tab w:val="left" w:pos="7226"/>
        </w:tabs>
        <w:spacing w:line="360" w:lineRule="auto"/>
        <w:rPr>
          <w:rFonts w:hAnsi="宋体" w:cs="宋体"/>
          <w:color w:val="auto"/>
          <w:sz w:val="21"/>
          <w:szCs w:val="21"/>
          <w:highlight w:val="none"/>
          <w:lang w:val="zh-CN"/>
        </w:rPr>
      </w:pPr>
    </w:p>
    <w:p>
      <w:pPr>
        <w:numPr>
          <w:ilvl w:val="-1"/>
          <w:numId w:val="0"/>
        </w:numPr>
        <w:rPr>
          <w:rFonts w:hint="eastAsia"/>
          <w:color w:val="auto"/>
          <w:highlight w:val="none"/>
        </w:rPr>
      </w:pPr>
    </w:p>
    <w:p>
      <w:pPr>
        <w:pStyle w:val="4"/>
        <w:keepNext/>
        <w:keepLines/>
        <w:pageBreakBefore/>
        <w:numPr>
          <w:ilvl w:val="0"/>
          <w:numId w:val="16"/>
        </w:numPr>
        <w:spacing w:line="360" w:lineRule="auto"/>
        <w:jc w:val="center"/>
        <w:rPr>
          <w:rFonts w:hAnsi="宋体"/>
          <w:b/>
          <w:bCs/>
          <w:color w:val="auto"/>
          <w:kern w:val="44"/>
          <w:sz w:val="28"/>
          <w:szCs w:val="28"/>
          <w:highlight w:val="none"/>
          <w:lang w:val="zh-CN"/>
        </w:rPr>
      </w:pPr>
      <w:bookmarkStart w:id="240" w:name="_Toc29817"/>
      <w:r>
        <w:rPr>
          <w:rFonts w:hint="eastAsia" w:hAnsi="宋体"/>
          <w:b/>
          <w:bCs/>
          <w:color w:val="auto"/>
          <w:kern w:val="44"/>
          <w:sz w:val="28"/>
          <w:szCs w:val="28"/>
          <w:highlight w:val="none"/>
          <w:lang w:val="zh-CN"/>
        </w:rPr>
        <w:t>评审工作大纲</w:t>
      </w:r>
      <w:bookmarkEnd w:id="240"/>
    </w:p>
    <w:p>
      <w:pPr>
        <w:pStyle w:val="2"/>
        <w:spacing w:line="360" w:lineRule="auto"/>
        <w:ind w:firstLine="422" w:firstLineChars="200"/>
        <w:jc w:val="both"/>
        <w:rPr>
          <w:rFonts w:hAnsi="宋体"/>
          <w:color w:val="auto"/>
          <w:sz w:val="21"/>
          <w:szCs w:val="21"/>
          <w:highlight w:val="none"/>
        </w:rPr>
      </w:pPr>
      <w:r>
        <w:rPr>
          <w:rFonts w:hint="eastAsia" w:hAnsi="宋体"/>
          <w:color w:val="auto"/>
          <w:sz w:val="21"/>
          <w:szCs w:val="21"/>
          <w:highlight w:val="none"/>
        </w:rPr>
        <w:t>一、磋商小组对响应文件进行初审，初审包括资格性审查和符合性审查。</w:t>
      </w:r>
    </w:p>
    <w:tbl>
      <w:tblPr>
        <w:tblStyle w:val="52"/>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5"/>
              <w:spacing w:beforeLines="50"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审查项目</w:t>
            </w:r>
          </w:p>
        </w:tc>
        <w:tc>
          <w:tcPr>
            <w:tcW w:w="5801" w:type="dxa"/>
            <w:vAlign w:val="center"/>
          </w:tcPr>
          <w:p>
            <w:pPr>
              <w:pStyle w:val="145"/>
              <w:spacing w:beforeLines="50"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内容</w:t>
            </w:r>
          </w:p>
        </w:tc>
        <w:tc>
          <w:tcPr>
            <w:tcW w:w="1230" w:type="dxa"/>
          </w:tcPr>
          <w:p>
            <w:pPr>
              <w:pStyle w:val="145"/>
              <w:spacing w:beforeLines="50"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5"/>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资格性审查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资格瑕疵</w:t>
            </w:r>
          </w:p>
        </w:tc>
        <w:tc>
          <w:tcPr>
            <w:tcW w:w="1230" w:type="dxa"/>
          </w:tcPr>
          <w:p>
            <w:pPr>
              <w:pStyle w:val="145"/>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5"/>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磋商保证金瑕疵</w:t>
            </w:r>
          </w:p>
        </w:tc>
        <w:tc>
          <w:tcPr>
            <w:tcW w:w="1230" w:type="dxa"/>
          </w:tcPr>
          <w:p>
            <w:pPr>
              <w:pStyle w:val="145"/>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5"/>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符合性审查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供应商代表身份审查</w:t>
            </w:r>
          </w:p>
        </w:tc>
        <w:tc>
          <w:tcPr>
            <w:tcW w:w="1230" w:type="dxa"/>
          </w:tcPr>
          <w:p>
            <w:pPr>
              <w:pStyle w:val="145"/>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5"/>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磋商响应文件的有效性、完整性瑕疵</w:t>
            </w:r>
          </w:p>
        </w:tc>
        <w:tc>
          <w:tcPr>
            <w:tcW w:w="1230" w:type="dxa"/>
          </w:tcPr>
          <w:p>
            <w:pPr>
              <w:pStyle w:val="145"/>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5"/>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技术响应瑕疵</w:t>
            </w:r>
          </w:p>
        </w:tc>
        <w:tc>
          <w:tcPr>
            <w:tcW w:w="1230" w:type="dxa"/>
          </w:tcPr>
          <w:p>
            <w:pPr>
              <w:pStyle w:val="145"/>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5"/>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商务响应瑕疵</w:t>
            </w:r>
          </w:p>
        </w:tc>
        <w:tc>
          <w:tcPr>
            <w:tcW w:w="1230" w:type="dxa"/>
          </w:tcPr>
          <w:p>
            <w:pPr>
              <w:pStyle w:val="145"/>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5"/>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报价</w:t>
            </w:r>
          </w:p>
        </w:tc>
        <w:tc>
          <w:tcPr>
            <w:tcW w:w="1230" w:type="dxa"/>
          </w:tcPr>
          <w:p>
            <w:pPr>
              <w:pStyle w:val="145"/>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5"/>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违规行为</w:t>
            </w:r>
          </w:p>
        </w:tc>
        <w:tc>
          <w:tcPr>
            <w:tcW w:w="1230" w:type="dxa"/>
          </w:tcPr>
          <w:p>
            <w:pPr>
              <w:pStyle w:val="145"/>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5"/>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法律法规及磋商文件中规定的其它情形。</w:t>
            </w:r>
          </w:p>
        </w:tc>
        <w:tc>
          <w:tcPr>
            <w:tcW w:w="1230" w:type="dxa"/>
          </w:tcPr>
          <w:p>
            <w:pPr>
              <w:pStyle w:val="145"/>
              <w:spacing w:line="360" w:lineRule="auto"/>
              <w:ind w:firstLine="0" w:firstLineChars="0"/>
              <w:jc w:val="left"/>
              <w:rPr>
                <w:rFonts w:ascii="宋体" w:hAnsi="宋体"/>
                <w:bCs/>
                <w:color w:val="auto"/>
                <w:szCs w:val="21"/>
                <w:highlight w:val="none"/>
              </w:rPr>
            </w:pPr>
          </w:p>
        </w:tc>
      </w:tr>
    </w:tbl>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（一）资格性检查</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1)资格瑕疵</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①资格证明文件未提供或不符合磋商文件要求的；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②供应商与采购人、采购代理机构有利害关系的。</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2)磋商保证金瑕疵</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①供应商未提交磋商文件保证金或金额不足；</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②提交方式、提交时间不符合采购要求；</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③磋商文件保证金有效期不符合采购要求的。</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（二）符合性检查</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1)供应商代表身份审查</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①供应商代表无有效授权；</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②核对供应商代表身份时，不能提供相应的身份证明或不相符。</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2)响应文件的有效性、完整性瑕疵</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①响应文件的数量、制作、密封、标记不符合要求；</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②响应文件无法定代表人或其授权代表签字，或签字人无法定代表人有效授权的；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③签字盖章不符合磋商文件要求的；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④响应文件内容有严重缺漏项的；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⑤</w:t>
      </w:r>
      <w:r>
        <w:rPr>
          <w:rFonts w:hint="eastAsia" w:hAnsi="宋体"/>
          <w:b w:val="0"/>
          <w:bCs w:val="0"/>
          <w:color w:val="auto"/>
          <w:sz w:val="21"/>
          <w:szCs w:val="21"/>
          <w:highlight w:val="none"/>
          <w:lang w:eastAsia="zh-CN"/>
        </w:rPr>
        <w:t>响应</w:t>
      </w:r>
      <w:r>
        <w:rPr>
          <w:rFonts w:hint="eastAsia" w:hAnsi="宋体"/>
          <w:b w:val="0"/>
          <w:bCs w:val="0"/>
          <w:color w:val="auto"/>
          <w:sz w:val="21"/>
          <w:szCs w:val="21"/>
          <w:highlight w:val="none"/>
        </w:rPr>
        <w:t>报价明显低于其他通过</w:t>
      </w:r>
      <w:r>
        <w:rPr>
          <w:rFonts w:hint="eastAsia" w:hAnsi="宋体"/>
          <w:b w:val="0"/>
          <w:bCs w:val="0"/>
          <w:color w:val="auto"/>
          <w:sz w:val="21"/>
          <w:szCs w:val="21"/>
          <w:highlight w:val="none"/>
          <w:lang w:eastAsia="zh-CN"/>
        </w:rPr>
        <w:t>资格</w:t>
      </w:r>
      <w:r>
        <w:rPr>
          <w:rFonts w:hint="eastAsia" w:hAnsi="宋体"/>
          <w:b w:val="0"/>
          <w:bCs w:val="0"/>
          <w:color w:val="auto"/>
          <w:sz w:val="21"/>
          <w:szCs w:val="21"/>
          <w:highlight w:val="none"/>
        </w:rPr>
        <w:t>性审查</w:t>
      </w:r>
      <w:r>
        <w:rPr>
          <w:rFonts w:hint="eastAsia" w:hAnsi="宋体"/>
          <w:b w:val="0"/>
          <w:bCs w:val="0"/>
          <w:color w:val="auto"/>
          <w:sz w:val="21"/>
          <w:szCs w:val="21"/>
          <w:highlight w:val="none"/>
          <w:lang w:eastAsia="zh-CN"/>
        </w:rPr>
        <w:t>供应商</w:t>
      </w:r>
      <w:r>
        <w:rPr>
          <w:rFonts w:hint="eastAsia" w:hAnsi="宋体"/>
          <w:b w:val="0"/>
          <w:bCs w:val="0"/>
          <w:color w:val="auto"/>
          <w:sz w:val="21"/>
          <w:szCs w:val="21"/>
          <w:highlight w:val="none"/>
        </w:rPr>
        <w:t>的报价，且</w:t>
      </w:r>
      <w:r>
        <w:rPr>
          <w:rFonts w:hint="eastAsia" w:hAnsi="宋体"/>
          <w:b w:val="0"/>
          <w:bCs w:val="0"/>
          <w:color w:val="auto"/>
          <w:sz w:val="21"/>
          <w:szCs w:val="21"/>
          <w:highlight w:val="none"/>
          <w:lang w:eastAsia="zh-CN"/>
        </w:rPr>
        <w:t>响应</w:t>
      </w:r>
      <w:r>
        <w:rPr>
          <w:rFonts w:hint="eastAsia" w:hAnsi="宋体"/>
          <w:b w:val="0"/>
          <w:bCs w:val="0"/>
          <w:color w:val="auto"/>
          <w:sz w:val="21"/>
          <w:szCs w:val="21"/>
          <w:highlight w:val="none"/>
        </w:rPr>
        <w:t>人不能证明其报价合理性的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lang w:eastAsia="zh-CN"/>
        </w:rPr>
        <w:t>⑥</w:t>
      </w:r>
      <w:r>
        <w:rPr>
          <w:rFonts w:hint="eastAsia" w:hAnsi="宋体"/>
          <w:b w:val="0"/>
          <w:bCs w:val="0"/>
          <w:color w:val="auto"/>
          <w:sz w:val="21"/>
          <w:szCs w:val="21"/>
          <w:highlight w:val="none"/>
        </w:rPr>
        <w:t>报价有严重缺漏项的；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lang w:eastAsia="zh-CN"/>
        </w:rPr>
        <w:t>⑦</w:t>
      </w:r>
      <w:r>
        <w:rPr>
          <w:rFonts w:hint="eastAsia" w:hAnsi="宋体"/>
          <w:b w:val="0"/>
          <w:bCs w:val="0"/>
          <w:color w:val="auto"/>
          <w:sz w:val="21"/>
          <w:szCs w:val="21"/>
          <w:highlight w:val="none"/>
        </w:rPr>
        <w:t>响应文件的关键内容字迹模糊、无法辨认的。</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3)技术响应瑕疵</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①响应文件不满足磋商文件中加注星号（★）的主要参数要求或加注星号的主要参数无技术资料支持的；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②一般参数超出允许偏离的最大范围或最高项数的；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③响应文件技术响应与事实不符或虚假磋商的；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④《技术规格偏离表》填写不明或不实的；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⑤将一个包中的内容拆开磋商的；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⑥供应商对同一货物或服务磋商时，同时提供两套或两套以上的磋商方案的；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⑦明显不符合技术规格、技术标准要求的；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⑧其他未实质性响应磋商文件技术要求的。</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4)商务响应瑕疵</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①磋商文件加注星号（★）的商务要求负偏离的；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②项目完成期未满足磋商文件要求的；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③报价超出采购预算的。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④《商务条款偏离表》填写不明或不实的；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⑤供应商低于成本报价竞标的；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⑥响应文件附有采购人不能接受的条件的；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⑦其他未实质性响应磋商文件商务要求的。</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5）报价</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包括但不限于：报价不得超过本磋商文件明确的项目预算。</w:t>
      </w:r>
    </w:p>
    <w:p>
      <w:pPr>
        <w:pStyle w:val="2"/>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6）违规行为</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①以他人的名义磋商、串通磋商、以行贿手段谋取成交或者以其他弄虚作假方式参与磋商的；</w:t>
      </w:r>
    </w:p>
    <w:p>
      <w:pPr>
        <w:pStyle w:val="2"/>
        <w:spacing w:line="360" w:lineRule="auto"/>
        <w:ind w:firstLine="420" w:firstLineChars="200"/>
        <w:jc w:val="left"/>
        <w:rPr>
          <w:rFonts w:hint="eastAsia" w:hAnsi="宋体"/>
          <w:b w:val="0"/>
          <w:bCs w:val="0"/>
          <w:color w:val="auto"/>
          <w:sz w:val="21"/>
          <w:szCs w:val="21"/>
          <w:highlight w:val="none"/>
        </w:rPr>
      </w:pPr>
      <w:r>
        <w:rPr>
          <w:rFonts w:hint="eastAsia" w:hAnsi="宋体"/>
          <w:b w:val="0"/>
          <w:bCs w:val="0"/>
          <w:color w:val="auto"/>
          <w:sz w:val="21"/>
          <w:szCs w:val="21"/>
          <w:highlight w:val="none"/>
        </w:rPr>
        <w:t>②拒不按照要求对响应文件进行澄清、说明或者补正的；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③扰乱开标、评标秩序，干扰磋商工作正常进行的。</w:t>
      </w:r>
    </w:p>
    <w:p>
      <w:pPr>
        <w:pStyle w:val="2"/>
        <w:numPr>
          <w:ilvl w:val="0"/>
          <w:numId w:val="17"/>
        </w:numPr>
        <w:spacing w:line="360" w:lineRule="auto"/>
        <w:ind w:firstLine="422" w:firstLineChars="200"/>
        <w:jc w:val="left"/>
        <w:rPr>
          <w:rFonts w:hAnsi="宋体"/>
          <w:b/>
          <w:bCs/>
          <w:color w:val="auto"/>
          <w:sz w:val="21"/>
          <w:szCs w:val="21"/>
          <w:highlight w:val="none"/>
        </w:rPr>
      </w:pPr>
      <w:r>
        <w:rPr>
          <w:rFonts w:hint="eastAsia" w:hAnsi="宋体"/>
          <w:b/>
          <w:bCs/>
          <w:color w:val="auto"/>
          <w:sz w:val="21"/>
          <w:szCs w:val="21"/>
          <w:highlight w:val="none"/>
        </w:rPr>
        <w:t>法律法规及磋商文件中规定的其它情形。</w:t>
      </w:r>
    </w:p>
    <w:p>
      <w:pPr>
        <w:pStyle w:val="2"/>
        <w:numPr>
          <w:ilvl w:val="0"/>
          <w:numId w:val="11"/>
        </w:numP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经过磋商阶段后，磋商小组按照磋商文件确定的评审标准和方法对提交最后报价的供应商的响应文件进行评审和比较，推荐候选成交供应商，</w:t>
      </w:r>
      <w:r>
        <w:rPr>
          <w:rFonts w:hint="eastAsia" w:hAnsi="宋体"/>
          <w:color w:val="auto"/>
          <w:sz w:val="21"/>
          <w:szCs w:val="21"/>
          <w:highlight w:val="none"/>
          <w:lang w:eastAsia="zh-CN"/>
        </w:rPr>
        <w:t>编制</w:t>
      </w:r>
      <w:r>
        <w:rPr>
          <w:rFonts w:hint="eastAsia" w:hAnsi="宋体"/>
          <w:color w:val="auto"/>
          <w:sz w:val="21"/>
          <w:szCs w:val="21"/>
          <w:highlight w:val="none"/>
        </w:rPr>
        <w:t>评审报告。</w:t>
      </w:r>
    </w:p>
    <w:p>
      <w:pPr>
        <w:pStyle w:val="29"/>
        <w:spacing w:line="360" w:lineRule="auto"/>
        <w:ind w:firstLine="422" w:firstLineChars="200"/>
        <w:rPr>
          <w:rFonts w:hAnsi="宋体"/>
          <w:b/>
          <w:bCs/>
          <w:color w:val="auto"/>
          <w:szCs w:val="21"/>
          <w:highlight w:val="none"/>
        </w:rPr>
      </w:pPr>
      <w:r>
        <w:rPr>
          <w:rFonts w:hint="eastAsia" w:hAnsi="宋体"/>
          <w:b/>
          <w:bCs/>
          <w:color w:val="auto"/>
          <w:szCs w:val="21"/>
          <w:highlight w:val="none"/>
        </w:rPr>
        <w:t>三、评审因素及评分权重</w:t>
      </w:r>
    </w:p>
    <w:p>
      <w:pPr>
        <w:tabs>
          <w:tab w:val="left" w:pos="660"/>
        </w:tabs>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1、评委考核打分的评分因素及分值:总分100分</w:t>
      </w:r>
    </w:p>
    <w:tbl>
      <w:tblPr>
        <w:tblStyle w:val="52"/>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85"/>
        <w:gridCol w:w="759"/>
        <w:gridCol w:w="39"/>
        <w:gridCol w:w="5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6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评分内容</w:t>
            </w:r>
          </w:p>
        </w:tc>
        <w:tc>
          <w:tcPr>
            <w:tcW w:w="79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59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8"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价格评分（</w:t>
            </w:r>
            <w:r>
              <w:rPr>
                <w:rFonts w:hint="eastAsia"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w:t>
            </w:r>
          </w:p>
        </w:tc>
        <w:tc>
          <w:tcPr>
            <w:tcW w:w="759" w:type="dxa"/>
            <w:tcBorders>
              <w:top w:val="single" w:color="auto" w:sz="4" w:space="0"/>
              <w:left w:val="single" w:color="auto" w:sz="4" w:space="0"/>
              <w:bottom w:val="single" w:color="auto" w:sz="4" w:space="0"/>
              <w:right w:val="single" w:color="auto" w:sz="4" w:space="0"/>
            </w:tcBorders>
            <w:vAlign w:val="center"/>
          </w:tcPr>
          <w:p>
            <w:pPr>
              <w:pStyle w:val="48"/>
              <w:spacing w:before="0" w:beforeAutospacing="0" w:after="0" w:afterAutospacing="0" w:line="360" w:lineRule="auto"/>
              <w:jc w:val="center"/>
              <w:rPr>
                <w:rFonts w:hint="eastAsia" w:ascii="宋体" w:hAnsi="宋体" w:eastAsia="宋体" w:cs="宋体"/>
                <w:color w:val="auto"/>
                <w:sz w:val="21"/>
                <w:szCs w:val="21"/>
                <w:highlight w:val="none"/>
              </w:rPr>
            </w:pPr>
            <w:r>
              <w:rPr>
                <w:rFonts w:hint="eastAsia"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en-US" w:eastAsia="zh-CN"/>
              </w:rPr>
              <w:t>0</w:t>
            </w:r>
            <w:r>
              <w:rPr>
                <w:rFonts w:hint="eastAsia" w:ascii="宋体" w:hAnsi="宋体" w:eastAsia="宋体" w:cs="宋体"/>
                <w:color w:val="auto"/>
                <w:kern w:val="2"/>
                <w:sz w:val="21"/>
                <w:szCs w:val="21"/>
                <w:highlight w:val="none"/>
              </w:rPr>
              <w:t xml:space="preserve">分 </w:t>
            </w:r>
          </w:p>
        </w:tc>
        <w:tc>
          <w:tcPr>
            <w:tcW w:w="59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报价中满足</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文件要求且</w:t>
            </w: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价格最低的报价为评标基准价，其价格分为满分，各</w:t>
            </w:r>
            <w:r>
              <w:rPr>
                <w:rFonts w:hint="eastAsia" w:hAnsi="宋体" w:cs="宋体"/>
                <w:color w:val="auto"/>
                <w:sz w:val="21"/>
                <w:szCs w:val="21"/>
                <w:highlight w:val="none"/>
                <w:lang w:val="en-US" w:eastAsia="zh-CN"/>
              </w:rPr>
              <w:t>响应</w:t>
            </w:r>
            <w:r>
              <w:rPr>
                <w:rFonts w:hint="eastAsia" w:hAnsi="宋体" w:cs="宋体"/>
                <w:color w:val="auto"/>
                <w:sz w:val="21"/>
                <w:szCs w:val="21"/>
                <w:highlight w:val="none"/>
                <w:lang w:eastAsia="zh-CN"/>
              </w:rPr>
              <w:t>人</w:t>
            </w:r>
            <w:r>
              <w:rPr>
                <w:rFonts w:hint="eastAsia" w:ascii="宋体" w:hAnsi="宋体" w:eastAsia="宋体" w:cs="宋体"/>
                <w:color w:val="auto"/>
                <w:sz w:val="21"/>
                <w:szCs w:val="21"/>
                <w:highlight w:val="none"/>
              </w:rPr>
              <w:t>的价格评分统一按照下列公式计算：</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价格得分＝（评标基准价/评标价）×价格分值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评标基准价：满足</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文件要求且</w:t>
            </w: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价格最低的报价。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8"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商务评分（</w:t>
            </w:r>
            <w:r>
              <w:rPr>
                <w:rFonts w:hint="eastAsia" w:ascii="宋体" w:hAnsi="宋体" w:eastAsia="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85" w:type="dxa"/>
            <w:tcBorders>
              <w:top w:val="single" w:color="auto" w:sz="4" w:space="0"/>
              <w:left w:val="single" w:color="auto" w:sz="4" w:space="0"/>
              <w:bottom w:val="single" w:color="auto" w:sz="4" w:space="0"/>
              <w:right w:val="single" w:color="auto" w:sz="4" w:space="0"/>
            </w:tcBorders>
            <w:vAlign w:val="center"/>
          </w:tcPr>
          <w:p>
            <w:pPr>
              <w:pStyle w:val="76"/>
              <w:spacing w:line="360" w:lineRule="auto"/>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企业认证</w:t>
            </w:r>
          </w:p>
        </w:tc>
        <w:tc>
          <w:tcPr>
            <w:tcW w:w="798" w:type="dxa"/>
            <w:gridSpan w:val="2"/>
            <w:tcBorders>
              <w:top w:val="single" w:color="auto" w:sz="4" w:space="0"/>
              <w:left w:val="single" w:color="auto" w:sz="4" w:space="0"/>
              <w:bottom w:val="single" w:color="auto" w:sz="4" w:space="0"/>
              <w:right w:val="single" w:color="auto" w:sz="4" w:space="0"/>
            </w:tcBorders>
            <w:vAlign w:val="center"/>
          </w:tcPr>
          <w:p>
            <w:pPr>
              <w:pStyle w:val="76"/>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tc>
        <w:tc>
          <w:tcPr>
            <w:tcW w:w="5941" w:type="dxa"/>
            <w:tcBorders>
              <w:top w:val="single" w:color="auto" w:sz="4" w:space="0"/>
              <w:left w:val="single" w:color="auto" w:sz="4" w:space="0"/>
              <w:bottom w:val="single" w:color="auto" w:sz="4" w:space="0"/>
              <w:right w:val="single" w:color="auto" w:sz="4" w:space="0"/>
            </w:tcBorders>
            <w:vAlign w:val="center"/>
          </w:tcPr>
          <w:p>
            <w:pPr>
              <w:pStyle w:val="22"/>
              <w:snapToGrid w:val="0"/>
              <w:spacing w:line="360" w:lineRule="auto"/>
              <w:ind w:left="0" w:left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人获得由国家认证认可监督管理部门批准设立的认证机构颁发并在有效期内的ISO质量管理体系认证、环境管理体系认证和职业健康安全管理体系认证的，每个得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pStyle w:val="22"/>
              <w:snapToGrid w:val="0"/>
              <w:spacing w:line="360" w:lineRule="auto"/>
              <w:ind w:left="0" w:leftChars="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注：须提供相关证书复印件并加盖公章。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pStyle w:val="22"/>
              <w:snapToGrid w:val="0"/>
              <w:spacing w:line="360" w:lineRule="auto"/>
              <w:ind w:left="0" w:lef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85" w:type="dxa"/>
            <w:tcBorders>
              <w:top w:val="single" w:color="auto" w:sz="4" w:space="0"/>
              <w:left w:val="single" w:color="auto" w:sz="4" w:space="0"/>
              <w:bottom w:val="single" w:color="auto" w:sz="4" w:space="0"/>
              <w:right w:val="single" w:color="auto" w:sz="4" w:space="0"/>
            </w:tcBorders>
            <w:vAlign w:val="center"/>
          </w:tcPr>
          <w:p>
            <w:pPr>
              <w:pStyle w:val="22"/>
              <w:snapToGrid w:val="0"/>
              <w:spacing w:line="360" w:lineRule="auto"/>
              <w:ind w:left="0" w:left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资质证书</w:t>
            </w:r>
          </w:p>
        </w:tc>
        <w:tc>
          <w:tcPr>
            <w:tcW w:w="798" w:type="dxa"/>
            <w:gridSpan w:val="2"/>
            <w:tcBorders>
              <w:top w:val="single" w:color="auto" w:sz="4" w:space="0"/>
              <w:left w:val="single" w:color="auto" w:sz="4" w:space="0"/>
              <w:bottom w:val="single" w:color="auto" w:sz="4" w:space="0"/>
              <w:right w:val="single" w:color="auto" w:sz="4" w:space="0"/>
            </w:tcBorders>
            <w:vAlign w:val="center"/>
          </w:tcPr>
          <w:p>
            <w:pPr>
              <w:pStyle w:val="22"/>
              <w:snapToGrid w:val="0"/>
              <w:spacing w:line="360" w:lineRule="auto"/>
              <w:ind w:left="0" w:left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3分</w:t>
            </w:r>
          </w:p>
        </w:tc>
        <w:tc>
          <w:tcPr>
            <w:tcW w:w="5941" w:type="dxa"/>
            <w:tcBorders>
              <w:top w:val="single" w:color="auto" w:sz="4" w:space="0"/>
              <w:left w:val="single" w:color="auto" w:sz="4" w:space="0"/>
              <w:bottom w:val="single" w:color="auto" w:sz="4" w:space="0"/>
              <w:right w:val="single" w:color="auto" w:sz="4" w:space="0"/>
            </w:tcBorders>
            <w:vAlign w:val="center"/>
          </w:tcPr>
          <w:p>
            <w:pPr>
              <w:pStyle w:val="22"/>
              <w:snapToGrid w:val="0"/>
              <w:spacing w:line="360" w:lineRule="auto"/>
              <w:ind w:left="0" w:left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人</w:t>
            </w:r>
            <w:r>
              <w:rPr>
                <w:rFonts w:hint="eastAsia" w:ascii="宋体" w:hAnsi="宋体" w:cs="宋体"/>
                <w:color w:val="auto"/>
                <w:sz w:val="21"/>
                <w:szCs w:val="21"/>
                <w:highlight w:val="none"/>
                <w:lang w:eastAsia="zh-CN"/>
              </w:rPr>
              <w:t>具有</w:t>
            </w:r>
            <w:r>
              <w:rPr>
                <w:rFonts w:hint="eastAsia" w:ascii="宋体" w:hAnsi="宋体" w:eastAsia="宋体" w:cs="宋体"/>
                <w:color w:val="auto"/>
                <w:sz w:val="21"/>
                <w:szCs w:val="21"/>
                <w:highlight w:val="none"/>
              </w:rPr>
              <w:t>由</w:t>
            </w:r>
            <w:r>
              <w:rPr>
                <w:rFonts w:hint="eastAsia" w:ascii="宋体" w:hAnsi="宋体" w:cs="宋体"/>
                <w:color w:val="auto"/>
                <w:sz w:val="21"/>
                <w:szCs w:val="21"/>
                <w:highlight w:val="none"/>
                <w:lang w:eastAsia="zh-CN"/>
              </w:rPr>
              <w:t>行政主管</w:t>
            </w:r>
            <w:r>
              <w:rPr>
                <w:rFonts w:hint="eastAsia" w:ascii="宋体" w:hAnsi="宋体" w:eastAsia="宋体" w:cs="宋体"/>
                <w:color w:val="auto"/>
                <w:sz w:val="21"/>
                <w:szCs w:val="21"/>
                <w:highlight w:val="none"/>
              </w:rPr>
              <w:t>部门</w:t>
            </w:r>
            <w:r>
              <w:rPr>
                <w:rFonts w:hint="eastAsia" w:ascii="宋体" w:hAnsi="宋体" w:cs="宋体"/>
                <w:color w:val="auto"/>
                <w:sz w:val="21"/>
                <w:szCs w:val="21"/>
                <w:highlight w:val="none"/>
                <w:lang w:eastAsia="zh-CN"/>
              </w:rPr>
              <w:t>颁发的</w:t>
            </w:r>
            <w:r>
              <w:rPr>
                <w:rFonts w:hint="eastAsia" w:ascii="宋体" w:hAnsi="宋体" w:cs="宋体"/>
                <w:color w:val="auto"/>
                <w:sz w:val="21"/>
                <w:szCs w:val="21"/>
                <w:highlight w:val="none"/>
                <w:lang w:val="en-US" w:eastAsia="zh-CN"/>
              </w:rPr>
              <w:t>安全生产许可证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得3分</w:t>
            </w:r>
            <w:r>
              <w:rPr>
                <w:rFonts w:hint="eastAsia" w:ascii="宋体" w:hAnsi="宋体" w:eastAsia="宋体" w:cs="宋体"/>
                <w:color w:val="auto"/>
                <w:sz w:val="21"/>
                <w:szCs w:val="21"/>
                <w:highlight w:val="none"/>
              </w:rPr>
              <w:t>。</w:t>
            </w:r>
          </w:p>
          <w:p>
            <w:pPr>
              <w:pStyle w:val="22"/>
              <w:snapToGrid w:val="0"/>
              <w:spacing w:line="360" w:lineRule="auto"/>
              <w:ind w:left="0"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注：须提供相关证书复印件并加盖公章。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3</w:t>
            </w:r>
          </w:p>
        </w:tc>
        <w:tc>
          <w:tcPr>
            <w:tcW w:w="1685" w:type="dxa"/>
            <w:tcBorders>
              <w:top w:val="single" w:color="auto" w:sz="4" w:space="0"/>
              <w:left w:val="single" w:color="auto" w:sz="4" w:space="0"/>
              <w:bottom w:val="single" w:color="auto" w:sz="4" w:space="0"/>
              <w:right w:val="single" w:color="auto" w:sz="4" w:space="0"/>
            </w:tcBorders>
            <w:vAlign w:val="center"/>
          </w:tcPr>
          <w:p>
            <w:pPr>
              <w:pStyle w:val="76"/>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业绩</w:t>
            </w:r>
          </w:p>
        </w:tc>
        <w:tc>
          <w:tcPr>
            <w:tcW w:w="798" w:type="dxa"/>
            <w:gridSpan w:val="2"/>
            <w:tcBorders>
              <w:top w:val="single" w:color="auto" w:sz="4" w:space="0"/>
              <w:left w:val="single" w:color="auto" w:sz="4" w:space="0"/>
              <w:bottom w:val="single" w:color="auto" w:sz="4" w:space="0"/>
              <w:right w:val="single" w:color="auto" w:sz="4" w:space="0"/>
            </w:tcBorders>
            <w:vAlign w:val="center"/>
          </w:tcPr>
          <w:p>
            <w:pPr>
              <w:pStyle w:val="76"/>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分</w:t>
            </w:r>
          </w:p>
        </w:tc>
        <w:tc>
          <w:tcPr>
            <w:tcW w:w="5941" w:type="dxa"/>
            <w:tcBorders>
              <w:top w:val="single" w:color="auto" w:sz="4" w:space="0"/>
              <w:left w:val="single" w:color="auto" w:sz="4" w:space="0"/>
              <w:bottom w:val="single" w:color="auto" w:sz="4" w:space="0"/>
              <w:right w:val="single" w:color="auto" w:sz="4" w:space="0"/>
            </w:tcBorders>
            <w:vAlign w:val="center"/>
          </w:tcPr>
          <w:p>
            <w:pPr>
              <w:pStyle w:val="22"/>
              <w:snapToGrid w:val="0"/>
              <w:spacing w:line="360" w:lineRule="auto"/>
              <w:ind w:left="0" w:left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响应</w:t>
            </w:r>
            <w:r>
              <w:rPr>
                <w:rFonts w:hint="eastAsia" w:ascii="宋体" w:hAnsi="宋体" w:eastAsia="宋体" w:cs="宋体"/>
                <w:color w:val="auto"/>
                <w:sz w:val="21"/>
                <w:szCs w:val="21"/>
                <w:highlight w:val="none"/>
              </w:rPr>
              <w:t>人201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年1月1日至今承接过</w:t>
            </w:r>
            <w:r>
              <w:rPr>
                <w:rFonts w:hint="eastAsia" w:ascii="宋体" w:hAnsi="宋体" w:cs="宋体"/>
                <w:color w:val="auto"/>
                <w:sz w:val="21"/>
                <w:szCs w:val="21"/>
                <w:highlight w:val="none"/>
                <w:lang w:val="en-US" w:eastAsia="zh-CN"/>
              </w:rPr>
              <w:t>市政工程（须含土石方或复垦内容）</w:t>
            </w:r>
            <w:r>
              <w:rPr>
                <w:rFonts w:hint="eastAsia" w:ascii="宋体" w:hAnsi="宋体" w:eastAsia="宋体" w:cs="宋体"/>
                <w:color w:val="auto"/>
                <w:sz w:val="21"/>
                <w:szCs w:val="21"/>
                <w:highlight w:val="none"/>
              </w:rPr>
              <w:t>的业绩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每个得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分，最高</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分。未提供的不得分。</w:t>
            </w:r>
          </w:p>
          <w:p>
            <w:pPr>
              <w:pStyle w:val="22"/>
              <w:snapToGrid w:val="0"/>
              <w:spacing w:line="360" w:lineRule="auto"/>
              <w:ind w:left="0" w:left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注：</w:t>
            </w:r>
            <w:r>
              <w:rPr>
                <w:rFonts w:hint="eastAsia" w:ascii="宋体" w:hAnsi="宋体" w:eastAsia="宋体" w:cs="宋体"/>
                <w:color w:val="auto"/>
                <w:sz w:val="21"/>
                <w:szCs w:val="21"/>
                <w:highlight w:val="none"/>
              </w:rPr>
              <w:t>须提供合同复印件加盖公章</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4</w:t>
            </w:r>
          </w:p>
        </w:tc>
        <w:tc>
          <w:tcPr>
            <w:tcW w:w="1685" w:type="dxa"/>
            <w:tcBorders>
              <w:top w:val="single" w:color="auto" w:sz="4" w:space="0"/>
              <w:left w:val="single" w:color="auto" w:sz="4" w:space="0"/>
              <w:bottom w:val="single" w:color="auto" w:sz="4" w:space="0"/>
              <w:right w:val="single" w:color="auto" w:sz="4" w:space="0"/>
            </w:tcBorders>
            <w:vAlign w:val="center"/>
          </w:tcPr>
          <w:p>
            <w:pPr>
              <w:pStyle w:val="76"/>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投入人员</w:t>
            </w:r>
          </w:p>
        </w:tc>
        <w:tc>
          <w:tcPr>
            <w:tcW w:w="798" w:type="dxa"/>
            <w:gridSpan w:val="2"/>
            <w:tcBorders>
              <w:top w:val="single" w:color="auto" w:sz="4" w:space="0"/>
              <w:left w:val="single" w:color="auto" w:sz="4" w:space="0"/>
              <w:bottom w:val="single" w:color="auto" w:sz="4" w:space="0"/>
              <w:right w:val="single" w:color="auto" w:sz="4" w:space="0"/>
            </w:tcBorders>
            <w:vAlign w:val="center"/>
          </w:tcPr>
          <w:p>
            <w:pPr>
              <w:pStyle w:val="76"/>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tc>
        <w:tc>
          <w:tcPr>
            <w:tcW w:w="5941" w:type="dxa"/>
            <w:tcBorders>
              <w:top w:val="single" w:color="auto" w:sz="4" w:space="0"/>
              <w:left w:val="single" w:color="auto" w:sz="4" w:space="0"/>
              <w:bottom w:val="single" w:color="auto" w:sz="4" w:space="0"/>
              <w:right w:val="single" w:color="auto" w:sz="4" w:space="0"/>
            </w:tcBorders>
            <w:vAlign w:val="center"/>
          </w:tcPr>
          <w:p>
            <w:pPr>
              <w:pStyle w:val="22"/>
              <w:numPr>
                <w:ilvl w:val="255"/>
                <w:numId w:val="0"/>
              </w:numPr>
              <w:snapToGrid w:val="0"/>
              <w:spacing w:line="360" w:lineRule="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①拟投入本项目的项目经理具有二级或以上建造师职业资格的，得3分。</w:t>
            </w:r>
          </w:p>
          <w:p>
            <w:pPr>
              <w:pStyle w:val="22"/>
              <w:numPr>
                <w:ilvl w:val="255"/>
                <w:numId w:val="0"/>
              </w:numPr>
              <w:snapToGrid w:val="0"/>
              <w:spacing w:line="360" w:lineRule="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eastAsia="zh-CN"/>
              </w:rPr>
              <w:t>②拟投入本项目的技术负责人具有中级或以上职称的，得6分</w:t>
            </w:r>
            <w:r>
              <w:rPr>
                <w:rFonts w:hint="eastAsia" w:ascii="宋体" w:hAnsi="宋体" w:eastAsia="宋体" w:cs="宋体"/>
                <w:bCs/>
                <w:color w:val="auto"/>
                <w:sz w:val="21"/>
                <w:szCs w:val="21"/>
                <w:highlight w:val="none"/>
                <w:lang w:val="zh-CN"/>
              </w:rPr>
              <w:t>。</w:t>
            </w:r>
          </w:p>
          <w:p>
            <w:pPr>
              <w:pStyle w:val="22"/>
              <w:numPr>
                <w:ilvl w:val="255"/>
                <w:numId w:val="0"/>
              </w:numPr>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lang w:val="zh-CN"/>
              </w:rPr>
              <w:t>注：须提供以上人员证书及开标前6个月（不含开标当月）</w:t>
            </w:r>
            <w:r>
              <w:rPr>
                <w:rFonts w:hint="eastAsia" w:ascii="宋体" w:hAnsi="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zh-CN"/>
              </w:rPr>
              <w:t>人为其缴纳的社保证明复印件(加盖</w:t>
            </w:r>
            <w:r>
              <w:rPr>
                <w:rFonts w:hint="eastAsia" w:ascii="宋体" w:hAnsi="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zh-CN"/>
              </w:rPr>
              <w:t>人公章)</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48"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技术评分（</w:t>
            </w:r>
            <w:r>
              <w:rPr>
                <w:rFonts w:hint="eastAsia"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lang w:val="en-US" w:eastAsia="zh-CN"/>
              </w:rPr>
              <w:t>施工部署及现场平面规划</w:t>
            </w:r>
          </w:p>
        </w:tc>
        <w:tc>
          <w:tcPr>
            <w:tcW w:w="79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auto"/>
                <w:kern w:val="2"/>
                <w:sz w:val="21"/>
                <w:szCs w:val="21"/>
                <w:highlight w:val="none"/>
              </w:rPr>
            </w:pPr>
            <w:r>
              <w:rPr>
                <w:rFonts w:hint="eastAsia" w:hAnsi="宋体" w:cs="宋体"/>
                <w:bCs/>
                <w:color w:val="auto"/>
                <w:kern w:val="2"/>
                <w:sz w:val="21"/>
                <w:szCs w:val="21"/>
                <w:highlight w:val="none"/>
                <w:lang w:val="en-US" w:eastAsia="zh-CN"/>
              </w:rPr>
              <w:t>8</w:t>
            </w:r>
            <w:r>
              <w:rPr>
                <w:rFonts w:hint="eastAsia" w:ascii="宋体" w:hAnsi="宋体" w:eastAsia="宋体" w:cs="宋体"/>
                <w:bCs/>
                <w:color w:val="auto"/>
                <w:kern w:val="2"/>
                <w:sz w:val="21"/>
                <w:szCs w:val="21"/>
                <w:highlight w:val="none"/>
              </w:rPr>
              <w:t>分</w:t>
            </w:r>
          </w:p>
        </w:tc>
        <w:tc>
          <w:tcPr>
            <w:tcW w:w="5941" w:type="dxa"/>
            <w:tcBorders>
              <w:top w:val="single" w:color="auto" w:sz="4" w:space="0"/>
              <w:left w:val="single" w:color="auto" w:sz="4" w:space="0"/>
              <w:bottom w:val="single" w:color="auto" w:sz="4" w:space="0"/>
              <w:right w:val="single" w:color="auto" w:sz="4" w:space="0"/>
            </w:tcBorders>
            <w:vAlign w:val="center"/>
          </w:tcPr>
          <w:p>
            <w:pPr>
              <w:pStyle w:val="2"/>
              <w:spacing w:line="360" w:lineRule="auto"/>
              <w:ind w:right="0"/>
              <w:jc w:val="left"/>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rPr>
              <w:t>根据各</w:t>
            </w:r>
            <w:r>
              <w:rPr>
                <w:rFonts w:hint="eastAsia" w:ascii="宋体" w:hAnsi="宋体" w:cs="宋体"/>
                <w:b w:val="0"/>
                <w:color w:val="auto"/>
                <w:sz w:val="21"/>
                <w:szCs w:val="21"/>
                <w:highlight w:val="none"/>
                <w:lang w:val="en-US" w:eastAsia="zh-CN"/>
              </w:rPr>
              <w:t>响应</w:t>
            </w:r>
            <w:r>
              <w:rPr>
                <w:rFonts w:hint="eastAsia" w:ascii="宋体" w:hAnsi="宋体" w:eastAsia="宋体" w:cs="宋体"/>
                <w:b w:val="0"/>
                <w:color w:val="auto"/>
                <w:sz w:val="21"/>
                <w:szCs w:val="21"/>
                <w:highlight w:val="none"/>
                <w:lang w:val="en-US"/>
              </w:rPr>
              <w:t>人提供的</w:t>
            </w:r>
            <w:r>
              <w:rPr>
                <w:rFonts w:hint="eastAsia" w:ascii="宋体" w:hAnsi="宋体" w:eastAsia="宋体" w:cs="宋体"/>
                <w:b w:val="0"/>
                <w:color w:val="auto"/>
                <w:sz w:val="21"/>
                <w:szCs w:val="21"/>
                <w:highlight w:val="none"/>
              </w:rPr>
              <w:t>施工部署及现场平面规划</w:t>
            </w:r>
            <w:r>
              <w:rPr>
                <w:rFonts w:hint="eastAsia" w:ascii="宋体" w:hAnsi="宋体" w:eastAsia="宋体" w:cs="宋体"/>
                <w:b w:val="0"/>
                <w:color w:val="auto"/>
                <w:sz w:val="21"/>
                <w:szCs w:val="21"/>
                <w:highlight w:val="none"/>
                <w:lang w:val="en-US"/>
              </w:rPr>
              <w:t>的科学性、安全性、可行性、完整性等综合评审：</w:t>
            </w:r>
          </w:p>
          <w:p>
            <w:pPr>
              <w:pStyle w:val="2"/>
              <w:spacing w:line="360" w:lineRule="auto"/>
              <w:ind w:left="211" w:right="0" w:hanging="210" w:hangingChars="10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优：施工部署及现场平面规划</w:t>
            </w:r>
            <w:r>
              <w:rPr>
                <w:rFonts w:hint="eastAsia" w:ascii="宋体" w:hAnsi="宋体" w:eastAsia="宋体" w:cs="宋体"/>
                <w:b w:val="0"/>
                <w:bCs w:val="0"/>
                <w:color w:val="auto"/>
                <w:sz w:val="21"/>
                <w:szCs w:val="21"/>
                <w:highlight w:val="none"/>
                <w:lang w:val="en-US"/>
              </w:rPr>
              <w:t>非常详细、完整，可行、有针对性，有利于项目实施的得</w:t>
            </w:r>
            <w:r>
              <w:rPr>
                <w:rFonts w:hint="eastAsia"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rPr>
              <w:t>分；</w:t>
            </w:r>
          </w:p>
          <w:p>
            <w:pPr>
              <w:pStyle w:val="2"/>
              <w:spacing w:line="360" w:lineRule="auto"/>
              <w:ind w:left="211" w:right="0" w:hanging="210" w:hangingChars="10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良：施工部署及现场平面规划</w:t>
            </w:r>
            <w:r>
              <w:rPr>
                <w:rFonts w:hint="eastAsia" w:ascii="宋体" w:hAnsi="宋体" w:eastAsia="宋体" w:cs="宋体"/>
                <w:b w:val="0"/>
                <w:bCs w:val="0"/>
                <w:color w:val="auto"/>
                <w:sz w:val="21"/>
                <w:szCs w:val="21"/>
                <w:highlight w:val="none"/>
                <w:lang w:val="en-US"/>
              </w:rPr>
              <w:t>比较详细完整、可行，较利于项目实施的得6分；</w:t>
            </w:r>
          </w:p>
          <w:p>
            <w:pPr>
              <w:pStyle w:val="2"/>
              <w:spacing w:line="360" w:lineRule="auto"/>
              <w:ind w:left="211" w:right="0" w:hanging="210" w:hangingChars="10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中：施工部署及现场平面规划</w:t>
            </w:r>
            <w:r>
              <w:rPr>
                <w:rFonts w:hint="eastAsia" w:ascii="宋体" w:hAnsi="宋体" w:eastAsia="宋体" w:cs="宋体"/>
                <w:b w:val="0"/>
                <w:bCs w:val="0"/>
                <w:color w:val="auto"/>
                <w:sz w:val="21"/>
                <w:szCs w:val="21"/>
                <w:highlight w:val="none"/>
                <w:lang w:val="en-US"/>
              </w:rPr>
              <w:t>基本可行，基本满足项目实施需要的得3分；</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差：施工部署及现场平面规划不完整，可行性低，得1分；</w:t>
            </w:r>
          </w:p>
          <w:p>
            <w:pPr>
              <w:spacing w:line="36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没有提供项目组织方案的不得分。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施工组织方案及施工进度计划</w:t>
            </w:r>
          </w:p>
        </w:tc>
        <w:tc>
          <w:tcPr>
            <w:tcW w:w="798" w:type="dxa"/>
            <w:gridSpan w:val="2"/>
            <w:tcBorders>
              <w:top w:val="single" w:color="auto" w:sz="4" w:space="0"/>
              <w:left w:val="single" w:color="auto" w:sz="4" w:space="0"/>
              <w:bottom w:val="single" w:color="auto" w:sz="4" w:space="0"/>
              <w:right w:val="single" w:color="auto" w:sz="4" w:space="0"/>
            </w:tcBorders>
            <w:vAlign w:val="center"/>
          </w:tcPr>
          <w:p>
            <w:pPr>
              <w:pStyle w:val="76"/>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5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cs="宋体"/>
                <w:color w:val="auto"/>
                <w:sz w:val="21"/>
                <w:szCs w:val="21"/>
                <w:highlight w:val="none"/>
                <w:lang w:eastAsia="zh-CN"/>
              </w:rPr>
              <w:t>响应</w:t>
            </w:r>
            <w:r>
              <w:rPr>
                <w:rFonts w:hint="eastAsia" w:ascii="宋体" w:hAnsi="宋体" w:eastAsia="宋体" w:cs="宋体"/>
                <w:color w:val="auto"/>
                <w:sz w:val="21"/>
                <w:szCs w:val="21"/>
                <w:highlight w:val="none"/>
              </w:rPr>
              <w:t>人对本项目拟制定的</w:t>
            </w:r>
            <w:r>
              <w:rPr>
                <w:rFonts w:hint="eastAsia" w:ascii="宋体" w:hAnsi="宋体" w:eastAsia="宋体" w:cs="宋体"/>
                <w:color w:val="auto"/>
                <w:sz w:val="21"/>
                <w:szCs w:val="21"/>
                <w:highlight w:val="none"/>
                <w:lang w:val="en-US" w:eastAsia="zh-CN"/>
              </w:rPr>
              <w:t>施工组织方案及</w:t>
            </w:r>
            <w:r>
              <w:rPr>
                <w:rFonts w:hint="eastAsia" w:ascii="宋体" w:hAnsi="宋体" w:eastAsia="宋体" w:cs="宋体"/>
                <w:color w:val="auto"/>
                <w:sz w:val="21"/>
                <w:szCs w:val="21"/>
                <w:highlight w:val="none"/>
              </w:rPr>
              <w:t>进度计划进行评审：</w:t>
            </w:r>
          </w:p>
          <w:p>
            <w:pPr>
              <w:spacing w:line="360" w:lineRule="auto"/>
              <w:ind w:left="42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优：实施进度计划完整具体，优于用户需求进度计划，保证进度计划的措施可行性高，得</w:t>
            </w: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pPr>
              <w:spacing w:line="360" w:lineRule="auto"/>
              <w:ind w:left="42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良：实施进度计划比较完整具体，符合用户需求进度计划，保证进度计划的措施可行性比较高，得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pPr>
              <w:spacing w:line="360" w:lineRule="auto"/>
              <w:ind w:left="42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中：实施进度计划基本完整，和用户需求进度计划偏离不大，保证进度计划的措施可行性一般，得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spacing w:line="360" w:lineRule="auto"/>
              <w:ind w:left="42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差：实施进度计划不具体，和用户需求进度计划存在较大偏离，保证进度计划的措施可行性低，得1分；</w:t>
            </w:r>
          </w:p>
          <w:p>
            <w:pPr>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未提供实施进度计划不得分。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685" w:type="dxa"/>
            <w:tcBorders>
              <w:top w:val="single" w:color="auto" w:sz="4" w:space="0"/>
              <w:left w:val="single" w:color="auto" w:sz="4" w:space="0"/>
              <w:bottom w:val="single" w:color="auto" w:sz="4" w:space="0"/>
              <w:right w:val="single" w:color="auto" w:sz="4" w:space="0"/>
            </w:tcBorders>
            <w:vAlign w:val="center"/>
          </w:tcPr>
          <w:p>
            <w:pPr>
              <w:pStyle w:val="76"/>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突发事故响应措施保障方案</w:t>
            </w:r>
          </w:p>
        </w:tc>
        <w:tc>
          <w:tcPr>
            <w:tcW w:w="798" w:type="dxa"/>
            <w:gridSpan w:val="2"/>
            <w:tcBorders>
              <w:top w:val="single" w:color="auto" w:sz="4" w:space="0"/>
              <w:left w:val="single" w:color="auto" w:sz="4" w:space="0"/>
              <w:bottom w:val="single" w:color="auto" w:sz="4" w:space="0"/>
              <w:right w:val="single" w:color="auto" w:sz="4" w:space="0"/>
            </w:tcBorders>
            <w:vAlign w:val="center"/>
          </w:tcPr>
          <w:p>
            <w:pPr>
              <w:pStyle w:val="76"/>
              <w:spacing w:line="36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5941" w:type="dxa"/>
            <w:tcBorders>
              <w:top w:val="single" w:color="auto" w:sz="4" w:space="0"/>
              <w:left w:val="single" w:color="auto" w:sz="4" w:space="0"/>
              <w:bottom w:val="single" w:color="auto" w:sz="4" w:space="0"/>
              <w:right w:val="single" w:color="auto" w:sz="4" w:space="0"/>
            </w:tcBorders>
            <w:vAlign w:val="center"/>
          </w:tcPr>
          <w:p>
            <w:pPr>
              <w:pStyle w:val="76"/>
              <w:spacing w:line="360" w:lineRule="auto"/>
              <w:ind w:firstLine="0" w:firstLine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根据</w:t>
            </w:r>
            <w:r>
              <w:rPr>
                <w:rFonts w:hint="eastAsia" w:ascii="宋体" w:eastAsia="宋体" w:cs="宋体"/>
                <w:bCs/>
                <w:color w:val="auto"/>
                <w:kern w:val="2"/>
                <w:sz w:val="21"/>
                <w:szCs w:val="21"/>
                <w:highlight w:val="none"/>
                <w:lang w:val="en-US" w:eastAsia="zh-CN" w:bidi="ar-SA"/>
              </w:rPr>
              <w:t>响应</w:t>
            </w:r>
            <w:r>
              <w:rPr>
                <w:rFonts w:hint="eastAsia" w:ascii="宋体" w:hAnsi="宋体" w:eastAsia="宋体" w:cs="宋体"/>
                <w:bCs/>
                <w:color w:val="auto"/>
                <w:kern w:val="2"/>
                <w:sz w:val="21"/>
                <w:szCs w:val="21"/>
                <w:highlight w:val="none"/>
                <w:lang w:val="en-US" w:eastAsia="zh-CN" w:bidi="ar-SA"/>
              </w:rPr>
              <w:t>人针对本项目突发事故所拟定的响应措施保障方案进行评审：</w:t>
            </w:r>
          </w:p>
          <w:p>
            <w:pPr>
              <w:pStyle w:val="76"/>
              <w:spacing w:line="360" w:lineRule="auto"/>
              <w:ind w:firstLine="0" w:firstLine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优：应急保障措施完善，突发应急预案非常全面，非常有利于项目实施的得</w:t>
            </w:r>
            <w:r>
              <w:rPr>
                <w:rFonts w:hint="eastAsia" w:ascii="宋体" w:eastAsia="宋体" w:cs="宋体"/>
                <w:bCs/>
                <w:color w:val="auto"/>
                <w:kern w:val="2"/>
                <w:sz w:val="21"/>
                <w:szCs w:val="21"/>
                <w:highlight w:val="none"/>
                <w:lang w:val="en-US" w:eastAsia="zh-CN" w:bidi="ar-SA"/>
              </w:rPr>
              <w:t>8</w:t>
            </w:r>
            <w:r>
              <w:rPr>
                <w:rFonts w:hint="eastAsia" w:ascii="宋体" w:hAnsi="宋体" w:eastAsia="宋体" w:cs="宋体"/>
                <w:bCs/>
                <w:color w:val="auto"/>
                <w:kern w:val="2"/>
                <w:sz w:val="21"/>
                <w:szCs w:val="21"/>
                <w:highlight w:val="none"/>
                <w:lang w:val="en-US" w:eastAsia="zh-CN" w:bidi="ar-SA"/>
              </w:rPr>
              <w:t>分；</w:t>
            </w:r>
          </w:p>
          <w:p>
            <w:pPr>
              <w:pStyle w:val="76"/>
              <w:spacing w:line="360" w:lineRule="auto"/>
              <w:ind w:firstLine="0" w:firstLine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良：应急保障措施较好，能处理大多数突发应急情况，有利于项目实施的得</w:t>
            </w:r>
            <w:r>
              <w:rPr>
                <w:rFonts w:hint="eastAsia" w:ascii="宋体" w:eastAsia="宋体" w:cs="宋体"/>
                <w:bCs/>
                <w:color w:val="auto"/>
                <w:kern w:val="2"/>
                <w:sz w:val="21"/>
                <w:szCs w:val="21"/>
                <w:highlight w:val="none"/>
                <w:lang w:val="en-US" w:eastAsia="zh-CN" w:bidi="ar-SA"/>
              </w:rPr>
              <w:t>4</w:t>
            </w:r>
            <w:r>
              <w:rPr>
                <w:rFonts w:hint="eastAsia" w:ascii="宋体" w:hAnsi="宋体" w:eastAsia="宋体" w:cs="宋体"/>
                <w:bCs/>
                <w:color w:val="auto"/>
                <w:kern w:val="2"/>
                <w:sz w:val="21"/>
                <w:szCs w:val="21"/>
                <w:highlight w:val="none"/>
                <w:lang w:val="en-US" w:eastAsia="zh-CN" w:bidi="ar-SA"/>
              </w:rPr>
              <w:t>分；</w:t>
            </w:r>
          </w:p>
          <w:p>
            <w:pPr>
              <w:pStyle w:val="76"/>
              <w:spacing w:line="360" w:lineRule="auto"/>
              <w:ind w:firstLine="0" w:firstLine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差：应急保障措施基本可行，能处理少数突发应急情况，基本满足项目需求的得1分；</w:t>
            </w:r>
          </w:p>
          <w:p>
            <w:pPr>
              <w:pStyle w:val="76"/>
              <w:spacing w:line="360" w:lineRule="auto"/>
              <w:ind w:firstLine="0" w:firstLine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无方对应案不得分。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724" w:type="dxa"/>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1685" w:type="dxa"/>
            <w:vAlign w:val="center"/>
          </w:tcPr>
          <w:p>
            <w:pPr>
              <w:pStyle w:val="76"/>
              <w:spacing w:line="360" w:lineRule="auto"/>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工期保证措施</w:t>
            </w:r>
          </w:p>
        </w:tc>
        <w:tc>
          <w:tcPr>
            <w:tcW w:w="798" w:type="dxa"/>
            <w:gridSpan w:val="2"/>
            <w:vAlign w:val="center"/>
          </w:tcPr>
          <w:p>
            <w:pPr>
              <w:pStyle w:val="76"/>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tc>
        <w:tc>
          <w:tcPr>
            <w:tcW w:w="5941" w:type="dxa"/>
            <w:vAlign w:val="center"/>
          </w:tcPr>
          <w:p>
            <w:pPr>
              <w:pStyle w:val="76"/>
              <w:spacing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w:t>
            </w:r>
            <w:r>
              <w:rPr>
                <w:rFonts w:hint="eastAsia" w:ascii="宋体" w:eastAsia="宋体" w:cs="宋体"/>
                <w:bCs/>
                <w:color w:val="auto"/>
                <w:sz w:val="21"/>
                <w:szCs w:val="21"/>
                <w:highlight w:val="none"/>
                <w:lang w:eastAsia="zh-CN"/>
              </w:rPr>
              <w:t>响应</w:t>
            </w:r>
            <w:r>
              <w:rPr>
                <w:rFonts w:hint="eastAsia" w:ascii="宋体" w:hAnsi="宋体" w:eastAsia="宋体" w:cs="宋体"/>
                <w:bCs/>
                <w:color w:val="auto"/>
                <w:sz w:val="21"/>
                <w:szCs w:val="21"/>
                <w:highlight w:val="none"/>
              </w:rPr>
              <w:t>人所提供</w:t>
            </w:r>
            <w:r>
              <w:rPr>
                <w:rFonts w:hint="eastAsia" w:ascii="宋体" w:hAnsi="宋体" w:eastAsia="宋体" w:cs="宋体"/>
                <w:bCs/>
                <w:color w:val="auto"/>
                <w:sz w:val="21"/>
                <w:szCs w:val="21"/>
                <w:highlight w:val="none"/>
                <w:lang w:val="en-US" w:eastAsia="zh-CN"/>
              </w:rPr>
              <w:t>工期保证</w:t>
            </w:r>
            <w:r>
              <w:rPr>
                <w:rFonts w:hint="eastAsia" w:ascii="宋体" w:hAnsi="宋体" w:eastAsia="宋体" w:cs="宋体"/>
                <w:bCs/>
                <w:color w:val="auto"/>
                <w:sz w:val="21"/>
                <w:szCs w:val="21"/>
                <w:highlight w:val="none"/>
              </w:rPr>
              <w:t>措施进行评审：</w:t>
            </w:r>
          </w:p>
          <w:p>
            <w:pPr>
              <w:pStyle w:val="76"/>
              <w:spacing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ascii="宋体" w:hAnsi="宋体" w:eastAsia="宋体" w:cs="宋体"/>
                <w:bCs/>
                <w:color w:val="auto"/>
                <w:sz w:val="21"/>
                <w:szCs w:val="21"/>
                <w:highlight w:val="none"/>
                <w:lang w:val="en-US" w:eastAsia="zh-CN"/>
              </w:rPr>
              <w:t>工期保证</w:t>
            </w:r>
            <w:r>
              <w:rPr>
                <w:rFonts w:hint="eastAsia" w:ascii="宋体" w:hAnsi="宋体" w:eastAsia="宋体" w:cs="宋体"/>
                <w:bCs/>
                <w:color w:val="auto"/>
                <w:sz w:val="21"/>
                <w:szCs w:val="21"/>
                <w:highlight w:val="none"/>
              </w:rPr>
              <w:t>措施</w:t>
            </w:r>
            <w:r>
              <w:rPr>
                <w:rFonts w:hint="eastAsia" w:ascii="宋体" w:hAnsi="宋体" w:eastAsia="宋体" w:cs="宋体"/>
                <w:bCs/>
                <w:color w:val="auto"/>
                <w:sz w:val="21"/>
                <w:szCs w:val="21"/>
                <w:highlight w:val="none"/>
                <w:lang w:val="en-US" w:eastAsia="zh-CN"/>
              </w:rPr>
              <w:t>齐全、</w:t>
            </w:r>
            <w:r>
              <w:rPr>
                <w:rFonts w:hint="eastAsia" w:ascii="宋体" w:hAnsi="宋体" w:eastAsia="宋体" w:cs="宋体"/>
                <w:bCs/>
                <w:color w:val="auto"/>
                <w:sz w:val="21"/>
                <w:szCs w:val="21"/>
                <w:highlight w:val="none"/>
              </w:rPr>
              <w:t>到位</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完善，得</w:t>
            </w:r>
            <w:r>
              <w:rPr>
                <w:rFonts w:hint="eastAsia" w:asci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p>
          <w:p>
            <w:pPr>
              <w:pStyle w:val="76"/>
              <w:spacing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良：工期保证</w:t>
            </w:r>
            <w:r>
              <w:rPr>
                <w:rFonts w:hint="eastAsia" w:ascii="宋体" w:hAnsi="宋体" w:eastAsia="宋体" w:cs="宋体"/>
                <w:bCs/>
                <w:color w:val="auto"/>
                <w:sz w:val="21"/>
                <w:szCs w:val="21"/>
                <w:highlight w:val="none"/>
              </w:rPr>
              <w:t>措施</w:t>
            </w:r>
            <w:r>
              <w:rPr>
                <w:rFonts w:hint="eastAsia" w:ascii="宋体" w:hAnsi="宋体" w:eastAsia="宋体" w:cs="宋体"/>
                <w:bCs/>
                <w:color w:val="auto"/>
                <w:sz w:val="21"/>
                <w:szCs w:val="21"/>
                <w:highlight w:val="none"/>
                <w:lang w:val="en-US" w:eastAsia="zh-CN"/>
              </w:rPr>
              <w:t>基本齐全、</w:t>
            </w:r>
            <w:r>
              <w:rPr>
                <w:rFonts w:hint="eastAsia" w:ascii="宋体" w:hAnsi="宋体" w:eastAsia="宋体" w:cs="宋体"/>
                <w:bCs/>
                <w:color w:val="auto"/>
                <w:sz w:val="21"/>
                <w:szCs w:val="21"/>
                <w:highlight w:val="none"/>
              </w:rPr>
              <w:t>到位</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完善，得</w:t>
            </w:r>
            <w:r>
              <w:rPr>
                <w:rFonts w:hint="eastAsia" w:asci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pPr>
              <w:pStyle w:val="76"/>
              <w:spacing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差：</w:t>
            </w:r>
            <w:r>
              <w:rPr>
                <w:rFonts w:hint="eastAsia" w:ascii="宋体" w:hAnsi="宋体" w:eastAsia="宋体" w:cs="宋体"/>
                <w:bCs/>
                <w:color w:val="auto"/>
                <w:sz w:val="21"/>
                <w:szCs w:val="21"/>
                <w:highlight w:val="none"/>
                <w:lang w:val="en-US" w:eastAsia="zh-CN"/>
              </w:rPr>
              <w:t>工期保证</w:t>
            </w:r>
            <w:r>
              <w:rPr>
                <w:rFonts w:hint="eastAsia" w:ascii="宋体" w:hAnsi="宋体" w:eastAsia="宋体" w:cs="宋体"/>
                <w:bCs/>
                <w:color w:val="auto"/>
                <w:sz w:val="21"/>
                <w:szCs w:val="21"/>
                <w:highlight w:val="none"/>
              </w:rPr>
              <w:t>措施</w:t>
            </w:r>
            <w:r>
              <w:rPr>
                <w:rFonts w:hint="eastAsia" w:ascii="宋体" w:hAnsi="宋体" w:eastAsia="宋体" w:cs="宋体"/>
                <w:bCs/>
                <w:color w:val="auto"/>
                <w:sz w:val="21"/>
                <w:szCs w:val="21"/>
                <w:highlight w:val="none"/>
                <w:lang w:val="en-US" w:eastAsia="zh-CN"/>
              </w:rPr>
              <w:t>不齐全、</w:t>
            </w:r>
            <w:r>
              <w:rPr>
                <w:rFonts w:hint="eastAsia" w:ascii="宋体" w:hAnsi="宋体" w:eastAsia="宋体" w:cs="宋体"/>
                <w:bCs/>
                <w:color w:val="auto"/>
                <w:sz w:val="21"/>
                <w:szCs w:val="21"/>
                <w:highlight w:val="none"/>
              </w:rPr>
              <w:t>到位</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完善，得 1分；</w:t>
            </w:r>
          </w:p>
          <w:p>
            <w:pPr>
              <w:pStyle w:val="76"/>
              <w:spacing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未提供相应方案的，不得分。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724" w:type="dxa"/>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685" w:type="dxa"/>
            <w:vAlign w:val="center"/>
          </w:tcPr>
          <w:p>
            <w:pPr>
              <w:pStyle w:val="76"/>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安全文明施工措施</w:t>
            </w:r>
          </w:p>
        </w:tc>
        <w:tc>
          <w:tcPr>
            <w:tcW w:w="798" w:type="dxa"/>
            <w:gridSpan w:val="2"/>
            <w:vAlign w:val="center"/>
          </w:tcPr>
          <w:p>
            <w:pPr>
              <w:pStyle w:val="76"/>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tc>
        <w:tc>
          <w:tcPr>
            <w:tcW w:w="5941" w:type="dxa"/>
            <w:vAlign w:val="center"/>
          </w:tcPr>
          <w:p>
            <w:pPr>
              <w:pStyle w:val="76"/>
              <w:spacing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w:t>
            </w:r>
            <w:r>
              <w:rPr>
                <w:rFonts w:hint="eastAsia" w:ascii="宋体" w:eastAsia="宋体" w:cs="宋体"/>
                <w:bCs/>
                <w:color w:val="auto"/>
                <w:sz w:val="21"/>
                <w:szCs w:val="21"/>
                <w:highlight w:val="none"/>
                <w:lang w:eastAsia="zh-CN"/>
              </w:rPr>
              <w:t>响应</w:t>
            </w:r>
            <w:r>
              <w:rPr>
                <w:rFonts w:hint="eastAsia" w:ascii="宋体" w:hAnsi="宋体" w:eastAsia="宋体" w:cs="宋体"/>
                <w:bCs/>
                <w:color w:val="auto"/>
                <w:sz w:val="21"/>
                <w:szCs w:val="21"/>
                <w:highlight w:val="none"/>
              </w:rPr>
              <w:t>人所提供安全文明措施进行评审：</w:t>
            </w:r>
          </w:p>
          <w:p>
            <w:pPr>
              <w:pStyle w:val="76"/>
              <w:spacing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优：安全措施到位、安全设施齐全，制度完善，文明措施建立实施的，得</w:t>
            </w:r>
            <w:r>
              <w:rPr>
                <w:rFonts w:hint="eastAsia" w:asci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p>
          <w:p>
            <w:pPr>
              <w:pStyle w:val="76"/>
              <w:spacing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良：安全措施基本到位、安全设施基本齐全，制度基本完善、文明措施建立实施的，得</w:t>
            </w:r>
            <w:r>
              <w:rPr>
                <w:rFonts w:hint="eastAsia" w:asci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pPr>
              <w:pStyle w:val="76"/>
              <w:spacing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差：安全措施不到位、安全设施不齐全，制度不完善的，得 1分；</w:t>
            </w:r>
          </w:p>
          <w:p>
            <w:pPr>
              <w:pStyle w:val="76"/>
              <w:spacing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未提供相应方案的，不得分。</w:t>
            </w:r>
          </w:p>
        </w:tc>
      </w:tr>
    </w:tbl>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注：</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（1）上证明文件均提供加盖公章复印件。</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2）若开标当日评标委员会需要查看以上证明文件原件，供应商请在接到通知后规定时间内携带原件到达评标会场，接受核查，如因迟到或是其他原因不能携原件到达现场接受检查，其造成的所有后果供应商自行承担。</w:t>
      </w:r>
    </w:p>
    <w:p>
      <w:pPr>
        <w:widowControl/>
        <w:spacing w:line="360" w:lineRule="auto"/>
        <w:rPr>
          <w:rFonts w:hAnsi="宋体"/>
          <w:bCs/>
          <w:color w:val="auto"/>
          <w:sz w:val="21"/>
          <w:szCs w:val="21"/>
          <w:highlight w:val="none"/>
        </w:rPr>
      </w:pPr>
      <w:r>
        <w:rPr>
          <w:rFonts w:hint="eastAsia" w:hAnsi="宋体"/>
          <w:bCs/>
          <w:color w:val="auto"/>
          <w:sz w:val="21"/>
          <w:szCs w:val="21"/>
          <w:highlight w:val="none"/>
        </w:rPr>
        <w:t>（3）若</w:t>
      </w:r>
      <w:r>
        <w:rPr>
          <w:rFonts w:hint="eastAsia" w:hAnsi="宋体"/>
          <w:bCs/>
          <w:color w:val="auto"/>
          <w:sz w:val="21"/>
          <w:szCs w:val="21"/>
          <w:highlight w:val="none"/>
          <w:lang w:eastAsia="zh-CN"/>
        </w:rPr>
        <w:t>成交</w:t>
      </w:r>
      <w:r>
        <w:rPr>
          <w:rFonts w:hint="eastAsia" w:hAnsi="宋体"/>
          <w:bCs/>
          <w:color w:val="auto"/>
          <w:sz w:val="21"/>
          <w:szCs w:val="21"/>
          <w:highlight w:val="none"/>
        </w:rPr>
        <w:t>将在发放成交通知书前逐一核对核查原件，请勿提供虚假、过期材料，否则将依据相关规定严肃处理。</w:t>
      </w:r>
    </w:p>
    <w:p>
      <w:pPr>
        <w:pStyle w:val="29"/>
        <w:spacing w:line="360" w:lineRule="auto"/>
        <w:ind w:firstLine="422" w:firstLineChars="200"/>
        <w:rPr>
          <w:rFonts w:hAnsi="宋体"/>
          <w:b/>
          <w:color w:val="auto"/>
          <w:szCs w:val="21"/>
          <w:highlight w:val="none"/>
        </w:rPr>
      </w:pPr>
    </w:p>
    <w:p>
      <w:pPr>
        <w:pStyle w:val="29"/>
        <w:spacing w:line="360" w:lineRule="auto"/>
        <w:ind w:firstLine="422" w:firstLineChars="200"/>
        <w:rPr>
          <w:rFonts w:hAnsi="宋体"/>
          <w:b/>
          <w:color w:val="auto"/>
          <w:szCs w:val="21"/>
          <w:highlight w:val="none"/>
        </w:rPr>
      </w:pPr>
      <w:r>
        <w:rPr>
          <w:rFonts w:hint="eastAsia" w:hAnsi="宋体"/>
          <w:b/>
          <w:color w:val="auto"/>
          <w:szCs w:val="21"/>
          <w:highlight w:val="none"/>
        </w:rPr>
        <w:t>四、技术评审</w:t>
      </w:r>
    </w:p>
    <w:p>
      <w:pPr>
        <w:spacing w:line="360" w:lineRule="auto"/>
        <w:ind w:firstLine="420" w:firstLineChars="200"/>
        <w:rPr>
          <w:rFonts w:hAnsi="宋体"/>
          <w:bCs/>
          <w:color w:val="auto"/>
          <w:sz w:val="21"/>
          <w:szCs w:val="21"/>
          <w:highlight w:val="none"/>
        </w:rPr>
      </w:pPr>
      <w:r>
        <w:rPr>
          <w:rFonts w:hint="eastAsia" w:hAnsi="宋体"/>
          <w:color w:val="auto"/>
          <w:sz w:val="21"/>
          <w:szCs w:val="21"/>
          <w:highlight w:val="none"/>
        </w:rPr>
        <w:t>1.由磋商小组对所有响应文件的技术部分响应和指标进行审核和分析；对响应文件中文字、图纸说明和指标响应进行评分，填写《技术评分表》。</w:t>
      </w:r>
    </w:p>
    <w:p>
      <w:pPr>
        <w:pStyle w:val="29"/>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2.将每一个磋商小组成员的评分汇总，取其算术平均值，为该供应商的技术评定得分。</w:t>
      </w:r>
    </w:p>
    <w:p>
      <w:pPr>
        <w:pStyle w:val="29"/>
        <w:spacing w:line="360" w:lineRule="auto"/>
        <w:ind w:firstLine="422" w:firstLineChars="200"/>
        <w:rPr>
          <w:rFonts w:hAnsi="宋体"/>
          <w:b/>
          <w:color w:val="auto"/>
          <w:szCs w:val="21"/>
          <w:highlight w:val="none"/>
        </w:rPr>
      </w:pPr>
    </w:p>
    <w:p>
      <w:pPr>
        <w:pStyle w:val="29"/>
        <w:spacing w:line="360" w:lineRule="auto"/>
        <w:ind w:firstLine="422" w:firstLineChars="200"/>
        <w:rPr>
          <w:rFonts w:hAnsi="宋体"/>
          <w:b/>
          <w:color w:val="auto"/>
          <w:szCs w:val="21"/>
          <w:highlight w:val="none"/>
        </w:rPr>
      </w:pPr>
      <w:r>
        <w:rPr>
          <w:rFonts w:hint="eastAsia" w:hAnsi="宋体"/>
          <w:b/>
          <w:color w:val="auto"/>
          <w:szCs w:val="21"/>
          <w:highlight w:val="none"/>
        </w:rPr>
        <w:t>五、商务评审</w:t>
      </w:r>
    </w:p>
    <w:p>
      <w:pPr>
        <w:pStyle w:val="29"/>
        <w:spacing w:line="360" w:lineRule="auto"/>
        <w:ind w:firstLine="420" w:firstLineChars="200"/>
        <w:rPr>
          <w:rFonts w:hAnsi="宋体"/>
          <w:color w:val="auto"/>
          <w:szCs w:val="21"/>
          <w:highlight w:val="none"/>
        </w:rPr>
      </w:pPr>
      <w:r>
        <w:rPr>
          <w:rFonts w:hint="eastAsia" w:hAnsi="宋体"/>
          <w:color w:val="auto"/>
          <w:szCs w:val="21"/>
          <w:highlight w:val="none"/>
        </w:rPr>
        <w:t>1.由磋商小组评价每个供应商的商务条件，填写《商务评分表》。</w:t>
      </w:r>
    </w:p>
    <w:p>
      <w:pPr>
        <w:pStyle w:val="29"/>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2.将每一个磋商小组成员的评分汇总，取其算术平均值，为该供应商的商务得分。</w:t>
      </w:r>
    </w:p>
    <w:p>
      <w:pPr>
        <w:pStyle w:val="29"/>
        <w:spacing w:line="360" w:lineRule="auto"/>
        <w:ind w:firstLine="422" w:firstLineChars="200"/>
        <w:rPr>
          <w:rFonts w:hAnsi="宋体"/>
          <w:b/>
          <w:color w:val="auto"/>
          <w:szCs w:val="21"/>
          <w:highlight w:val="none"/>
        </w:rPr>
      </w:pPr>
    </w:p>
    <w:p>
      <w:pPr>
        <w:pStyle w:val="29"/>
        <w:spacing w:line="360" w:lineRule="auto"/>
        <w:ind w:firstLine="422" w:firstLineChars="200"/>
        <w:rPr>
          <w:rFonts w:hAnsi="宋体"/>
          <w:b/>
          <w:color w:val="auto"/>
          <w:szCs w:val="21"/>
          <w:highlight w:val="none"/>
        </w:rPr>
      </w:pPr>
      <w:r>
        <w:rPr>
          <w:rFonts w:hint="eastAsia" w:hAnsi="宋体"/>
          <w:b/>
          <w:color w:val="auto"/>
          <w:szCs w:val="21"/>
          <w:highlight w:val="none"/>
        </w:rPr>
        <w:t>六、报价评审</w:t>
      </w:r>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1.价格核准：磋商小组对有效供应商的详细报价进行复核，审查是否有计算上的错误或供货范围上的错误。对错误修正的原则如下：</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lang w:eastAsia="zh-CN"/>
        </w:rPr>
        <w:t>①</w:t>
      </w:r>
      <w:r>
        <w:rPr>
          <w:rFonts w:hint="eastAsia" w:hAnsi="宋体"/>
          <w:color w:val="auto"/>
          <w:sz w:val="21"/>
          <w:szCs w:val="21"/>
          <w:highlight w:val="none"/>
        </w:rPr>
        <w:t>响应文件中报价一览表内容与响应文件明细表内容不一致的，以报价一览表为准；</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lang w:eastAsia="zh-CN"/>
        </w:rPr>
        <w:t>②</w:t>
      </w:r>
      <w:r>
        <w:rPr>
          <w:rFonts w:hint="eastAsia" w:hAnsi="宋体"/>
          <w:color w:val="auto"/>
          <w:sz w:val="21"/>
          <w:szCs w:val="21"/>
          <w:highlight w:val="none"/>
        </w:rPr>
        <w:t>响应文件的大写金额和小写金额不一致的，以大写金额为准；</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lang w:eastAsia="zh-CN"/>
        </w:rPr>
        <w:t>③</w:t>
      </w:r>
      <w:r>
        <w:rPr>
          <w:rFonts w:hint="eastAsia" w:hAnsi="宋体"/>
          <w:color w:val="auto"/>
          <w:sz w:val="21"/>
          <w:szCs w:val="21"/>
          <w:highlight w:val="none"/>
        </w:rPr>
        <w:t>单价金额小数点</w:t>
      </w:r>
      <w:r>
        <w:rPr>
          <w:rFonts w:hint="eastAsia" w:hAnsi="宋体"/>
          <w:color w:val="auto"/>
          <w:sz w:val="21"/>
          <w:szCs w:val="21"/>
          <w:highlight w:val="none"/>
          <w:lang w:eastAsia="zh-CN"/>
        </w:rPr>
        <w:t>或者百分比</w:t>
      </w:r>
      <w:r>
        <w:rPr>
          <w:rFonts w:hint="eastAsia" w:hAnsi="宋体"/>
          <w:color w:val="auto"/>
          <w:sz w:val="21"/>
          <w:szCs w:val="21"/>
          <w:highlight w:val="none"/>
        </w:rPr>
        <w:t>有明显错位的，以报价一览表</w:t>
      </w:r>
      <w:r>
        <w:rPr>
          <w:rFonts w:hint="eastAsia" w:hAnsi="宋体"/>
          <w:color w:val="auto"/>
          <w:sz w:val="21"/>
          <w:szCs w:val="21"/>
          <w:highlight w:val="none"/>
          <w:lang w:eastAsia="zh-CN"/>
        </w:rPr>
        <w:t>的总价</w:t>
      </w:r>
      <w:r>
        <w:rPr>
          <w:rFonts w:hint="eastAsia" w:hAnsi="宋体"/>
          <w:color w:val="auto"/>
          <w:sz w:val="21"/>
          <w:szCs w:val="21"/>
          <w:highlight w:val="none"/>
        </w:rPr>
        <w:t>为准，并修改</w:t>
      </w:r>
      <w:r>
        <w:rPr>
          <w:rFonts w:hint="eastAsia" w:hAnsi="宋体"/>
          <w:color w:val="auto"/>
          <w:sz w:val="21"/>
          <w:szCs w:val="21"/>
          <w:highlight w:val="none"/>
          <w:lang w:eastAsia="zh-CN"/>
        </w:rPr>
        <w:t>单</w:t>
      </w:r>
      <w:r>
        <w:rPr>
          <w:rFonts w:hint="eastAsia" w:hAnsi="宋体"/>
          <w:color w:val="auto"/>
          <w:sz w:val="21"/>
          <w:szCs w:val="21"/>
          <w:highlight w:val="none"/>
        </w:rPr>
        <w:t>价；</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lang w:eastAsia="zh-CN"/>
        </w:rPr>
        <w:t>④</w:t>
      </w:r>
      <w:r>
        <w:rPr>
          <w:rFonts w:hint="eastAsia" w:hAnsi="宋体"/>
          <w:color w:val="auto"/>
          <w:sz w:val="21"/>
          <w:szCs w:val="21"/>
          <w:highlight w:val="none"/>
        </w:rPr>
        <w:t>总价金额与按单价汇总金额不一致的，以单价金额计算结果为准；</w:t>
      </w:r>
    </w:p>
    <w:p>
      <w:pPr>
        <w:spacing w:line="360" w:lineRule="auto"/>
        <w:ind w:firstLine="420" w:firstLineChars="200"/>
        <w:rPr>
          <w:rFonts w:hint="default" w:hAnsi="宋体" w:eastAsia="宋体"/>
          <w:color w:val="auto"/>
          <w:sz w:val="21"/>
          <w:szCs w:val="21"/>
          <w:highlight w:val="none"/>
          <w:lang w:val="en-US" w:eastAsia="zh-CN"/>
        </w:rPr>
      </w:pPr>
      <w:r>
        <w:rPr>
          <w:rFonts w:hint="eastAsia" w:hAnsi="宋体"/>
          <w:color w:val="auto"/>
          <w:sz w:val="21"/>
          <w:szCs w:val="21"/>
          <w:highlight w:val="none"/>
          <w:lang w:eastAsia="zh-CN"/>
        </w:rPr>
        <w:t>⑤同时出现两种以上不一致的，按前款规定的顺序修正</w:t>
      </w:r>
      <w:r>
        <w:rPr>
          <w:rFonts w:hint="eastAsia" w:hAnsi="宋体"/>
          <w:color w:val="auto"/>
          <w:sz w:val="21"/>
          <w:szCs w:val="21"/>
          <w:highlight w:val="none"/>
        </w:rPr>
        <w:t>。</w:t>
      </w:r>
      <w:r>
        <w:rPr>
          <w:rFonts w:hint="eastAsia" w:hAnsi="宋体"/>
          <w:color w:val="auto"/>
          <w:sz w:val="21"/>
          <w:szCs w:val="21"/>
          <w:highlight w:val="none"/>
          <w:lang w:eastAsia="zh-CN"/>
        </w:rPr>
        <w:t>修正后的报价按照本篇</w:t>
      </w:r>
      <w:r>
        <w:rPr>
          <w:rFonts w:hint="eastAsia" w:hAnsi="宋体"/>
          <w:color w:val="auto"/>
          <w:sz w:val="21"/>
          <w:szCs w:val="21"/>
          <w:highlight w:val="none"/>
          <w:lang w:val="en-US" w:eastAsia="zh-CN"/>
        </w:rPr>
        <w:t>20.1的规定经供应商确认后产生约束力，供应商不确认的，其磋商无效。</w:t>
      </w:r>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2.价格评分：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29"/>
        <w:tabs>
          <w:tab w:val="left" w:pos="1365"/>
        </w:tabs>
        <w:spacing w:line="360" w:lineRule="auto"/>
        <w:ind w:left="16" w:firstLine="422" w:firstLineChars="200"/>
        <w:rPr>
          <w:rFonts w:hAnsi="宋体"/>
          <w:b/>
          <w:color w:val="auto"/>
          <w:szCs w:val="21"/>
          <w:highlight w:val="none"/>
        </w:rPr>
      </w:pPr>
    </w:p>
    <w:p>
      <w:pPr>
        <w:pStyle w:val="29"/>
        <w:tabs>
          <w:tab w:val="left" w:pos="1365"/>
        </w:tabs>
        <w:spacing w:line="360" w:lineRule="auto"/>
        <w:ind w:left="16" w:firstLine="422" w:firstLineChars="200"/>
        <w:rPr>
          <w:rFonts w:hAnsi="宋体"/>
          <w:b/>
          <w:color w:val="auto"/>
          <w:szCs w:val="21"/>
          <w:highlight w:val="none"/>
        </w:rPr>
      </w:pPr>
      <w:r>
        <w:rPr>
          <w:rFonts w:hint="eastAsia" w:hAnsi="宋体"/>
          <w:b/>
          <w:color w:val="auto"/>
          <w:szCs w:val="21"/>
          <w:highlight w:val="none"/>
        </w:rPr>
        <w:t>七、综合得分的计算</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1.综合得分=技术评审得分+商务评审得分+磋商报价得分。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pPr>
        <w:pStyle w:val="4"/>
        <w:keepNext/>
        <w:keepLines/>
        <w:pageBreakBefore/>
        <w:numPr>
          <w:ilvl w:val="0"/>
          <w:numId w:val="16"/>
        </w:numPr>
        <w:spacing w:line="360" w:lineRule="auto"/>
        <w:jc w:val="center"/>
        <w:rPr>
          <w:rFonts w:hAnsi="宋体"/>
          <w:b/>
          <w:bCs/>
          <w:color w:val="auto"/>
          <w:highlight w:val="none"/>
        </w:rPr>
      </w:pPr>
      <w:bookmarkStart w:id="241" w:name="_Toc28639"/>
      <w:r>
        <w:rPr>
          <w:rFonts w:hint="eastAsia" w:hAnsi="宋体"/>
          <w:b/>
          <w:bCs/>
          <w:color w:val="auto"/>
          <w:kern w:val="44"/>
          <w:sz w:val="28"/>
          <w:szCs w:val="28"/>
          <w:highlight w:val="none"/>
          <w:lang w:val="zh-CN"/>
        </w:rPr>
        <w:t>合同条款格式</w:t>
      </w:r>
      <w:bookmarkEnd w:id="241"/>
    </w:p>
    <w:p>
      <w:pPr>
        <w:keepNext w:val="0"/>
        <w:keepLines w:val="0"/>
        <w:pageBreakBefore w:val="0"/>
        <w:kinsoku/>
        <w:wordWrap/>
        <w:overflowPunct/>
        <w:topLinePunct w:val="0"/>
        <w:bidi w:val="0"/>
        <w:adjustRightInd/>
        <w:spacing w:before="0" w:after="0" w:line="240" w:lineRule="auto"/>
        <w:ind w:left="0" w:leftChars="0" w:right="0" w:firstLine="600" w:firstLineChars="200"/>
        <w:jc w:val="left"/>
        <w:rPr>
          <w:rFonts w:hint="eastAsia" w:ascii="宋体" w:hAnsi="宋体" w:eastAsia="宋体" w:cs="宋体"/>
          <w:bCs w:val="0"/>
          <w:color w:val="auto"/>
          <w:spacing w:val="0"/>
          <w:w w:val="100"/>
          <w:kern w:val="0"/>
          <w:sz w:val="30"/>
          <w:szCs w:val="22"/>
          <w:highlight w:val="none"/>
          <w:lang w:val="en-US" w:eastAsia="zh-CN" w:bidi="zh-CN"/>
        </w:rPr>
      </w:pPr>
      <w:r>
        <w:rPr>
          <w:rFonts w:hint="eastAsia" w:ascii="宋体" w:hAnsi="宋体" w:eastAsia="宋体" w:cs="宋体"/>
          <w:bCs w:val="0"/>
          <w:color w:val="auto"/>
          <w:spacing w:val="0"/>
          <w:w w:val="100"/>
          <w:kern w:val="0"/>
          <w:sz w:val="30"/>
          <w:szCs w:val="22"/>
          <w:highlight w:val="none"/>
          <w:lang w:val="zh-CN" w:bidi="zh-CN"/>
        </w:rPr>
        <w:t>合同编号：</w:t>
      </w:r>
    </w:p>
    <w:p>
      <w:pPr>
        <w:keepNext w:val="0"/>
        <w:keepLines w:val="0"/>
        <w:pageBreakBefore w:val="0"/>
        <w:kinsoku/>
        <w:wordWrap/>
        <w:overflowPunct/>
        <w:topLinePunct w:val="0"/>
        <w:bidi w:val="0"/>
        <w:adjustRightInd/>
        <w:spacing w:before="0" w:after="0" w:line="240" w:lineRule="auto"/>
        <w:ind w:left="0" w:leftChars="0" w:right="0" w:firstLine="1124" w:firstLineChars="200"/>
        <w:jc w:val="center"/>
        <w:rPr>
          <w:rFonts w:hint="eastAsia" w:ascii="宋体" w:hAnsi="宋体" w:eastAsia="宋体" w:cs="宋体"/>
          <w:b/>
          <w:bCs w:val="0"/>
          <w:color w:val="auto"/>
          <w:spacing w:val="0"/>
          <w:w w:val="100"/>
          <w:kern w:val="0"/>
          <w:sz w:val="56"/>
          <w:szCs w:val="24"/>
          <w:highlight w:val="none"/>
          <w:lang w:val="zh-CN" w:bidi="zh-CN"/>
        </w:rPr>
      </w:pPr>
    </w:p>
    <w:p>
      <w:pPr>
        <w:keepNext w:val="0"/>
        <w:keepLines w:val="0"/>
        <w:pageBreakBefore w:val="0"/>
        <w:kinsoku/>
        <w:wordWrap/>
        <w:overflowPunct/>
        <w:topLinePunct w:val="0"/>
        <w:bidi w:val="0"/>
        <w:adjustRightInd/>
        <w:spacing w:before="0" w:after="0" w:line="240" w:lineRule="auto"/>
        <w:ind w:left="0" w:leftChars="0" w:right="0" w:firstLine="1124" w:firstLineChars="200"/>
        <w:jc w:val="center"/>
        <w:rPr>
          <w:rFonts w:hint="eastAsia" w:ascii="宋体" w:hAnsi="宋体" w:eastAsia="宋体" w:cs="宋体"/>
          <w:b/>
          <w:bCs w:val="0"/>
          <w:color w:val="auto"/>
          <w:spacing w:val="0"/>
          <w:w w:val="100"/>
          <w:kern w:val="0"/>
          <w:sz w:val="56"/>
          <w:szCs w:val="24"/>
          <w:highlight w:val="none"/>
          <w:lang w:val="zh-CN" w:bidi="zh-CN"/>
        </w:rPr>
      </w:pPr>
    </w:p>
    <w:p>
      <w:pPr>
        <w:keepNext w:val="0"/>
        <w:keepLines w:val="0"/>
        <w:pageBreakBefore w:val="0"/>
        <w:kinsoku/>
        <w:wordWrap/>
        <w:overflowPunct/>
        <w:topLinePunct w:val="0"/>
        <w:bidi w:val="0"/>
        <w:adjustRightInd/>
        <w:spacing w:before="0" w:after="0" w:line="240" w:lineRule="auto"/>
        <w:ind w:left="0" w:leftChars="0" w:right="0" w:firstLine="1124" w:firstLineChars="200"/>
        <w:jc w:val="center"/>
        <w:rPr>
          <w:rFonts w:hint="eastAsia" w:ascii="宋体" w:hAnsi="宋体" w:eastAsia="宋体" w:cs="宋体"/>
          <w:b/>
          <w:bCs w:val="0"/>
          <w:color w:val="auto"/>
          <w:spacing w:val="0"/>
          <w:w w:val="100"/>
          <w:kern w:val="0"/>
          <w:sz w:val="56"/>
          <w:szCs w:val="24"/>
          <w:highlight w:val="none"/>
          <w:lang w:val="zh-CN" w:bidi="zh-CN"/>
        </w:rPr>
      </w:pPr>
      <w:r>
        <w:rPr>
          <w:rFonts w:hint="eastAsia" w:ascii="宋体" w:hAnsi="宋体" w:eastAsia="宋体" w:cs="宋体"/>
          <w:b/>
          <w:bCs w:val="0"/>
          <w:color w:val="auto"/>
          <w:spacing w:val="0"/>
          <w:w w:val="100"/>
          <w:kern w:val="0"/>
          <w:sz w:val="56"/>
          <w:szCs w:val="24"/>
          <w:highlight w:val="none"/>
          <w:lang w:val="zh-CN" w:bidi="zh-CN"/>
        </w:rPr>
        <w:t>施工合同</w:t>
      </w:r>
    </w:p>
    <w:p>
      <w:pPr>
        <w:widowControl w:val="0"/>
        <w:autoSpaceDE w:val="0"/>
        <w:autoSpaceDN w:val="0"/>
        <w:spacing w:before="0" w:after="0" w:line="240" w:lineRule="auto"/>
        <w:ind w:left="0" w:right="0"/>
        <w:jc w:val="left"/>
        <w:rPr>
          <w:rFonts w:hint="eastAsia" w:ascii="宋体" w:hAnsi="宋体" w:eastAsia="宋体" w:cs="宋体"/>
          <w:b/>
          <w:bCs w:val="0"/>
          <w:color w:val="auto"/>
          <w:spacing w:val="0"/>
          <w:w w:val="100"/>
          <w:kern w:val="0"/>
          <w:sz w:val="56"/>
          <w:szCs w:val="24"/>
          <w:highlight w:val="none"/>
          <w:lang w:val="zh-CN" w:eastAsia="zh-CN" w:bidi="zh-CN"/>
        </w:rPr>
      </w:pPr>
    </w:p>
    <w:p>
      <w:pPr>
        <w:widowControl/>
        <w:autoSpaceDE w:val="0"/>
        <w:autoSpaceDN w:val="0"/>
        <w:spacing w:before="0" w:after="0" w:line="240" w:lineRule="auto"/>
        <w:ind w:left="0" w:right="0" w:firstLine="210" w:firstLineChars="100"/>
        <w:jc w:val="left"/>
        <w:rPr>
          <w:rFonts w:hint="eastAsia" w:ascii="Calibri" w:hAnsi="Calibri" w:eastAsia="宋体" w:cs="宋体"/>
          <w:color w:val="auto"/>
          <w:sz w:val="21"/>
          <w:szCs w:val="22"/>
          <w:highlight w:val="none"/>
          <w:lang w:val="zh-CN" w:eastAsia="zh-CN" w:bidi="zh-CN"/>
        </w:rPr>
      </w:pPr>
    </w:p>
    <w:p>
      <w:pPr>
        <w:widowControl w:val="0"/>
        <w:autoSpaceDE w:val="0"/>
        <w:autoSpaceDN w:val="0"/>
        <w:spacing w:before="0" w:after="0" w:line="240" w:lineRule="auto"/>
        <w:ind w:left="0" w:right="0"/>
        <w:jc w:val="left"/>
        <w:rPr>
          <w:rFonts w:hint="eastAsia" w:ascii="宋体" w:hAnsi="宋体" w:eastAsia="宋体" w:cs="宋体"/>
          <w:b/>
          <w:bCs w:val="0"/>
          <w:color w:val="auto"/>
          <w:spacing w:val="0"/>
          <w:w w:val="100"/>
          <w:kern w:val="0"/>
          <w:sz w:val="56"/>
          <w:szCs w:val="24"/>
          <w:highlight w:val="none"/>
          <w:lang w:val="zh-CN" w:eastAsia="zh-CN" w:bidi="zh-CN"/>
        </w:rPr>
      </w:pPr>
    </w:p>
    <w:p>
      <w:pPr>
        <w:widowControl/>
        <w:autoSpaceDE w:val="0"/>
        <w:autoSpaceDN w:val="0"/>
        <w:spacing w:before="0" w:after="0" w:line="240" w:lineRule="auto"/>
        <w:ind w:left="0" w:right="0" w:firstLine="210" w:firstLineChars="100"/>
        <w:jc w:val="left"/>
        <w:rPr>
          <w:rFonts w:hint="eastAsia" w:ascii="Calibri" w:hAnsi="Calibri" w:eastAsia="宋体" w:cs="宋体"/>
          <w:color w:val="auto"/>
          <w:sz w:val="21"/>
          <w:szCs w:val="22"/>
          <w:highlight w:val="none"/>
          <w:lang w:val="zh-CN" w:eastAsia="zh-CN" w:bidi="zh-CN"/>
        </w:rPr>
      </w:pPr>
    </w:p>
    <w:p>
      <w:pPr>
        <w:keepNext w:val="0"/>
        <w:keepLines w:val="0"/>
        <w:pageBreakBefore w:val="0"/>
        <w:widowControl w:val="0"/>
        <w:tabs>
          <w:tab w:val="left" w:pos="5642"/>
        </w:tabs>
        <w:kinsoku/>
        <w:wordWrap/>
        <w:overflowPunct/>
        <w:topLinePunct w:val="0"/>
        <w:autoSpaceDE w:val="0"/>
        <w:autoSpaceDN w:val="0"/>
        <w:bidi w:val="0"/>
        <w:adjustRightInd/>
        <w:snapToGrid/>
        <w:spacing w:before="0" w:after="0" w:line="360" w:lineRule="auto"/>
        <w:ind w:left="0" w:leftChars="0" w:right="0" w:firstLine="560" w:firstLineChars="200"/>
        <w:jc w:val="left"/>
        <w:textAlignment w:val="auto"/>
        <w:rPr>
          <w:rFonts w:hint="eastAsia" w:ascii="宋体" w:hAnsi="宋体" w:eastAsia="宋体" w:cs="宋体"/>
          <w:b w:val="0"/>
          <w:bCs w:val="0"/>
          <w:color w:val="auto"/>
          <w:spacing w:val="0"/>
          <w:w w:val="100"/>
          <w:kern w:val="0"/>
          <w:sz w:val="28"/>
          <w:szCs w:val="28"/>
          <w:highlight w:val="none"/>
          <w:lang w:val="zh-CN" w:bidi="zh-CN"/>
        </w:rPr>
      </w:pPr>
      <w:r>
        <w:rPr>
          <w:rFonts w:hint="eastAsia" w:ascii="宋体" w:hAnsi="宋体" w:eastAsia="宋体" w:cs="宋体"/>
          <w:b w:val="0"/>
          <w:bCs w:val="0"/>
          <w:color w:val="auto"/>
          <w:spacing w:val="0"/>
          <w:w w:val="100"/>
          <w:kern w:val="0"/>
          <w:sz w:val="28"/>
          <w:szCs w:val="28"/>
          <w:highlight w:val="none"/>
          <w:lang w:val="zh-CN" w:bidi="zh-CN"/>
        </w:rPr>
        <w:t>工程名称：</w:t>
      </w:r>
      <w:r>
        <w:rPr>
          <w:rFonts w:hint="eastAsia" w:ascii="宋体" w:hAnsi="宋体" w:eastAsia="宋体" w:cs="宋体"/>
          <w:b w:val="0"/>
          <w:bCs w:val="0"/>
          <w:color w:val="auto"/>
          <w:spacing w:val="0"/>
          <w:w w:val="100"/>
          <w:kern w:val="0"/>
          <w:sz w:val="28"/>
          <w:szCs w:val="28"/>
          <w:highlight w:val="none"/>
          <w:u w:val="single"/>
          <w:lang w:val="zh-CN" w:eastAsia="zh-CN" w:bidi="zh-CN"/>
        </w:rPr>
        <w:t>莞番高速（寮步段）垃圾填埋场治理项目土地复垦工程</w:t>
      </w:r>
      <w:r>
        <w:rPr>
          <w:rFonts w:hint="eastAsia" w:ascii="宋体" w:hAnsi="宋体" w:eastAsia="宋体" w:cs="宋体"/>
          <w:b w:val="0"/>
          <w:bCs w:val="0"/>
          <w:color w:val="auto"/>
          <w:spacing w:val="0"/>
          <w:w w:val="100"/>
          <w:kern w:val="0"/>
          <w:sz w:val="28"/>
          <w:szCs w:val="28"/>
          <w:highlight w:val="none"/>
          <w:u w:val="single"/>
          <w:lang w:val="zh-CN" w:bidi="zh-CN"/>
        </w:rPr>
        <w:tab/>
      </w:r>
    </w:p>
    <w:p>
      <w:pPr>
        <w:keepNext w:val="0"/>
        <w:keepLines w:val="0"/>
        <w:pageBreakBefore w:val="0"/>
        <w:widowControl w:val="0"/>
        <w:tabs>
          <w:tab w:val="left" w:pos="4805"/>
          <w:tab w:val="left" w:pos="8551"/>
        </w:tabs>
        <w:kinsoku/>
        <w:wordWrap/>
        <w:overflowPunct/>
        <w:topLinePunct w:val="0"/>
        <w:autoSpaceDE w:val="0"/>
        <w:autoSpaceDN w:val="0"/>
        <w:bidi w:val="0"/>
        <w:adjustRightInd/>
        <w:snapToGrid/>
        <w:spacing w:before="0" w:after="0" w:line="360" w:lineRule="auto"/>
        <w:ind w:left="0" w:leftChars="0" w:right="0" w:firstLine="560" w:firstLineChars="200"/>
        <w:jc w:val="left"/>
        <w:textAlignment w:val="auto"/>
        <w:rPr>
          <w:rFonts w:hint="eastAsia" w:ascii="宋体" w:hAnsi="宋体" w:eastAsia="宋体" w:cs="宋体"/>
          <w:b w:val="0"/>
          <w:bCs w:val="0"/>
          <w:color w:val="auto"/>
          <w:spacing w:val="0"/>
          <w:w w:val="100"/>
          <w:kern w:val="0"/>
          <w:sz w:val="28"/>
          <w:szCs w:val="28"/>
          <w:highlight w:val="none"/>
          <w:lang w:val="zh-CN" w:bidi="zh-CN"/>
        </w:rPr>
      </w:pPr>
      <w:r>
        <w:rPr>
          <w:rFonts w:hint="eastAsia" w:ascii="宋体" w:hAnsi="宋体" w:eastAsia="宋体" w:cs="宋体"/>
          <w:b w:val="0"/>
          <w:bCs w:val="0"/>
          <w:color w:val="auto"/>
          <w:spacing w:val="0"/>
          <w:w w:val="100"/>
          <w:kern w:val="0"/>
          <w:sz w:val="28"/>
          <w:szCs w:val="28"/>
          <w:highlight w:val="none"/>
          <w:lang w:val="zh-CN" w:bidi="zh-CN"/>
        </w:rPr>
        <w:t>工程地点：</w:t>
      </w:r>
      <w:r>
        <w:rPr>
          <w:rFonts w:hint="eastAsia" w:ascii="宋体" w:hAnsi="宋体" w:eastAsia="宋体" w:cs="宋体"/>
          <w:b w:val="0"/>
          <w:bCs w:val="0"/>
          <w:color w:val="auto"/>
          <w:spacing w:val="0"/>
          <w:w w:val="100"/>
          <w:kern w:val="0"/>
          <w:sz w:val="28"/>
          <w:szCs w:val="28"/>
          <w:highlight w:val="none"/>
          <w:u w:val="single"/>
          <w:lang w:val="zh-CN" w:bidi="zh-CN"/>
        </w:rPr>
        <w:t>东莞市寮步镇</w:t>
      </w:r>
      <w:r>
        <w:rPr>
          <w:rFonts w:hint="eastAsia" w:ascii="宋体" w:hAnsi="宋体" w:eastAsia="宋体" w:cs="宋体"/>
          <w:b w:val="0"/>
          <w:bCs w:val="0"/>
          <w:color w:val="auto"/>
          <w:spacing w:val="0"/>
          <w:w w:val="100"/>
          <w:kern w:val="0"/>
          <w:sz w:val="28"/>
          <w:szCs w:val="28"/>
          <w:highlight w:val="none"/>
          <w:u w:val="single"/>
          <w:lang w:val="en-US" w:eastAsia="zh-CN" w:bidi="zh-CN"/>
        </w:rPr>
        <w:t xml:space="preserve">                                 </w:t>
      </w:r>
      <w:r>
        <w:rPr>
          <w:rFonts w:hint="eastAsia" w:ascii="宋体" w:hAnsi="宋体" w:eastAsia="宋体" w:cs="宋体"/>
          <w:b w:val="0"/>
          <w:bCs w:val="0"/>
          <w:color w:val="auto"/>
          <w:spacing w:val="0"/>
          <w:w w:val="100"/>
          <w:kern w:val="0"/>
          <w:sz w:val="28"/>
          <w:szCs w:val="28"/>
          <w:highlight w:val="none"/>
          <w:u w:val="single"/>
          <w:lang w:val="zh-CN" w:bidi="zh-CN"/>
        </w:rPr>
        <w:tab/>
      </w:r>
    </w:p>
    <w:p>
      <w:pPr>
        <w:keepNext w:val="0"/>
        <w:keepLines w:val="0"/>
        <w:pageBreakBefore w:val="0"/>
        <w:widowControl w:val="0"/>
        <w:tabs>
          <w:tab w:val="left" w:pos="2527"/>
          <w:tab w:val="left" w:pos="6561"/>
        </w:tabs>
        <w:kinsoku/>
        <w:wordWrap/>
        <w:overflowPunct/>
        <w:topLinePunct w:val="0"/>
        <w:autoSpaceDE w:val="0"/>
        <w:autoSpaceDN w:val="0"/>
        <w:bidi w:val="0"/>
        <w:adjustRightInd/>
        <w:snapToGrid/>
        <w:spacing w:before="0" w:after="0" w:line="360" w:lineRule="auto"/>
        <w:ind w:left="0" w:leftChars="0" w:right="0" w:firstLine="560" w:firstLineChars="200"/>
        <w:jc w:val="both"/>
        <w:textAlignment w:val="auto"/>
        <w:rPr>
          <w:rFonts w:hint="eastAsia" w:ascii="宋体" w:hAnsi="宋体" w:eastAsia="宋体" w:cs="宋体"/>
          <w:b w:val="0"/>
          <w:bCs w:val="0"/>
          <w:color w:val="auto"/>
          <w:spacing w:val="0"/>
          <w:w w:val="100"/>
          <w:kern w:val="0"/>
          <w:sz w:val="28"/>
          <w:szCs w:val="28"/>
          <w:highlight w:val="none"/>
          <w:lang w:val="zh-CN" w:bidi="zh-CN"/>
        </w:rPr>
      </w:pPr>
      <w:r>
        <w:rPr>
          <w:rFonts w:hint="eastAsia" w:ascii="宋体" w:hAnsi="宋体" w:eastAsia="宋体" w:cs="宋体"/>
          <w:b w:val="0"/>
          <w:bCs w:val="0"/>
          <w:color w:val="auto"/>
          <w:spacing w:val="0"/>
          <w:w w:val="100"/>
          <w:kern w:val="0"/>
          <w:sz w:val="28"/>
          <w:szCs w:val="28"/>
          <w:highlight w:val="none"/>
          <w:lang w:val="zh-CN" w:bidi="zh-CN"/>
        </w:rPr>
        <w:t>发包方（甲方）：</w:t>
      </w:r>
      <w:r>
        <w:rPr>
          <w:rFonts w:hint="eastAsia" w:ascii="宋体" w:hAnsi="宋体" w:eastAsia="宋体" w:cs="宋体"/>
          <w:b w:val="0"/>
          <w:bCs w:val="0"/>
          <w:color w:val="auto"/>
          <w:spacing w:val="0"/>
          <w:w w:val="100"/>
          <w:kern w:val="0"/>
          <w:sz w:val="28"/>
          <w:szCs w:val="28"/>
          <w:highlight w:val="none"/>
          <w:u w:val="single"/>
          <w:lang w:val="zh-CN" w:bidi="zh-CN"/>
        </w:rPr>
        <w:t>广东东实开能能源有限公司</w:t>
      </w:r>
      <w:r>
        <w:rPr>
          <w:rFonts w:hint="eastAsia" w:ascii="宋体" w:hAnsi="宋体" w:eastAsia="宋体" w:cs="宋体"/>
          <w:b w:val="0"/>
          <w:bCs w:val="0"/>
          <w:color w:val="auto"/>
          <w:spacing w:val="0"/>
          <w:w w:val="100"/>
          <w:kern w:val="0"/>
          <w:sz w:val="28"/>
          <w:szCs w:val="28"/>
          <w:highlight w:val="none"/>
          <w:u w:val="single"/>
          <w:lang w:val="en-US" w:eastAsia="zh-CN" w:bidi="zh-CN"/>
        </w:rPr>
        <w:t xml:space="preserve">                 </w:t>
      </w:r>
      <w:r>
        <w:rPr>
          <w:rFonts w:hint="eastAsia" w:ascii="宋体" w:hAnsi="宋体" w:eastAsia="宋体" w:cs="宋体"/>
          <w:b w:val="0"/>
          <w:bCs w:val="0"/>
          <w:color w:val="auto"/>
          <w:spacing w:val="0"/>
          <w:w w:val="100"/>
          <w:kern w:val="0"/>
          <w:sz w:val="28"/>
          <w:szCs w:val="28"/>
          <w:highlight w:val="none"/>
          <w:u w:val="single"/>
          <w:lang w:val="zh-CN" w:bidi="zh-CN"/>
        </w:rPr>
        <w:tab/>
      </w:r>
    </w:p>
    <w:p>
      <w:pPr>
        <w:keepNext w:val="0"/>
        <w:keepLines w:val="0"/>
        <w:pageBreakBefore w:val="0"/>
        <w:widowControl w:val="0"/>
        <w:tabs>
          <w:tab w:val="left" w:pos="6657"/>
        </w:tabs>
        <w:kinsoku/>
        <w:wordWrap/>
        <w:overflowPunct/>
        <w:topLinePunct w:val="0"/>
        <w:autoSpaceDE w:val="0"/>
        <w:autoSpaceDN w:val="0"/>
        <w:bidi w:val="0"/>
        <w:adjustRightInd/>
        <w:snapToGrid/>
        <w:spacing w:before="0" w:after="0" w:line="360" w:lineRule="auto"/>
        <w:ind w:left="0" w:leftChars="0" w:right="0" w:firstLine="560" w:firstLineChars="200"/>
        <w:jc w:val="both"/>
        <w:textAlignment w:val="auto"/>
        <w:rPr>
          <w:rFonts w:hint="eastAsia" w:ascii="宋体" w:hAnsi="宋体" w:eastAsia="宋体" w:cs="宋体"/>
          <w:b w:val="0"/>
          <w:bCs w:val="0"/>
          <w:color w:val="auto"/>
          <w:spacing w:val="0"/>
          <w:w w:val="100"/>
          <w:kern w:val="0"/>
          <w:sz w:val="28"/>
          <w:szCs w:val="28"/>
          <w:highlight w:val="none"/>
          <w:lang w:val="en-US" w:eastAsia="zh-CN" w:bidi="zh-CN"/>
        </w:rPr>
      </w:pPr>
      <w:r>
        <w:rPr>
          <w:rFonts w:hint="eastAsia" w:ascii="宋体" w:hAnsi="宋体" w:eastAsia="宋体" w:cs="宋体"/>
          <w:b w:val="0"/>
          <w:bCs w:val="0"/>
          <w:color w:val="auto"/>
          <w:spacing w:val="0"/>
          <w:w w:val="100"/>
          <w:kern w:val="0"/>
          <w:sz w:val="28"/>
          <w:szCs w:val="28"/>
          <w:highlight w:val="none"/>
          <w:lang w:val="zh-CN" w:bidi="zh-CN"/>
        </w:rPr>
        <w:t>承包方（乙方）：</w:t>
      </w:r>
      <w:r>
        <w:rPr>
          <w:rFonts w:hint="eastAsia" w:ascii="宋体" w:hAnsi="宋体" w:eastAsia="宋体" w:cs="宋体"/>
          <w:b w:val="0"/>
          <w:bCs w:val="0"/>
          <w:color w:val="auto"/>
          <w:spacing w:val="0"/>
          <w:w w:val="100"/>
          <w:kern w:val="0"/>
          <w:sz w:val="28"/>
          <w:szCs w:val="28"/>
          <w:highlight w:val="none"/>
          <w:u w:val="single"/>
          <w:lang w:val="zh-CN" w:bidi="zh-CN"/>
        </w:rPr>
        <w:t xml:space="preserve"> </w:t>
      </w:r>
      <w:r>
        <w:rPr>
          <w:rFonts w:hint="eastAsia" w:ascii="宋体" w:hAnsi="宋体" w:eastAsia="宋体" w:cs="宋体"/>
          <w:b w:val="0"/>
          <w:bCs w:val="0"/>
          <w:color w:val="auto"/>
          <w:spacing w:val="0"/>
          <w:w w:val="100"/>
          <w:kern w:val="0"/>
          <w:sz w:val="28"/>
          <w:szCs w:val="28"/>
          <w:highlight w:val="none"/>
          <w:u w:val="single"/>
          <w:lang w:val="en-US" w:eastAsia="zh-CN" w:bidi="zh-CN"/>
        </w:rPr>
        <w:t xml:space="preserve">   </w:t>
      </w:r>
      <w:r>
        <w:rPr>
          <w:rFonts w:hint="eastAsia" w:ascii="宋体" w:hAnsi="宋体" w:eastAsia="宋体" w:cs="宋体"/>
          <w:b w:val="0"/>
          <w:bCs w:val="0"/>
          <w:color w:val="auto"/>
          <w:spacing w:val="0"/>
          <w:w w:val="100"/>
          <w:kern w:val="0"/>
          <w:sz w:val="28"/>
          <w:szCs w:val="28"/>
          <w:highlight w:val="none"/>
          <w:u w:val="single"/>
          <w:lang w:val="zh-CN" w:bidi="zh-CN"/>
        </w:rPr>
        <w:tab/>
      </w:r>
      <w:r>
        <w:rPr>
          <w:rFonts w:hint="eastAsia" w:ascii="宋体" w:hAnsi="宋体" w:eastAsia="宋体" w:cs="宋体"/>
          <w:b w:val="0"/>
          <w:bCs w:val="0"/>
          <w:color w:val="auto"/>
          <w:spacing w:val="0"/>
          <w:w w:val="100"/>
          <w:kern w:val="0"/>
          <w:sz w:val="28"/>
          <w:szCs w:val="28"/>
          <w:highlight w:val="none"/>
          <w:u w:val="single"/>
          <w:lang w:val="en-US" w:eastAsia="zh-CN" w:bidi="zh-CN"/>
        </w:rPr>
        <w:t xml:space="preserve">                            </w:t>
      </w:r>
    </w:p>
    <w:p>
      <w:pPr>
        <w:keepNext w:val="0"/>
        <w:keepLines w:val="0"/>
        <w:pageBreakBefore w:val="0"/>
        <w:widowControl w:val="0"/>
        <w:tabs>
          <w:tab w:val="left" w:pos="4104"/>
          <w:tab w:val="left" w:pos="6211"/>
        </w:tabs>
        <w:kinsoku/>
        <w:wordWrap/>
        <w:overflowPunct/>
        <w:topLinePunct w:val="0"/>
        <w:autoSpaceDE w:val="0"/>
        <w:autoSpaceDN w:val="0"/>
        <w:bidi w:val="0"/>
        <w:adjustRightInd/>
        <w:snapToGrid/>
        <w:spacing w:before="0" w:after="0" w:line="360" w:lineRule="auto"/>
        <w:ind w:left="0" w:leftChars="0" w:right="0" w:firstLine="560" w:firstLineChars="200"/>
        <w:jc w:val="left"/>
        <w:textAlignment w:val="auto"/>
        <w:rPr>
          <w:rFonts w:hint="eastAsia" w:ascii="宋体" w:hAnsi="宋体" w:eastAsia="宋体" w:cs="宋体"/>
          <w:b w:val="0"/>
          <w:bCs w:val="0"/>
          <w:color w:val="auto"/>
          <w:spacing w:val="0"/>
          <w:w w:val="100"/>
          <w:kern w:val="0"/>
          <w:sz w:val="28"/>
          <w:szCs w:val="28"/>
          <w:highlight w:val="none"/>
          <w:lang w:val="zh-CN" w:bidi="zh-CN"/>
        </w:rPr>
      </w:pPr>
      <w:r>
        <w:rPr>
          <w:rFonts w:hint="eastAsia" w:ascii="宋体" w:hAnsi="宋体" w:eastAsia="宋体" w:cs="宋体"/>
          <w:b w:val="0"/>
          <w:bCs w:val="0"/>
          <w:color w:val="auto"/>
          <w:spacing w:val="0"/>
          <w:w w:val="100"/>
          <w:kern w:val="0"/>
          <w:sz w:val="28"/>
          <w:szCs w:val="28"/>
          <w:highlight w:val="none"/>
          <w:lang w:val="zh-CN" w:bidi="zh-CN"/>
        </w:rPr>
        <w:t>签约地点：</w:t>
      </w:r>
      <w:r>
        <w:rPr>
          <w:rFonts w:hint="eastAsia" w:ascii="宋体" w:hAnsi="宋体" w:eastAsia="宋体" w:cs="宋体"/>
          <w:b w:val="0"/>
          <w:bCs w:val="0"/>
          <w:color w:val="auto"/>
          <w:spacing w:val="0"/>
          <w:w w:val="100"/>
          <w:kern w:val="0"/>
          <w:sz w:val="28"/>
          <w:szCs w:val="28"/>
          <w:highlight w:val="none"/>
          <w:u w:val="single"/>
          <w:lang w:val="zh-CN" w:bidi="zh-CN"/>
        </w:rPr>
        <w:t>东莞市东城</w:t>
      </w:r>
      <w:r>
        <w:rPr>
          <w:rFonts w:hint="eastAsia" w:ascii="宋体" w:hAnsi="宋体" w:eastAsia="宋体" w:cs="宋体"/>
          <w:b w:val="0"/>
          <w:bCs w:val="0"/>
          <w:color w:val="auto"/>
          <w:spacing w:val="0"/>
          <w:w w:val="100"/>
          <w:kern w:val="0"/>
          <w:sz w:val="28"/>
          <w:szCs w:val="28"/>
          <w:highlight w:val="none"/>
          <w:u w:val="single"/>
          <w:lang w:val="en-US" w:eastAsia="zh-CN" w:bidi="zh-CN"/>
        </w:rPr>
        <w:t xml:space="preserve">街道                                     </w:t>
      </w:r>
      <w:r>
        <w:rPr>
          <w:rFonts w:hint="eastAsia" w:ascii="宋体" w:hAnsi="宋体" w:eastAsia="宋体" w:cs="宋体"/>
          <w:b w:val="0"/>
          <w:bCs w:val="0"/>
          <w:color w:val="auto"/>
          <w:spacing w:val="0"/>
          <w:w w:val="100"/>
          <w:kern w:val="0"/>
          <w:sz w:val="28"/>
          <w:szCs w:val="28"/>
          <w:highlight w:val="none"/>
          <w:u w:val="single"/>
          <w:lang w:val="zh-CN" w:bidi="zh-CN"/>
        </w:rPr>
        <w:tab/>
      </w:r>
    </w:p>
    <w:p>
      <w:pPr>
        <w:keepNext w:val="0"/>
        <w:keepLines w:val="0"/>
        <w:pageBreakBefore w:val="0"/>
        <w:widowControl w:val="0"/>
        <w:tabs>
          <w:tab w:val="left" w:pos="5021"/>
          <w:tab w:val="left" w:pos="5583"/>
        </w:tabs>
        <w:kinsoku/>
        <w:wordWrap/>
        <w:overflowPunct/>
        <w:topLinePunct w:val="0"/>
        <w:autoSpaceDE w:val="0"/>
        <w:autoSpaceDN w:val="0"/>
        <w:bidi w:val="0"/>
        <w:adjustRightInd/>
        <w:snapToGrid/>
        <w:spacing w:before="0" w:after="0" w:line="360" w:lineRule="auto"/>
        <w:ind w:left="0" w:leftChars="0" w:right="0" w:firstLine="560" w:firstLineChars="200"/>
        <w:jc w:val="left"/>
        <w:textAlignment w:val="auto"/>
        <w:rPr>
          <w:rFonts w:hint="eastAsia" w:ascii="宋体" w:hAnsi="宋体" w:eastAsia="宋体" w:cs="宋体"/>
          <w:b w:val="0"/>
          <w:bCs w:val="0"/>
          <w:color w:val="auto"/>
          <w:spacing w:val="0"/>
          <w:w w:val="100"/>
          <w:kern w:val="0"/>
          <w:sz w:val="32"/>
          <w:szCs w:val="32"/>
          <w:highlight w:val="none"/>
        </w:rPr>
        <w:sectPr>
          <w:footerReference r:id="rId9" w:type="default"/>
          <w:pgSz w:w="11910" w:h="16840"/>
          <w:pgMar w:top="1440" w:right="1080" w:bottom="1440" w:left="1080" w:header="720" w:footer="689" w:gutter="0"/>
          <w:pgNumType w:fmt="decimal"/>
          <w:cols w:space="720" w:num="1"/>
        </w:sectPr>
      </w:pPr>
      <w:r>
        <w:rPr>
          <w:rFonts w:hint="eastAsia" w:ascii="宋体" w:hAnsi="宋体" w:eastAsia="宋体" w:cs="宋体"/>
          <w:b w:val="0"/>
          <w:bCs w:val="0"/>
          <w:color w:val="auto"/>
          <w:spacing w:val="0"/>
          <w:w w:val="100"/>
          <w:kern w:val="0"/>
          <w:sz w:val="28"/>
          <w:szCs w:val="28"/>
          <w:highlight w:val="none"/>
          <w:lang w:val="zh-CN" w:bidi="zh-CN"/>
        </w:rPr>
        <w:t>签订日期：</w:t>
      </w:r>
      <w:r>
        <w:rPr>
          <w:rFonts w:hint="eastAsia" w:ascii="宋体" w:hAnsi="宋体" w:eastAsia="宋体" w:cs="宋体"/>
          <w:b w:val="0"/>
          <w:bCs w:val="0"/>
          <w:color w:val="auto"/>
          <w:spacing w:val="0"/>
          <w:w w:val="100"/>
          <w:kern w:val="0"/>
          <w:sz w:val="28"/>
          <w:szCs w:val="28"/>
          <w:highlight w:val="none"/>
          <w:u w:val="single"/>
          <w:lang w:val="zh-CN" w:bidi="zh-CN"/>
        </w:rPr>
        <w:t xml:space="preserve"> </w:t>
      </w:r>
      <w:r>
        <w:rPr>
          <w:rFonts w:hint="eastAsia" w:ascii="宋体" w:hAnsi="宋体" w:eastAsia="宋体" w:cs="宋体"/>
          <w:b w:val="0"/>
          <w:bCs w:val="0"/>
          <w:color w:val="auto"/>
          <w:spacing w:val="0"/>
          <w:w w:val="100"/>
          <w:kern w:val="0"/>
          <w:sz w:val="28"/>
          <w:szCs w:val="28"/>
          <w:highlight w:val="none"/>
          <w:u w:val="single"/>
          <w:lang w:val="en-US" w:eastAsia="zh-CN" w:bidi="zh-CN"/>
        </w:rPr>
        <w:t xml:space="preserve">  </w:t>
      </w:r>
      <w:r>
        <w:rPr>
          <w:rFonts w:hint="eastAsia" w:ascii="宋体" w:hAnsi="宋体" w:eastAsia="宋体" w:cs="宋体"/>
          <w:b w:val="0"/>
          <w:bCs w:val="0"/>
          <w:color w:val="auto"/>
          <w:spacing w:val="0"/>
          <w:w w:val="100"/>
          <w:kern w:val="0"/>
          <w:sz w:val="28"/>
          <w:szCs w:val="28"/>
          <w:highlight w:val="none"/>
          <w:u w:val="single"/>
          <w:lang w:val="zh-CN" w:bidi="zh-CN"/>
        </w:rPr>
        <w:t>202</w:t>
      </w:r>
      <w:r>
        <w:rPr>
          <w:rFonts w:hint="eastAsia" w:ascii="宋体" w:hAnsi="宋体" w:eastAsia="宋体" w:cs="宋体"/>
          <w:b w:val="0"/>
          <w:bCs w:val="0"/>
          <w:color w:val="auto"/>
          <w:spacing w:val="0"/>
          <w:w w:val="100"/>
          <w:kern w:val="0"/>
          <w:sz w:val="28"/>
          <w:szCs w:val="28"/>
          <w:highlight w:val="none"/>
          <w:u w:val="single"/>
          <w:lang w:val="en-US" w:eastAsia="zh-CN" w:bidi="zh-CN"/>
        </w:rPr>
        <w:t xml:space="preserve">2 </w:t>
      </w:r>
      <w:r>
        <w:rPr>
          <w:rFonts w:hint="eastAsia" w:ascii="宋体" w:hAnsi="宋体" w:eastAsia="宋体" w:cs="宋体"/>
          <w:b w:val="0"/>
          <w:bCs w:val="0"/>
          <w:color w:val="auto"/>
          <w:spacing w:val="0"/>
          <w:w w:val="100"/>
          <w:kern w:val="0"/>
          <w:sz w:val="28"/>
          <w:szCs w:val="28"/>
          <w:highlight w:val="none"/>
          <w:u w:val="single"/>
          <w:lang w:val="zh-CN" w:bidi="zh-CN"/>
        </w:rPr>
        <w:t>年</w:t>
      </w:r>
      <w:r>
        <w:rPr>
          <w:rFonts w:hint="eastAsia" w:ascii="宋体" w:hAnsi="宋体" w:eastAsia="宋体" w:cs="宋体"/>
          <w:b w:val="0"/>
          <w:bCs w:val="0"/>
          <w:color w:val="auto"/>
          <w:spacing w:val="0"/>
          <w:w w:val="100"/>
          <w:kern w:val="0"/>
          <w:sz w:val="28"/>
          <w:szCs w:val="28"/>
          <w:highlight w:val="none"/>
          <w:u w:val="single"/>
          <w:lang w:val="en-US" w:eastAsia="zh-CN" w:bidi="zh-CN"/>
        </w:rPr>
        <w:t xml:space="preserve"> 10 </w:t>
      </w:r>
      <w:r>
        <w:rPr>
          <w:rFonts w:hint="eastAsia" w:ascii="宋体" w:hAnsi="宋体" w:eastAsia="宋体" w:cs="宋体"/>
          <w:b w:val="0"/>
          <w:bCs w:val="0"/>
          <w:color w:val="auto"/>
          <w:spacing w:val="0"/>
          <w:w w:val="100"/>
          <w:kern w:val="0"/>
          <w:sz w:val="28"/>
          <w:szCs w:val="28"/>
          <w:highlight w:val="none"/>
          <w:u w:val="single"/>
          <w:lang w:val="zh-CN" w:bidi="zh-CN"/>
        </w:rPr>
        <w:t>月</w:t>
      </w:r>
      <w:r>
        <w:rPr>
          <w:rFonts w:hint="eastAsia" w:ascii="宋体" w:hAnsi="宋体" w:eastAsia="宋体" w:cs="宋体"/>
          <w:b w:val="0"/>
          <w:bCs w:val="0"/>
          <w:color w:val="auto"/>
          <w:spacing w:val="0"/>
          <w:w w:val="100"/>
          <w:kern w:val="0"/>
          <w:sz w:val="28"/>
          <w:szCs w:val="28"/>
          <w:highlight w:val="none"/>
          <w:u w:val="single"/>
          <w:lang w:val="en-US" w:eastAsia="zh-CN" w:bidi="zh-CN"/>
        </w:rPr>
        <w:t xml:space="preserve">                                  </w:t>
      </w:r>
      <w:r>
        <w:rPr>
          <w:rFonts w:hint="eastAsia" w:ascii="宋体" w:hAnsi="宋体" w:eastAsia="宋体" w:cs="宋体"/>
          <w:b w:val="0"/>
          <w:bCs w:val="0"/>
          <w:color w:val="auto"/>
          <w:spacing w:val="0"/>
          <w:w w:val="100"/>
          <w:kern w:val="0"/>
          <w:sz w:val="32"/>
          <w:szCs w:val="32"/>
          <w:highlight w:val="none"/>
          <w:u w:val="single"/>
          <w:lang w:val="en-US" w:eastAsia="zh-CN" w:bidi="zh-CN"/>
        </w:rPr>
        <w:t xml:space="preserve">   </w:t>
      </w:r>
    </w:p>
    <w:p>
      <w:pPr>
        <w:keepNext w:val="0"/>
        <w:keepLines w:val="0"/>
        <w:pageBreakBefore w:val="0"/>
        <w:widowControl w:val="0"/>
        <w:tabs>
          <w:tab w:val="left" w:pos="7118"/>
        </w:tabs>
        <w:kinsoku/>
        <w:wordWrap/>
        <w:overflowPunct/>
        <w:topLinePunct w:val="0"/>
        <w:autoSpaceDE w:val="0"/>
        <w:autoSpaceDN w:val="0"/>
        <w:bidi w:val="0"/>
        <w:adjustRightInd/>
        <w:snapToGrid/>
        <w:spacing w:before="0" w:after="0" w:line="360" w:lineRule="auto"/>
        <w:ind w:left="0" w:leftChars="0" w:right="0" w:firstLine="562" w:firstLineChars="200"/>
        <w:jc w:val="left"/>
        <w:textAlignment w:val="auto"/>
        <w:rPr>
          <w:rFonts w:hint="eastAsia" w:ascii="宋体" w:hAnsi="宋体" w:eastAsia="宋体" w:cs="宋体"/>
          <w:b/>
          <w:bCs w:val="0"/>
          <w:color w:val="auto"/>
          <w:spacing w:val="0"/>
          <w:w w:val="100"/>
          <w:kern w:val="0"/>
          <w:sz w:val="24"/>
          <w:szCs w:val="22"/>
          <w:highlight w:val="none"/>
          <w:lang w:val="zh-CN" w:bidi="zh-CN"/>
        </w:rPr>
      </w:pPr>
      <w:r>
        <w:rPr>
          <w:rFonts w:hint="eastAsia" w:ascii="宋体" w:hAnsi="宋体" w:eastAsia="宋体" w:cs="宋体"/>
          <w:b/>
          <w:bCs w:val="0"/>
          <w:color w:val="auto"/>
          <w:spacing w:val="0"/>
          <w:w w:val="100"/>
          <w:kern w:val="0"/>
          <w:sz w:val="28"/>
          <w:szCs w:val="22"/>
          <w:highlight w:val="none"/>
          <w:lang w:val="zh-CN" w:bidi="zh-CN"/>
        </w:rPr>
        <w:t>发包方（甲方）：</w:t>
      </w:r>
      <w:r>
        <w:rPr>
          <w:rFonts w:hint="eastAsia" w:ascii="宋体" w:hAnsi="宋体" w:eastAsia="宋体" w:cs="宋体"/>
          <w:b/>
          <w:bCs w:val="0"/>
          <w:color w:val="auto"/>
          <w:spacing w:val="0"/>
          <w:w w:val="100"/>
          <w:kern w:val="0"/>
          <w:sz w:val="28"/>
          <w:szCs w:val="28"/>
          <w:highlight w:val="none"/>
          <w:u w:val="single"/>
          <w:lang w:val="zh-CN" w:bidi="zh-CN"/>
        </w:rPr>
        <w:t>广东东实开能能源有限公司</w:t>
      </w:r>
      <w:r>
        <w:rPr>
          <w:rFonts w:hint="eastAsia" w:ascii="宋体" w:hAnsi="宋体" w:eastAsia="宋体" w:cs="宋体"/>
          <w:b/>
          <w:bCs w:val="0"/>
          <w:color w:val="auto"/>
          <w:spacing w:val="0"/>
          <w:w w:val="100"/>
          <w:kern w:val="0"/>
          <w:sz w:val="24"/>
          <w:szCs w:val="22"/>
          <w:highlight w:val="none"/>
          <w:u w:val="single"/>
          <w:lang w:val="zh-CN" w:bidi="zh-CN"/>
        </w:rPr>
        <w:tab/>
      </w:r>
    </w:p>
    <w:p>
      <w:pPr>
        <w:keepNext w:val="0"/>
        <w:keepLines w:val="0"/>
        <w:pageBreakBefore w:val="0"/>
        <w:widowControl w:val="0"/>
        <w:tabs>
          <w:tab w:val="left" w:pos="6917"/>
        </w:tabs>
        <w:kinsoku/>
        <w:wordWrap/>
        <w:overflowPunct/>
        <w:topLinePunct w:val="0"/>
        <w:autoSpaceDE w:val="0"/>
        <w:autoSpaceDN w:val="0"/>
        <w:bidi w:val="0"/>
        <w:adjustRightInd/>
        <w:snapToGrid/>
        <w:spacing w:before="0" w:after="0" w:line="360" w:lineRule="auto"/>
        <w:ind w:left="0" w:leftChars="0" w:right="0" w:firstLine="562" w:firstLineChars="200"/>
        <w:jc w:val="left"/>
        <w:textAlignment w:val="auto"/>
        <w:rPr>
          <w:rFonts w:hint="eastAsia" w:ascii="宋体" w:hAnsi="宋体" w:eastAsia="宋体" w:cs="宋体"/>
          <w:b/>
          <w:bCs w:val="0"/>
          <w:color w:val="auto"/>
          <w:spacing w:val="0"/>
          <w:w w:val="100"/>
          <w:kern w:val="0"/>
          <w:sz w:val="28"/>
          <w:szCs w:val="22"/>
          <w:highlight w:val="none"/>
          <w:lang w:val="zh-CN" w:bidi="zh-CN"/>
        </w:rPr>
      </w:pPr>
      <w:r>
        <w:rPr>
          <w:rFonts w:hint="eastAsia" w:ascii="宋体" w:hAnsi="宋体" w:eastAsia="宋体" w:cs="宋体"/>
          <w:b/>
          <w:bCs w:val="0"/>
          <w:color w:val="auto"/>
          <w:spacing w:val="0"/>
          <w:w w:val="100"/>
          <w:kern w:val="0"/>
          <w:sz w:val="28"/>
          <w:szCs w:val="22"/>
          <w:highlight w:val="none"/>
          <w:lang w:val="zh-CN" w:bidi="zh-CN"/>
        </w:rPr>
        <w:t>承包方（乙方）：</w:t>
      </w:r>
      <w:r>
        <w:rPr>
          <w:rFonts w:hint="eastAsia" w:ascii="宋体" w:hAnsi="宋体" w:eastAsia="宋体" w:cs="宋体"/>
          <w:b/>
          <w:bCs w:val="0"/>
          <w:color w:val="auto"/>
          <w:spacing w:val="0"/>
          <w:w w:val="100"/>
          <w:kern w:val="0"/>
          <w:sz w:val="28"/>
          <w:szCs w:val="22"/>
          <w:highlight w:val="none"/>
          <w:u w:val="single"/>
          <w:lang w:val="zh-CN" w:bidi="zh-CN"/>
        </w:rPr>
        <w:t xml:space="preserve"> </w:t>
      </w:r>
      <w:r>
        <w:rPr>
          <w:rFonts w:hint="eastAsia" w:ascii="宋体" w:hAnsi="宋体" w:eastAsia="宋体" w:cs="宋体"/>
          <w:b/>
          <w:bCs w:val="0"/>
          <w:color w:val="auto"/>
          <w:spacing w:val="0"/>
          <w:w w:val="100"/>
          <w:kern w:val="0"/>
          <w:sz w:val="28"/>
          <w:szCs w:val="22"/>
          <w:highlight w:val="none"/>
          <w:u w:val="single"/>
          <w:lang w:val="zh-CN" w:bidi="zh-CN"/>
        </w:rPr>
        <w:tab/>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根据《中华人民共和国</w:t>
      </w:r>
      <w:r>
        <w:rPr>
          <w:rFonts w:hint="eastAsia" w:ascii="宋体" w:hAnsi="宋体" w:eastAsia="宋体" w:cs="宋体"/>
          <w:bCs w:val="0"/>
          <w:color w:val="auto"/>
          <w:spacing w:val="0"/>
          <w:w w:val="100"/>
          <w:kern w:val="0"/>
          <w:sz w:val="21"/>
          <w:szCs w:val="21"/>
          <w:highlight w:val="none"/>
          <w:lang w:val="en-US" w:eastAsia="zh-CN" w:bidi="zh-CN"/>
        </w:rPr>
        <w:t>民法典</w:t>
      </w:r>
      <w:r>
        <w:rPr>
          <w:rFonts w:hint="eastAsia" w:ascii="宋体" w:hAnsi="宋体" w:eastAsia="宋体" w:cs="宋体"/>
          <w:bCs w:val="0"/>
          <w:color w:val="auto"/>
          <w:spacing w:val="0"/>
          <w:w w:val="100"/>
          <w:kern w:val="0"/>
          <w:sz w:val="21"/>
          <w:szCs w:val="21"/>
          <w:highlight w:val="none"/>
          <w:lang w:val="zh-CN" w:eastAsia="zh-CN" w:bidi="zh-CN"/>
        </w:rPr>
        <w:t>》及国家有关法律、法规的规定，甲、乙双方在平等、自愿、等价有偿、公平、诚实信用的基础上，经友好协商，就莞番高速（寮步段）垃圾填埋场治理项目土地复垦工程施工相关事宜达成一致意见，特签订本合同，以资信守。</w:t>
      </w:r>
    </w:p>
    <w:p>
      <w:pPr>
        <w:keepNext w:val="0"/>
        <w:keepLines w:val="0"/>
        <w:pageBreakBefore w:val="0"/>
        <w:widowControl w:val="0"/>
        <w:tabs>
          <w:tab w:val="left" w:pos="2419"/>
        </w:tabs>
        <w:kinsoku/>
        <w:wordWrap/>
        <w:overflowPunct/>
        <w:topLinePunct w:val="0"/>
        <w:autoSpaceDE w:val="0"/>
        <w:autoSpaceDN w:val="0"/>
        <w:bidi w:val="0"/>
        <w:adjustRightInd/>
        <w:snapToGrid/>
        <w:spacing w:before="0" w:after="0" w:line="483" w:lineRule="auto"/>
        <w:ind w:left="0" w:leftChars="0" w:right="0" w:firstLine="422" w:firstLineChars="200"/>
        <w:jc w:val="left"/>
        <w:textAlignment w:val="auto"/>
        <w:outlineLvl w:val="1"/>
        <w:rPr>
          <w:rFonts w:hint="eastAsia" w:ascii="宋体" w:hAnsi="宋体" w:eastAsia="宋体" w:cs="宋体"/>
          <w:b/>
          <w:bCs w:val="0"/>
          <w:color w:val="auto"/>
          <w:spacing w:val="0"/>
          <w:w w:val="100"/>
          <w:kern w:val="0"/>
          <w:sz w:val="21"/>
          <w:szCs w:val="21"/>
          <w:highlight w:val="none"/>
          <w:lang w:val="zh-CN" w:eastAsia="zh-CN" w:bidi="zh-CN"/>
        </w:rPr>
      </w:pPr>
      <w:bookmarkStart w:id="242" w:name="第一条  工程概况"/>
      <w:bookmarkEnd w:id="242"/>
      <w:r>
        <w:rPr>
          <w:rFonts w:hint="eastAsia" w:ascii="宋体" w:hAnsi="宋体" w:eastAsia="宋体" w:cs="宋体"/>
          <w:b/>
          <w:bCs w:val="0"/>
          <w:color w:val="auto"/>
          <w:spacing w:val="0"/>
          <w:w w:val="100"/>
          <w:kern w:val="0"/>
          <w:sz w:val="21"/>
          <w:szCs w:val="21"/>
          <w:highlight w:val="none"/>
          <w:lang w:val="zh-CN" w:eastAsia="zh-CN" w:bidi="zh-CN"/>
        </w:rPr>
        <w:t>第一条</w:t>
      </w:r>
      <w:r>
        <w:rPr>
          <w:rFonts w:hint="eastAsia" w:ascii="宋体" w:hAnsi="宋体" w:eastAsia="宋体" w:cs="宋体"/>
          <w:b/>
          <w:bCs w:val="0"/>
          <w:color w:val="auto"/>
          <w:spacing w:val="0"/>
          <w:w w:val="100"/>
          <w:kern w:val="0"/>
          <w:sz w:val="21"/>
          <w:szCs w:val="21"/>
          <w:highlight w:val="none"/>
          <w:lang w:val="en-US" w:eastAsia="zh-CN" w:bidi="zh-CN"/>
        </w:rPr>
        <w:t xml:space="preserve"> </w:t>
      </w:r>
      <w:r>
        <w:rPr>
          <w:rFonts w:hint="eastAsia" w:ascii="宋体" w:hAnsi="宋体" w:eastAsia="宋体" w:cs="宋体"/>
          <w:b/>
          <w:bCs w:val="0"/>
          <w:color w:val="auto"/>
          <w:spacing w:val="0"/>
          <w:w w:val="100"/>
          <w:kern w:val="0"/>
          <w:sz w:val="21"/>
          <w:szCs w:val="21"/>
          <w:highlight w:val="none"/>
          <w:lang w:val="zh-CN" w:eastAsia="zh-CN" w:bidi="zh-CN"/>
        </w:rPr>
        <w:t>工程概况</w:t>
      </w:r>
    </w:p>
    <w:p>
      <w:pPr>
        <w:keepNext w:val="0"/>
        <w:keepLines w:val="0"/>
        <w:pageBreakBefore w:val="0"/>
        <w:widowControl w:val="0"/>
        <w:tabs>
          <w:tab w:val="left" w:pos="7347"/>
        </w:tabs>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1、工程名称：</w:t>
      </w:r>
      <w:r>
        <w:rPr>
          <w:rFonts w:hint="eastAsia" w:ascii="宋体" w:hAnsi="宋体" w:eastAsia="宋体" w:cs="宋体"/>
          <w:bCs w:val="0"/>
          <w:color w:val="auto"/>
          <w:spacing w:val="0"/>
          <w:w w:val="100"/>
          <w:kern w:val="0"/>
          <w:sz w:val="21"/>
          <w:szCs w:val="21"/>
          <w:highlight w:val="none"/>
          <w:u w:val="single"/>
          <w:lang w:val="zh-CN" w:eastAsia="zh-CN" w:bidi="zh-CN"/>
        </w:rPr>
        <w:t>莞番高速（寮步段）垃圾填埋场治理项目土地复垦工程</w:t>
      </w:r>
      <w:r>
        <w:rPr>
          <w:rFonts w:hint="eastAsia" w:ascii="宋体" w:hAnsi="宋体" w:eastAsia="宋体" w:cs="宋体"/>
          <w:bCs w:val="0"/>
          <w:color w:val="auto"/>
          <w:spacing w:val="0"/>
          <w:w w:val="100"/>
          <w:kern w:val="0"/>
          <w:sz w:val="21"/>
          <w:szCs w:val="21"/>
          <w:highlight w:val="none"/>
          <w:u w:val="single"/>
          <w:lang w:val="zh-CN" w:eastAsia="zh-CN" w:bidi="zh-CN"/>
        </w:rPr>
        <w:tab/>
      </w:r>
    </w:p>
    <w:p>
      <w:pPr>
        <w:keepNext w:val="0"/>
        <w:keepLines w:val="0"/>
        <w:pageBreakBefore w:val="0"/>
        <w:widowControl w:val="0"/>
        <w:tabs>
          <w:tab w:val="left" w:pos="3568"/>
          <w:tab w:val="left" w:pos="7347"/>
        </w:tabs>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2、工程地点：</w:t>
      </w:r>
      <w:r>
        <w:rPr>
          <w:rFonts w:hint="eastAsia" w:ascii="宋体" w:hAnsi="宋体" w:eastAsia="宋体" w:cs="宋体"/>
          <w:bCs w:val="0"/>
          <w:color w:val="auto"/>
          <w:spacing w:val="0"/>
          <w:w w:val="100"/>
          <w:kern w:val="0"/>
          <w:sz w:val="21"/>
          <w:szCs w:val="21"/>
          <w:highlight w:val="none"/>
          <w:u w:val="single"/>
          <w:lang w:val="zh-CN" w:eastAsia="zh-CN" w:bidi="zh-CN"/>
        </w:rPr>
        <w:t xml:space="preserve"> </w:t>
      </w:r>
      <w:r>
        <w:rPr>
          <w:rFonts w:hint="eastAsia" w:ascii="宋体" w:hAnsi="宋体" w:eastAsia="宋体" w:cs="宋体"/>
          <w:bCs w:val="0"/>
          <w:color w:val="auto"/>
          <w:spacing w:val="0"/>
          <w:w w:val="100"/>
          <w:kern w:val="0"/>
          <w:sz w:val="21"/>
          <w:szCs w:val="21"/>
          <w:highlight w:val="none"/>
          <w:u w:val="single"/>
          <w:lang w:val="zh-CN" w:eastAsia="zh-CN" w:bidi="zh-CN"/>
        </w:rPr>
        <w:tab/>
      </w:r>
      <w:r>
        <w:rPr>
          <w:rFonts w:hint="eastAsia" w:ascii="宋体" w:hAnsi="宋体" w:eastAsia="宋体" w:cs="宋体"/>
          <w:bCs w:val="0"/>
          <w:color w:val="auto"/>
          <w:spacing w:val="0"/>
          <w:w w:val="100"/>
          <w:kern w:val="0"/>
          <w:sz w:val="21"/>
          <w:szCs w:val="21"/>
          <w:highlight w:val="none"/>
          <w:u w:val="single"/>
          <w:lang w:val="zh-CN" w:eastAsia="zh-CN" w:bidi="zh-CN"/>
        </w:rPr>
        <w:t>东莞市寮步镇</w:t>
      </w:r>
      <w:r>
        <w:rPr>
          <w:rFonts w:hint="eastAsia" w:ascii="宋体" w:hAnsi="宋体" w:eastAsia="宋体" w:cs="宋体"/>
          <w:bCs w:val="0"/>
          <w:color w:val="auto"/>
          <w:spacing w:val="0"/>
          <w:w w:val="100"/>
          <w:kern w:val="0"/>
          <w:sz w:val="21"/>
          <w:szCs w:val="21"/>
          <w:highlight w:val="none"/>
          <w:u w:val="single"/>
          <w:lang w:val="zh-CN" w:eastAsia="zh-CN" w:bidi="zh-CN"/>
        </w:rPr>
        <w:tab/>
      </w:r>
    </w:p>
    <w:p>
      <w:pPr>
        <w:keepNext w:val="0"/>
        <w:keepLines w:val="0"/>
        <w:pageBreakBefore w:val="0"/>
        <w:widowControl w:val="0"/>
        <w:tabs>
          <w:tab w:val="left" w:pos="2419"/>
        </w:tabs>
        <w:kinsoku/>
        <w:wordWrap/>
        <w:overflowPunct/>
        <w:topLinePunct w:val="0"/>
        <w:autoSpaceDE w:val="0"/>
        <w:autoSpaceDN w:val="0"/>
        <w:bidi w:val="0"/>
        <w:adjustRightInd/>
        <w:snapToGrid/>
        <w:spacing w:before="0" w:after="0" w:line="483" w:lineRule="auto"/>
        <w:ind w:left="0" w:leftChars="0" w:right="0" w:firstLine="422" w:firstLineChars="200"/>
        <w:jc w:val="left"/>
        <w:textAlignment w:val="auto"/>
        <w:outlineLvl w:val="1"/>
        <w:rPr>
          <w:rFonts w:hint="eastAsia" w:ascii="宋体" w:hAnsi="宋体" w:eastAsia="宋体" w:cs="宋体"/>
          <w:b/>
          <w:bCs w:val="0"/>
          <w:color w:val="auto"/>
          <w:spacing w:val="0"/>
          <w:w w:val="100"/>
          <w:kern w:val="0"/>
          <w:sz w:val="21"/>
          <w:szCs w:val="21"/>
          <w:highlight w:val="none"/>
          <w:lang w:val="zh-CN" w:eastAsia="zh-CN" w:bidi="zh-CN"/>
        </w:rPr>
      </w:pPr>
      <w:r>
        <w:rPr>
          <w:rFonts w:hint="eastAsia" w:ascii="宋体" w:hAnsi="宋体" w:eastAsia="宋体" w:cs="宋体"/>
          <w:b/>
          <w:bCs w:val="0"/>
          <w:color w:val="auto"/>
          <w:spacing w:val="0"/>
          <w:w w:val="100"/>
          <w:kern w:val="0"/>
          <w:sz w:val="21"/>
          <w:szCs w:val="21"/>
          <w:highlight w:val="none"/>
          <w:lang w:val="zh-CN" w:eastAsia="zh-CN" w:bidi="zh-CN"/>
        </w:rPr>
        <w:t>第二条</w:t>
      </w:r>
      <w:r>
        <w:rPr>
          <w:rFonts w:hint="eastAsia" w:ascii="宋体" w:hAnsi="宋体" w:eastAsia="宋体" w:cs="宋体"/>
          <w:b/>
          <w:bCs w:val="0"/>
          <w:color w:val="auto"/>
          <w:spacing w:val="0"/>
          <w:w w:val="100"/>
          <w:kern w:val="0"/>
          <w:sz w:val="21"/>
          <w:szCs w:val="21"/>
          <w:highlight w:val="none"/>
          <w:lang w:val="en-US" w:eastAsia="zh-CN" w:bidi="zh-CN"/>
        </w:rPr>
        <w:t xml:space="preserve"> </w:t>
      </w:r>
      <w:r>
        <w:rPr>
          <w:rFonts w:hint="eastAsia" w:ascii="宋体" w:hAnsi="宋体" w:eastAsia="宋体" w:cs="宋体"/>
          <w:b/>
          <w:bCs w:val="0"/>
          <w:color w:val="auto"/>
          <w:spacing w:val="0"/>
          <w:w w:val="100"/>
          <w:kern w:val="0"/>
          <w:sz w:val="21"/>
          <w:szCs w:val="21"/>
          <w:highlight w:val="none"/>
          <w:lang w:val="zh-CN" w:eastAsia="zh-CN" w:bidi="zh-CN"/>
        </w:rPr>
        <w:t>承包范围和内容</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en-US" w:eastAsia="zh-CN" w:bidi="zh-CN"/>
        </w:rPr>
        <w:t>1</w:t>
      </w:r>
      <w:r>
        <w:rPr>
          <w:rFonts w:hint="eastAsia" w:ascii="宋体" w:hAnsi="宋体" w:eastAsia="宋体" w:cs="宋体"/>
          <w:bCs w:val="0"/>
          <w:color w:val="auto"/>
          <w:spacing w:val="0"/>
          <w:w w:val="100"/>
          <w:kern w:val="0"/>
          <w:sz w:val="21"/>
          <w:szCs w:val="21"/>
          <w:highlight w:val="none"/>
          <w:lang w:val="zh-CN" w:eastAsia="zh-CN" w:bidi="zh-CN"/>
        </w:rPr>
        <w:t>、项目的规模：大岭山镇大塘朗村周转场地复垦面积为28861平方米，该地块土地类别为农用地28737平方米（园地28724平方米，其他农用地13平方米），建设用地124平方米。</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寮步镇上底村地块二周转场地复垦面积为6077.38平方米，该地块土地类别为农用地6061.12平方米（其中带坑塘水面4220.33平方米、带果园1857.05平方米）。</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寮步镇上底村地块一周转场地复垦面积为9129.76平方米，该地块土地类别为农用地9129.76平方米（其中带K坑塘水面8949.29平方米、带K果园180.49平方米）。</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en-US" w:eastAsia="zh-CN" w:bidi="zh-CN"/>
        </w:rPr>
        <w:t>2</w:t>
      </w:r>
      <w:r>
        <w:rPr>
          <w:rFonts w:hint="eastAsia" w:ascii="宋体" w:hAnsi="宋体" w:eastAsia="宋体" w:cs="宋体"/>
          <w:bCs w:val="0"/>
          <w:color w:val="auto"/>
          <w:spacing w:val="0"/>
          <w:w w:val="100"/>
          <w:kern w:val="0"/>
          <w:sz w:val="21"/>
          <w:szCs w:val="21"/>
          <w:highlight w:val="none"/>
          <w:lang w:val="zh-CN" w:eastAsia="zh-CN" w:bidi="zh-CN"/>
        </w:rPr>
        <w:t>、承包范围：乙方按照本项目条件、</w:t>
      </w:r>
      <w:r>
        <w:rPr>
          <w:rFonts w:hint="eastAsia" w:ascii="宋体" w:hAnsi="宋体" w:eastAsia="宋体" w:cs="宋体"/>
          <w:bCs w:val="0"/>
          <w:color w:val="auto"/>
          <w:spacing w:val="0"/>
          <w:w w:val="100"/>
          <w:kern w:val="0"/>
          <w:sz w:val="21"/>
          <w:szCs w:val="21"/>
          <w:highlight w:val="none"/>
          <w:lang w:val="en-US" w:eastAsia="zh-CN" w:bidi="zh-CN"/>
        </w:rPr>
        <w:t>图纸、工程量清单</w:t>
      </w:r>
      <w:r>
        <w:rPr>
          <w:rFonts w:hint="eastAsia" w:ascii="宋体" w:hAnsi="宋体" w:eastAsia="宋体" w:cs="宋体"/>
          <w:bCs w:val="0"/>
          <w:color w:val="auto"/>
          <w:spacing w:val="0"/>
          <w:w w:val="100"/>
          <w:kern w:val="0"/>
          <w:sz w:val="21"/>
          <w:szCs w:val="21"/>
          <w:highlight w:val="none"/>
          <w:lang w:val="zh-CN" w:eastAsia="zh-CN" w:bidi="zh-CN"/>
        </w:rPr>
        <w:t>和复垦方案、有关技术资料，完成莞番高速（寮步段）垃圾填埋场治理项目大岭山镇地块临时用地土地复垦整治、莞番高速（寮步段）垃圾填埋场治理项目寮步镇地块二临时用地土地复垦整治、莞番高速（寮步段）垃圾填埋场治理项目寮步镇地块一临时用地土地复垦整治，项目竣工验收后，乙方向甲方移交场地和合格的项目竣工资料，</w:t>
      </w:r>
      <w:r>
        <w:rPr>
          <w:rFonts w:hint="eastAsia" w:ascii="宋体" w:hAnsi="宋体" w:eastAsia="宋体" w:cs="宋体"/>
          <w:bCs w:val="0"/>
          <w:color w:val="auto"/>
          <w:spacing w:val="0"/>
          <w:w w:val="100"/>
          <w:kern w:val="0"/>
          <w:sz w:val="21"/>
          <w:szCs w:val="21"/>
          <w:highlight w:val="none"/>
          <w:lang w:val="en-US" w:eastAsia="zh-CN" w:bidi="zh-CN"/>
        </w:rPr>
        <w:t>并</w:t>
      </w:r>
      <w:r>
        <w:rPr>
          <w:rFonts w:hint="eastAsia" w:ascii="宋体" w:hAnsi="宋体" w:eastAsia="宋体" w:cs="宋体"/>
          <w:bCs w:val="0"/>
          <w:color w:val="auto"/>
          <w:spacing w:val="0"/>
          <w:w w:val="100"/>
          <w:kern w:val="0"/>
          <w:sz w:val="21"/>
          <w:szCs w:val="21"/>
          <w:highlight w:val="none"/>
          <w:lang w:val="zh-CN" w:eastAsia="zh-CN" w:bidi="zh-CN"/>
        </w:rPr>
        <w:t>包办政府相关部门及第三方复垦验收手续，将所有设备自行拆离现场（此工程范围包工、包料、包工期、包质量、包安全、包文明施工、包竣工验收，具体按照本合同附件六技术需求书执行）。</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3、合同范围内的施工内容及施工过程中所发生超出合同范围的增减工程内容（以建设单位确认为准），乙方不得以任何借口拒绝施工，否则甲方有权委托第三方施工，施工的所有费用全部由乙方承担（从乙方的工程款中直接扣除）。</w:t>
      </w:r>
    </w:p>
    <w:p>
      <w:pPr>
        <w:keepNext w:val="0"/>
        <w:keepLines w:val="0"/>
        <w:pageBreakBefore w:val="0"/>
        <w:widowControl w:val="0"/>
        <w:tabs>
          <w:tab w:val="left" w:pos="2419"/>
        </w:tabs>
        <w:kinsoku/>
        <w:wordWrap/>
        <w:overflowPunct/>
        <w:topLinePunct w:val="0"/>
        <w:autoSpaceDE w:val="0"/>
        <w:autoSpaceDN w:val="0"/>
        <w:bidi w:val="0"/>
        <w:adjustRightInd/>
        <w:snapToGrid/>
        <w:spacing w:before="0" w:after="0" w:line="483" w:lineRule="auto"/>
        <w:ind w:left="0" w:leftChars="0" w:right="0" w:firstLine="422" w:firstLineChars="200"/>
        <w:jc w:val="left"/>
        <w:textAlignment w:val="auto"/>
        <w:outlineLvl w:val="1"/>
        <w:rPr>
          <w:rFonts w:hint="eastAsia" w:ascii="宋体" w:hAnsi="宋体" w:eastAsia="宋体" w:cs="宋体"/>
          <w:b/>
          <w:bCs w:val="0"/>
          <w:color w:val="auto"/>
          <w:spacing w:val="0"/>
          <w:w w:val="100"/>
          <w:kern w:val="0"/>
          <w:sz w:val="21"/>
          <w:szCs w:val="21"/>
          <w:highlight w:val="none"/>
          <w:lang w:val="zh-CN" w:eastAsia="zh-CN" w:bidi="zh-CN"/>
        </w:rPr>
      </w:pPr>
      <w:r>
        <w:rPr>
          <w:rFonts w:hint="eastAsia" w:ascii="宋体" w:hAnsi="宋体" w:eastAsia="宋体" w:cs="宋体"/>
          <w:b/>
          <w:bCs w:val="0"/>
          <w:color w:val="auto"/>
          <w:spacing w:val="0"/>
          <w:w w:val="100"/>
          <w:kern w:val="0"/>
          <w:sz w:val="21"/>
          <w:szCs w:val="21"/>
          <w:highlight w:val="none"/>
          <w:lang w:val="zh-CN" w:eastAsia="zh-CN" w:bidi="zh-CN"/>
        </w:rPr>
        <w:t>第三条 质量标准</w:t>
      </w:r>
    </w:p>
    <w:p>
      <w:pPr>
        <w:keepNext w:val="0"/>
        <w:keepLines w:val="0"/>
        <w:pageBreakBefore w:val="0"/>
        <w:widowControl w:val="0"/>
        <w:kinsoku/>
        <w:wordWrap/>
        <w:overflowPunct/>
        <w:topLinePunct w:val="0"/>
        <w:autoSpaceDE w:val="0"/>
        <w:autoSpaceDN w:val="0"/>
        <w:bidi w:val="0"/>
        <w:adjustRightInd/>
        <w:spacing w:before="0" w:after="0" w:line="465" w:lineRule="auto"/>
        <w:ind w:left="0" w:leftChars="0" w:right="0" w:firstLine="420" w:firstLineChars="200"/>
        <w:jc w:val="both"/>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乙方应严格按照</w:t>
      </w:r>
      <w:r>
        <w:rPr>
          <w:rFonts w:hint="eastAsia" w:hAnsi="宋体" w:cs="宋体"/>
          <w:bCs w:val="0"/>
          <w:color w:val="auto"/>
          <w:spacing w:val="0"/>
          <w:w w:val="100"/>
          <w:kern w:val="0"/>
          <w:sz w:val="21"/>
          <w:szCs w:val="21"/>
          <w:highlight w:val="none"/>
          <w:lang w:val="en-US" w:eastAsia="zh-CN" w:bidi="zh-CN"/>
        </w:rPr>
        <w:t>采购</w:t>
      </w:r>
      <w:r>
        <w:rPr>
          <w:rFonts w:hint="eastAsia" w:ascii="宋体" w:hAnsi="宋体" w:eastAsia="宋体" w:cs="宋体"/>
          <w:bCs w:val="0"/>
          <w:color w:val="auto"/>
          <w:spacing w:val="0"/>
          <w:w w:val="100"/>
          <w:kern w:val="0"/>
          <w:sz w:val="21"/>
          <w:szCs w:val="21"/>
          <w:highlight w:val="none"/>
          <w:lang w:val="en-US" w:eastAsia="zh-CN" w:bidi="zh-CN"/>
        </w:rPr>
        <w:t>文件、</w:t>
      </w:r>
      <w:r>
        <w:rPr>
          <w:rFonts w:hint="eastAsia" w:ascii="宋体" w:hAnsi="宋体" w:eastAsia="宋体" w:cs="宋体"/>
          <w:bCs w:val="0"/>
          <w:color w:val="auto"/>
          <w:spacing w:val="0"/>
          <w:w w:val="100"/>
          <w:kern w:val="0"/>
          <w:sz w:val="21"/>
          <w:szCs w:val="21"/>
          <w:highlight w:val="none"/>
          <w:lang w:val="zh-CN" w:eastAsia="zh-CN" w:bidi="zh-CN"/>
        </w:rPr>
        <w:t>施工图纸、</w:t>
      </w:r>
      <w:r>
        <w:rPr>
          <w:rFonts w:hint="eastAsia" w:ascii="宋体" w:hAnsi="宋体" w:eastAsia="宋体" w:cs="宋体"/>
          <w:bCs w:val="0"/>
          <w:color w:val="auto"/>
          <w:spacing w:val="0"/>
          <w:w w:val="100"/>
          <w:kern w:val="0"/>
          <w:sz w:val="21"/>
          <w:szCs w:val="21"/>
          <w:highlight w:val="none"/>
          <w:lang w:val="en-US" w:eastAsia="zh-CN" w:bidi="zh-CN"/>
        </w:rPr>
        <w:t>工程量清单</w:t>
      </w:r>
      <w:r>
        <w:rPr>
          <w:rFonts w:hint="eastAsia" w:ascii="宋体" w:hAnsi="宋体" w:eastAsia="宋体" w:cs="宋体"/>
          <w:bCs w:val="0"/>
          <w:color w:val="auto"/>
          <w:spacing w:val="0"/>
          <w:w w:val="100"/>
          <w:kern w:val="0"/>
          <w:sz w:val="21"/>
          <w:szCs w:val="21"/>
          <w:highlight w:val="none"/>
          <w:lang w:val="zh-CN" w:eastAsia="zh-CN" w:bidi="zh-CN"/>
        </w:rPr>
        <w:t>和国家、行业和广东省的《建筑工程施工质量验收统一标准》GB 50300-2013 工程规范、规程和标准进行施工，并接受甲方现场代表及监理公司的监督。工程质量标准为：中华人民共和国现行国家标准、国家工程质量验收标准、广东省镇级填埋场整治技术要求：达到“合格”或以上，且需满足</w:t>
      </w:r>
      <w:r>
        <w:rPr>
          <w:rFonts w:hint="eastAsia" w:ascii="宋体" w:hAnsi="宋体" w:eastAsia="宋体" w:cs="宋体"/>
          <w:color w:val="auto"/>
          <w:sz w:val="21"/>
          <w:szCs w:val="21"/>
          <w:highlight w:val="none"/>
          <w:lang w:val="zh-CN" w:eastAsia="zh-CN" w:bidi="zh-CN"/>
        </w:rPr>
        <w:t>《土地复垦质量控制标准》控制标准</w:t>
      </w:r>
      <w:r>
        <w:rPr>
          <w:rFonts w:hint="eastAsia" w:ascii="宋体" w:hAnsi="宋体" w:eastAsia="宋体" w:cs="宋体"/>
          <w:color w:val="auto"/>
          <w:sz w:val="21"/>
          <w:szCs w:val="21"/>
          <w:highlight w:val="none"/>
          <w:lang w:val="en-US" w:eastAsia="zh-CN" w:bidi="zh-CN"/>
        </w:rPr>
        <w:t>及</w:t>
      </w:r>
      <w:r>
        <w:rPr>
          <w:rFonts w:hint="eastAsia" w:ascii="宋体" w:hAnsi="宋体" w:eastAsia="宋体" w:cs="宋体"/>
          <w:bCs w:val="0"/>
          <w:color w:val="auto"/>
          <w:spacing w:val="0"/>
          <w:w w:val="100"/>
          <w:kern w:val="0"/>
          <w:sz w:val="21"/>
          <w:szCs w:val="21"/>
          <w:highlight w:val="none"/>
          <w:lang w:val="zh-CN" w:eastAsia="zh-CN" w:bidi="zh-CN"/>
        </w:rPr>
        <w:t>甲方</w:t>
      </w:r>
      <w:r>
        <w:rPr>
          <w:rFonts w:hint="eastAsia" w:ascii="宋体" w:hAnsi="宋体" w:eastAsia="宋体" w:cs="宋体"/>
          <w:bCs w:val="0"/>
          <w:color w:val="auto"/>
          <w:spacing w:val="0"/>
          <w:w w:val="100"/>
          <w:kern w:val="0"/>
          <w:sz w:val="21"/>
          <w:szCs w:val="21"/>
          <w:highlight w:val="none"/>
          <w:lang w:val="en-US" w:eastAsia="zh-CN" w:bidi="zh-CN"/>
        </w:rPr>
        <w:t>复垦方案、</w:t>
      </w:r>
      <w:r>
        <w:rPr>
          <w:rFonts w:hint="eastAsia" w:ascii="宋体" w:hAnsi="宋体" w:eastAsia="宋体" w:cs="宋体"/>
          <w:bCs w:val="0"/>
          <w:color w:val="auto"/>
          <w:spacing w:val="0"/>
          <w:w w:val="100"/>
          <w:kern w:val="0"/>
          <w:sz w:val="21"/>
          <w:szCs w:val="21"/>
          <w:highlight w:val="none"/>
          <w:lang w:val="zh-CN" w:eastAsia="zh-CN" w:bidi="zh-CN"/>
        </w:rPr>
        <w:t>设计图纸需要和技术要求，</w:t>
      </w:r>
      <w:r>
        <w:rPr>
          <w:rFonts w:hint="eastAsia" w:ascii="宋体" w:hAnsi="宋体" w:eastAsia="宋体" w:cs="宋体"/>
          <w:color w:val="auto"/>
          <w:sz w:val="21"/>
          <w:szCs w:val="21"/>
          <w:highlight w:val="none"/>
          <w:lang w:val="en-US" w:eastAsia="zh-CN" w:bidi="zh-CN"/>
        </w:rPr>
        <w:t>通过当地自然资源分局、环保、农业、林业等部门验收</w:t>
      </w:r>
      <w:r>
        <w:rPr>
          <w:rFonts w:hint="eastAsia" w:ascii="宋体" w:hAnsi="宋体" w:eastAsia="宋体" w:cs="宋体"/>
          <w:bCs w:val="0"/>
          <w:color w:val="auto"/>
          <w:spacing w:val="0"/>
          <w:w w:val="100"/>
          <w:kern w:val="0"/>
          <w:sz w:val="21"/>
          <w:szCs w:val="21"/>
          <w:highlight w:val="none"/>
          <w:lang w:val="zh-CN" w:eastAsia="zh-CN" w:bidi="zh-CN"/>
        </w:rPr>
        <w:t>。</w:t>
      </w:r>
    </w:p>
    <w:p>
      <w:pPr>
        <w:keepNext w:val="0"/>
        <w:keepLines w:val="0"/>
        <w:pageBreakBefore w:val="0"/>
        <w:widowControl/>
        <w:kinsoku/>
        <w:wordWrap/>
        <w:overflowPunct/>
        <w:topLinePunct w:val="0"/>
        <w:autoSpaceDE/>
        <w:autoSpaceDN/>
        <w:bidi w:val="0"/>
        <w:adjustRightInd/>
        <w:snapToGrid/>
        <w:spacing w:before="0" w:after="0" w:line="463" w:lineRule="auto"/>
        <w:ind w:left="0" w:leftChars="0" w:right="0" w:firstLine="422" w:firstLineChars="200"/>
        <w:jc w:val="both"/>
        <w:textAlignment w:val="auto"/>
        <w:outlineLvl w:val="9"/>
        <w:rPr>
          <w:rFonts w:hint="eastAsia" w:ascii="宋体" w:hAnsi="宋体" w:eastAsia="宋体" w:cs="宋体"/>
          <w:b/>
          <w:bCs w:val="0"/>
          <w:color w:val="auto"/>
          <w:spacing w:val="0"/>
          <w:w w:val="100"/>
          <w:kern w:val="0"/>
          <w:sz w:val="21"/>
          <w:szCs w:val="21"/>
          <w:highlight w:val="none"/>
          <w:lang w:val="zh-CN" w:eastAsia="zh-CN" w:bidi="zh-CN"/>
        </w:rPr>
      </w:pPr>
      <w:r>
        <w:rPr>
          <w:rFonts w:hint="eastAsia" w:ascii="宋体" w:hAnsi="宋体" w:eastAsia="宋体" w:cs="宋体"/>
          <w:b/>
          <w:bCs w:val="0"/>
          <w:color w:val="auto"/>
          <w:spacing w:val="0"/>
          <w:w w:val="100"/>
          <w:kern w:val="0"/>
          <w:sz w:val="21"/>
          <w:szCs w:val="21"/>
          <w:highlight w:val="none"/>
          <w:lang w:val="zh-CN" w:eastAsia="zh-CN" w:bidi="zh-CN"/>
        </w:rPr>
        <w:t>第四条</w:t>
      </w:r>
      <w:r>
        <w:rPr>
          <w:rFonts w:hint="eastAsia" w:ascii="宋体" w:hAnsi="宋体" w:eastAsia="宋体" w:cs="宋体"/>
          <w:b/>
          <w:bCs w:val="0"/>
          <w:color w:val="auto"/>
          <w:spacing w:val="0"/>
          <w:w w:val="100"/>
          <w:kern w:val="0"/>
          <w:sz w:val="21"/>
          <w:szCs w:val="21"/>
          <w:highlight w:val="none"/>
          <w:lang w:val="en-US" w:eastAsia="zh-CN" w:bidi="zh-CN"/>
        </w:rPr>
        <w:t xml:space="preserve"> </w:t>
      </w:r>
      <w:r>
        <w:rPr>
          <w:rFonts w:hint="eastAsia" w:ascii="宋体" w:hAnsi="宋体" w:eastAsia="宋体" w:cs="宋体"/>
          <w:b/>
          <w:bCs w:val="0"/>
          <w:color w:val="auto"/>
          <w:spacing w:val="0"/>
          <w:w w:val="100"/>
          <w:kern w:val="0"/>
          <w:sz w:val="21"/>
          <w:szCs w:val="21"/>
          <w:highlight w:val="none"/>
          <w:lang w:val="zh-CN" w:eastAsia="zh-CN" w:bidi="zh-CN"/>
        </w:rPr>
        <w:t>合同价款</w:t>
      </w:r>
    </w:p>
    <w:p>
      <w:pPr>
        <w:keepNext w:val="0"/>
        <w:keepLines w:val="0"/>
        <w:pageBreakBefore w:val="0"/>
        <w:widowControl w:val="0"/>
        <w:tabs>
          <w:tab w:val="left" w:pos="4685"/>
        </w:tabs>
        <w:kinsoku/>
        <w:wordWrap/>
        <w:overflowPunct/>
        <w:topLinePunct w:val="0"/>
        <w:autoSpaceDE w:val="0"/>
        <w:autoSpaceDN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1、本合同</w:t>
      </w:r>
      <w:r>
        <w:rPr>
          <w:rFonts w:hint="eastAsia" w:ascii="宋体" w:hAnsi="宋体" w:eastAsia="宋体" w:cs="宋体"/>
          <w:bCs w:val="0"/>
          <w:color w:val="auto"/>
          <w:spacing w:val="0"/>
          <w:w w:val="100"/>
          <w:kern w:val="0"/>
          <w:sz w:val="21"/>
          <w:szCs w:val="21"/>
          <w:highlight w:val="none"/>
          <w:lang w:val="en-US" w:eastAsia="zh-CN" w:bidi="zh-CN"/>
        </w:rPr>
        <w:t>包干总价</w:t>
      </w:r>
      <w:r>
        <w:rPr>
          <w:rFonts w:hint="eastAsia" w:ascii="宋体" w:hAnsi="宋体" w:eastAsia="宋体" w:cs="宋体"/>
          <w:bCs w:val="0"/>
          <w:color w:val="auto"/>
          <w:spacing w:val="0"/>
          <w:w w:val="100"/>
          <w:kern w:val="0"/>
          <w:sz w:val="21"/>
          <w:szCs w:val="21"/>
          <w:highlight w:val="none"/>
          <w:lang w:val="zh-CN" w:eastAsia="zh-CN" w:bidi="zh-CN"/>
        </w:rPr>
        <w:t>金额为</w:t>
      </w:r>
      <w:r>
        <w:rPr>
          <w:rFonts w:hint="eastAsia" w:ascii="宋体" w:hAnsi="宋体" w:eastAsia="宋体" w:cs="宋体"/>
          <w:bCs w:val="0"/>
          <w:color w:val="auto"/>
          <w:spacing w:val="0"/>
          <w:w w:val="100"/>
          <w:kern w:val="0"/>
          <w:sz w:val="21"/>
          <w:szCs w:val="21"/>
          <w:highlight w:val="none"/>
          <w:u w:val="single"/>
          <w:lang w:val="zh-CN" w:eastAsia="zh-CN" w:bidi="zh-CN"/>
        </w:rPr>
        <w:t xml:space="preserve"> ¥</w:t>
      </w:r>
      <w:r>
        <w:rPr>
          <w:rFonts w:hint="eastAsia" w:ascii="宋体" w:hAnsi="宋体" w:eastAsia="宋体" w:cs="宋体"/>
          <w:bCs w:val="0"/>
          <w:color w:val="auto"/>
          <w:spacing w:val="0"/>
          <w:w w:val="100"/>
          <w:kern w:val="0"/>
          <w:sz w:val="21"/>
          <w:szCs w:val="21"/>
          <w:highlight w:val="none"/>
          <w:u w:val="single"/>
          <w:lang w:val="en-US" w:eastAsia="zh-CN" w:bidi="zh-CN"/>
        </w:rPr>
        <w:t xml:space="preserve">   </w:t>
      </w:r>
      <w:r>
        <w:rPr>
          <w:rFonts w:hint="eastAsia" w:ascii="宋体" w:hAnsi="宋体" w:eastAsia="宋体" w:cs="宋体"/>
          <w:bCs w:val="0"/>
          <w:color w:val="auto"/>
          <w:spacing w:val="0"/>
          <w:w w:val="100"/>
          <w:kern w:val="0"/>
          <w:sz w:val="21"/>
          <w:szCs w:val="21"/>
          <w:highlight w:val="none"/>
          <w:lang w:val="zh-CN" w:eastAsia="zh-CN" w:bidi="zh-CN"/>
        </w:rPr>
        <w:t>元（大写人民币：），此为含税金额，按照现行税收政策规定，应包含税率 9%的增值税，如遇税务政策调整，自税务政策调整之日起，应按本合同金额/（1+增值税税率 9%）计算的不含税价格乘以调整后的税率支付后续合同款项。每次付款前，乙方应提前开具等额有效的增值税专用发票，并交付甲方；甲方未收到乙方发票的，可不予付款。</w:t>
      </w:r>
    </w:p>
    <w:p>
      <w:pPr>
        <w:keepNext w:val="0"/>
        <w:keepLines w:val="0"/>
        <w:pageBreakBefore w:val="0"/>
        <w:widowControl w:val="0"/>
        <w:kinsoku/>
        <w:wordWrap/>
        <w:overflowPunct/>
        <w:topLinePunct w:val="0"/>
        <w:autoSpaceDE w:val="0"/>
        <w:autoSpaceDN w:val="0"/>
        <w:bidi w:val="0"/>
        <w:adjustRightInd/>
        <w:spacing w:before="0" w:after="0" w:line="427" w:lineRule="auto"/>
        <w:ind w:left="0" w:leftChars="0" w:right="0" w:firstLine="420" w:firstLineChars="200"/>
        <w:jc w:val="both"/>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2、本合同包干不含税金额为</w:t>
      </w:r>
      <w:r>
        <w:rPr>
          <w:rFonts w:hint="eastAsia" w:ascii="宋体" w:hAnsi="宋体" w:eastAsia="宋体" w:cs="宋体"/>
          <w:bCs w:val="0"/>
          <w:color w:val="auto"/>
          <w:spacing w:val="0"/>
          <w:w w:val="100"/>
          <w:kern w:val="0"/>
          <w:sz w:val="21"/>
          <w:szCs w:val="21"/>
          <w:highlight w:val="none"/>
          <w:u w:val="single"/>
          <w:lang w:val="zh-CN" w:eastAsia="zh-CN" w:bidi="zh-CN"/>
        </w:rPr>
        <w:t>¥</w:t>
      </w:r>
      <w:r>
        <w:rPr>
          <w:rFonts w:hint="eastAsia" w:ascii="宋体" w:hAnsi="宋体" w:eastAsia="宋体" w:cs="宋体"/>
          <w:bCs w:val="0"/>
          <w:color w:val="auto"/>
          <w:spacing w:val="0"/>
          <w:w w:val="100"/>
          <w:kern w:val="0"/>
          <w:sz w:val="21"/>
          <w:szCs w:val="21"/>
          <w:highlight w:val="none"/>
          <w:u w:val="single"/>
          <w:lang w:val="en-US" w:eastAsia="zh-CN" w:bidi="zh-CN"/>
        </w:rPr>
        <w:t xml:space="preserve"> </w:t>
      </w:r>
      <w:r>
        <w:rPr>
          <w:rFonts w:hint="eastAsia" w:ascii="宋体" w:hAnsi="宋体" w:eastAsia="宋体" w:cs="宋体"/>
          <w:bCs w:val="0"/>
          <w:color w:val="auto"/>
          <w:spacing w:val="0"/>
          <w:w w:val="100"/>
          <w:kern w:val="0"/>
          <w:sz w:val="21"/>
          <w:szCs w:val="21"/>
          <w:highlight w:val="none"/>
          <w:lang w:val="zh-CN" w:eastAsia="zh-CN" w:bidi="zh-CN"/>
        </w:rPr>
        <w:t>元（大写人民币：），乙方负责开具发票所需承担的所有税费，包括税务政策调整引起的税费变化等。每次付款前，乙方应提前开具等额有效的增值税专用发票，并交付甲方；甲方未收到乙方发票的，可不予付款。</w:t>
      </w:r>
    </w:p>
    <w:p>
      <w:pPr>
        <w:keepNext w:val="0"/>
        <w:keepLines w:val="0"/>
        <w:pageBreakBefore w:val="0"/>
        <w:widowControl w:val="0"/>
        <w:kinsoku/>
        <w:wordWrap/>
        <w:overflowPunct/>
        <w:topLinePunct w:val="0"/>
        <w:autoSpaceDE w:val="0"/>
        <w:autoSpaceDN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3、合同价格包含人工、主材、辅助性材料、工具、机械、设备材料领用、出库、倒运、施工准备等直接费、施工现场管理费（含人员保险、体检费用）、人员进退场费、施工人员食宿差旅补贴、水电费用、间接费、移交前的维护、利润、税金、设备材料施工现场装卸及转运费、工程包干费、合同所包含的所有风险、责任、保险、不可预见费、价差、施工准备、进退场、竣工验收清理场地及恢复、所有的工程取费、物价上涨、政策性文件规定等各项费用。本合同金额为暂定价，实际结算金额采用</w:t>
      </w:r>
      <w:r>
        <w:rPr>
          <w:rFonts w:hint="eastAsia" w:ascii="宋体" w:hAnsi="宋体" w:eastAsia="宋体" w:cs="宋体"/>
          <w:bCs w:val="0"/>
          <w:color w:val="auto"/>
          <w:spacing w:val="0"/>
          <w:w w:val="100"/>
          <w:kern w:val="0"/>
          <w:sz w:val="21"/>
          <w:szCs w:val="21"/>
          <w:highlight w:val="none"/>
          <w:u w:val="single"/>
          <w:lang w:val="zh-CN" w:eastAsia="zh-CN" w:bidi="zh-CN"/>
        </w:rPr>
        <w:t xml:space="preserve"> </w:t>
      </w:r>
      <w:r>
        <w:rPr>
          <w:rFonts w:hint="eastAsia" w:ascii="宋体" w:hAnsi="宋体" w:eastAsia="宋体" w:cs="宋体"/>
          <w:b/>
          <w:bCs w:val="0"/>
          <w:color w:val="auto"/>
          <w:spacing w:val="0"/>
          <w:w w:val="100"/>
          <w:kern w:val="0"/>
          <w:sz w:val="21"/>
          <w:szCs w:val="21"/>
          <w:highlight w:val="none"/>
          <w:u w:val="single"/>
          <w:lang w:val="en-US" w:eastAsia="zh-CN" w:bidi="zh-CN"/>
        </w:rPr>
        <w:t>总价包干</w:t>
      </w:r>
      <w:r>
        <w:rPr>
          <w:rFonts w:hint="eastAsia" w:ascii="宋体" w:hAnsi="宋体" w:eastAsia="宋体" w:cs="宋体"/>
          <w:bCs w:val="0"/>
          <w:color w:val="auto"/>
          <w:spacing w:val="0"/>
          <w:w w:val="100"/>
          <w:kern w:val="0"/>
          <w:sz w:val="21"/>
          <w:szCs w:val="21"/>
          <w:highlight w:val="none"/>
          <w:lang w:val="zh-CN" w:eastAsia="zh-CN" w:bidi="zh-CN"/>
        </w:rPr>
        <w:t>方式确定，若最终结算时相关项目未实施（含材料采购和</w:t>
      </w:r>
      <w:r>
        <w:rPr>
          <w:rFonts w:hint="eastAsia" w:ascii="宋体" w:hAnsi="宋体" w:eastAsia="宋体" w:cs="宋体"/>
          <w:bCs w:val="0"/>
          <w:color w:val="auto"/>
          <w:spacing w:val="0"/>
          <w:w w:val="100"/>
          <w:kern w:val="0"/>
          <w:sz w:val="21"/>
          <w:szCs w:val="21"/>
          <w:highlight w:val="none"/>
          <w:lang w:val="en-US" w:eastAsia="zh-CN" w:bidi="zh-CN"/>
        </w:rPr>
        <w:t>施工工程量</w:t>
      </w:r>
      <w:r>
        <w:rPr>
          <w:rFonts w:hint="eastAsia" w:ascii="宋体" w:hAnsi="宋体" w:eastAsia="宋体" w:cs="宋体"/>
          <w:bCs w:val="0"/>
          <w:color w:val="auto"/>
          <w:spacing w:val="0"/>
          <w:w w:val="100"/>
          <w:kern w:val="0"/>
          <w:sz w:val="21"/>
          <w:szCs w:val="21"/>
          <w:highlight w:val="none"/>
          <w:lang w:val="zh-CN" w:eastAsia="zh-CN" w:bidi="zh-CN"/>
        </w:rPr>
        <w:t>减少等情况），</w:t>
      </w:r>
      <w:r>
        <w:rPr>
          <w:rFonts w:hint="eastAsia" w:ascii="宋体" w:hAnsi="宋体" w:eastAsia="宋体" w:cs="宋体"/>
          <w:bCs w:val="0"/>
          <w:color w:val="auto"/>
          <w:spacing w:val="0"/>
          <w:w w:val="100"/>
          <w:kern w:val="0"/>
          <w:sz w:val="21"/>
          <w:szCs w:val="21"/>
          <w:highlight w:val="none"/>
          <w:lang w:val="en-US" w:eastAsia="zh-CN" w:bidi="zh-CN"/>
        </w:rPr>
        <w:t>甲方</w:t>
      </w:r>
      <w:r>
        <w:rPr>
          <w:rFonts w:hint="eastAsia" w:ascii="宋体" w:hAnsi="宋体" w:eastAsia="宋体" w:cs="宋体"/>
          <w:bCs w:val="0"/>
          <w:color w:val="auto"/>
          <w:spacing w:val="0"/>
          <w:w w:val="100"/>
          <w:kern w:val="0"/>
          <w:sz w:val="21"/>
          <w:szCs w:val="21"/>
          <w:highlight w:val="none"/>
          <w:lang w:val="zh-CN" w:eastAsia="zh-CN" w:bidi="zh-CN"/>
        </w:rPr>
        <w:t>可做相关的结算扣减；</w:t>
      </w:r>
      <w:r>
        <w:rPr>
          <w:rFonts w:hint="eastAsia" w:ascii="宋体" w:hAnsi="宋体" w:eastAsia="宋体" w:cs="宋体"/>
          <w:bCs w:val="0"/>
          <w:color w:val="auto"/>
          <w:spacing w:val="0"/>
          <w:w w:val="100"/>
          <w:kern w:val="0"/>
          <w:sz w:val="21"/>
          <w:szCs w:val="21"/>
          <w:highlight w:val="none"/>
          <w:lang w:val="en-US" w:eastAsia="zh-CN" w:bidi="zh-CN"/>
        </w:rPr>
        <w:t>若最终结算时出现合同施工图纸方案内工程量增加情况，合同包干总价不做调整；另外，</w:t>
      </w:r>
      <w:r>
        <w:rPr>
          <w:rFonts w:hint="eastAsia" w:ascii="宋体" w:hAnsi="宋体" w:eastAsia="宋体" w:cs="宋体"/>
          <w:color w:val="auto"/>
          <w:sz w:val="21"/>
          <w:szCs w:val="21"/>
          <w:highlight w:val="none"/>
          <w:lang w:val="zh-CN" w:eastAsia="zh-CN" w:bidi="zh-CN"/>
        </w:rPr>
        <w:t>若最终财审审定金额高于结算总价上浮10%，则以结算总价金额作为最终结算金额；若最终财审审定金额低于结算总价上浮10%的，则按照财审审定金额下浮10%作为最终结算金额。</w:t>
      </w:r>
    </w:p>
    <w:p>
      <w:pPr>
        <w:keepNext w:val="0"/>
        <w:keepLines w:val="0"/>
        <w:pageBreakBefore w:val="0"/>
        <w:widowControl w:val="0"/>
        <w:kinsoku/>
        <w:wordWrap/>
        <w:overflowPunct/>
        <w:topLinePunct w:val="0"/>
        <w:autoSpaceDE w:val="0"/>
        <w:autoSpaceDN w:val="0"/>
        <w:bidi w:val="0"/>
        <w:adjustRightInd/>
        <w:spacing w:before="0" w:after="0" w:line="427" w:lineRule="auto"/>
        <w:ind w:left="0" w:leftChars="0" w:right="0" w:firstLine="420" w:firstLineChars="200"/>
        <w:jc w:val="both"/>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en-US" w:eastAsia="zh-CN" w:bidi="zh-CN"/>
        </w:rPr>
        <w:t>4</w:t>
      </w:r>
      <w:r>
        <w:rPr>
          <w:rFonts w:hint="eastAsia" w:ascii="宋体" w:hAnsi="宋体" w:eastAsia="宋体" w:cs="宋体"/>
          <w:bCs w:val="0"/>
          <w:color w:val="auto"/>
          <w:spacing w:val="0"/>
          <w:w w:val="100"/>
          <w:kern w:val="0"/>
          <w:sz w:val="21"/>
          <w:szCs w:val="21"/>
          <w:highlight w:val="none"/>
          <w:lang w:val="zh-CN" w:eastAsia="zh-CN" w:bidi="zh-CN"/>
        </w:rPr>
        <w:t>、本工程实施期间，不计取任何情况下的所产生的窝工、停工等费用，视为该费用已包含在合同总价内。</w:t>
      </w:r>
    </w:p>
    <w:p>
      <w:pPr>
        <w:keepNext w:val="0"/>
        <w:keepLines w:val="0"/>
        <w:pageBreakBefore w:val="0"/>
        <w:widowControl w:val="0"/>
        <w:kinsoku/>
        <w:wordWrap/>
        <w:overflowPunct/>
        <w:topLinePunct w:val="0"/>
        <w:autoSpaceDE w:val="0"/>
        <w:autoSpaceDN w:val="0"/>
        <w:bidi w:val="0"/>
        <w:adjustRightInd/>
        <w:spacing w:before="0" w:after="0" w:line="427" w:lineRule="auto"/>
        <w:ind w:left="0" w:leftChars="0" w:right="0" w:firstLine="420" w:firstLineChars="200"/>
        <w:jc w:val="both"/>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en-US" w:eastAsia="zh-CN" w:bidi="zh-CN"/>
        </w:rPr>
        <w:t>5</w:t>
      </w:r>
      <w:r>
        <w:rPr>
          <w:rFonts w:hint="eastAsia" w:ascii="宋体" w:hAnsi="宋体" w:eastAsia="宋体" w:cs="宋体"/>
          <w:bCs w:val="0"/>
          <w:color w:val="auto"/>
          <w:spacing w:val="0"/>
          <w:w w:val="100"/>
          <w:kern w:val="0"/>
          <w:sz w:val="21"/>
          <w:szCs w:val="21"/>
          <w:highlight w:val="none"/>
          <w:lang w:val="zh-CN" w:eastAsia="zh-CN" w:bidi="zh-CN"/>
        </w:rPr>
        <w:t>、乙方有义务配合甲方完成成本控制工作，并在不超出甲方限额的情况下提出图纸优化方案，乙方未按甲方要求控制成本或者未经甲方书面确认允许超出限额的，对超出限额的部分，甲方有权不予计算。</w:t>
      </w:r>
    </w:p>
    <w:p>
      <w:pPr>
        <w:keepNext w:val="0"/>
        <w:keepLines w:val="0"/>
        <w:pageBreakBefore w:val="0"/>
        <w:widowControl w:val="0"/>
        <w:kinsoku/>
        <w:wordWrap/>
        <w:overflowPunct/>
        <w:topLinePunct w:val="0"/>
        <w:autoSpaceDE w:val="0"/>
        <w:autoSpaceDN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en-US" w:eastAsia="zh-CN" w:bidi="zh-CN"/>
        </w:rPr>
        <w:t>6</w:t>
      </w:r>
      <w:r>
        <w:rPr>
          <w:rFonts w:hint="eastAsia" w:ascii="宋体" w:hAnsi="宋体" w:eastAsia="宋体" w:cs="宋体"/>
          <w:bCs w:val="0"/>
          <w:color w:val="auto"/>
          <w:spacing w:val="0"/>
          <w:w w:val="100"/>
          <w:kern w:val="0"/>
          <w:sz w:val="21"/>
          <w:szCs w:val="21"/>
          <w:highlight w:val="none"/>
          <w:lang w:val="zh-CN" w:eastAsia="zh-CN" w:bidi="zh-CN"/>
        </w:rPr>
        <w:t>、若甲方认为有必要，有权采用甲供材料方式，材料损耗率按定额标准损耗率计算，超过部分由乙方承担。</w:t>
      </w:r>
    </w:p>
    <w:p>
      <w:pPr>
        <w:keepNext w:val="0"/>
        <w:keepLines w:val="0"/>
        <w:pageBreakBefore w:val="0"/>
        <w:widowControl w:val="0"/>
        <w:kinsoku/>
        <w:wordWrap/>
        <w:overflowPunct/>
        <w:topLinePunct w:val="0"/>
        <w:autoSpaceDE w:val="0"/>
        <w:autoSpaceDN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en-US" w:eastAsia="zh-CN" w:bidi="zh-CN"/>
        </w:rPr>
        <w:t>7</w:t>
      </w:r>
      <w:r>
        <w:rPr>
          <w:rFonts w:hint="eastAsia" w:ascii="宋体" w:hAnsi="宋体" w:eastAsia="宋体" w:cs="宋体"/>
          <w:bCs w:val="0"/>
          <w:color w:val="auto"/>
          <w:spacing w:val="0"/>
          <w:w w:val="100"/>
          <w:kern w:val="0"/>
          <w:sz w:val="21"/>
          <w:szCs w:val="21"/>
          <w:highlight w:val="none"/>
          <w:lang w:val="zh-CN" w:eastAsia="zh-CN" w:bidi="zh-CN"/>
        </w:rPr>
        <w:t>、在合同履约过程中，乙方出现以下情形之一的，甲方有权随时更换或者增加第三方单位进行施工，第三方单位实际施工产生的费用参照本合同的结算条款，按实结算。</w:t>
      </w:r>
    </w:p>
    <w:p>
      <w:pPr>
        <w:keepNext w:val="0"/>
        <w:keepLines w:val="0"/>
        <w:pageBreakBefore w:val="0"/>
        <w:widowControl w:val="0"/>
        <w:kinsoku/>
        <w:wordWrap/>
        <w:overflowPunct/>
        <w:topLinePunct w:val="0"/>
        <w:autoSpaceDE w:val="0"/>
        <w:autoSpaceDN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（1）乙方延期完成合同约定的工期节点或甲方下发的工程指令单的工期节点达一次及以上的；</w:t>
      </w:r>
    </w:p>
    <w:p>
      <w:pPr>
        <w:keepNext w:val="0"/>
        <w:keepLines w:val="0"/>
        <w:pageBreakBefore w:val="0"/>
        <w:widowControl w:val="0"/>
        <w:kinsoku/>
        <w:wordWrap/>
        <w:overflowPunct/>
        <w:topLinePunct w:val="0"/>
        <w:autoSpaceDE w:val="0"/>
        <w:autoSpaceDN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w:t>
      </w:r>
      <w:r>
        <w:rPr>
          <w:rFonts w:hint="eastAsia" w:ascii="宋体" w:hAnsi="宋体" w:eastAsia="宋体" w:cs="宋体"/>
          <w:bCs w:val="0"/>
          <w:color w:val="auto"/>
          <w:spacing w:val="0"/>
          <w:w w:val="100"/>
          <w:kern w:val="0"/>
          <w:sz w:val="21"/>
          <w:szCs w:val="21"/>
          <w:highlight w:val="none"/>
          <w:lang w:val="en-US" w:eastAsia="zh-CN" w:bidi="zh-CN"/>
        </w:rPr>
        <w:t>2</w:t>
      </w:r>
      <w:r>
        <w:rPr>
          <w:rFonts w:hint="eastAsia" w:ascii="宋体" w:hAnsi="宋体" w:eastAsia="宋体" w:cs="宋体"/>
          <w:bCs w:val="0"/>
          <w:color w:val="auto"/>
          <w:spacing w:val="0"/>
          <w:w w:val="100"/>
          <w:kern w:val="0"/>
          <w:sz w:val="21"/>
          <w:szCs w:val="21"/>
          <w:highlight w:val="none"/>
          <w:lang w:val="zh-CN" w:eastAsia="zh-CN" w:bidi="zh-CN"/>
        </w:rPr>
        <w:t>）乙方未能达到合同约定的工程质量标准一次及以上的；</w:t>
      </w:r>
    </w:p>
    <w:p>
      <w:pPr>
        <w:keepNext w:val="0"/>
        <w:keepLines w:val="0"/>
        <w:pageBreakBefore w:val="0"/>
        <w:widowControl w:val="0"/>
        <w:kinsoku/>
        <w:wordWrap/>
        <w:overflowPunct/>
        <w:topLinePunct w:val="0"/>
        <w:autoSpaceDE w:val="0"/>
        <w:autoSpaceDN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（3）乙方未能按照国家、行业施工标准进行施工，经甲方发现超过一次及以上的。</w:t>
      </w:r>
    </w:p>
    <w:p>
      <w:pPr>
        <w:keepNext w:val="0"/>
        <w:keepLines w:val="0"/>
        <w:pageBreakBefore w:val="0"/>
        <w:widowControl w:val="0"/>
        <w:tabs>
          <w:tab w:val="left" w:pos="2419"/>
        </w:tabs>
        <w:kinsoku/>
        <w:wordWrap/>
        <w:overflowPunct/>
        <w:topLinePunct w:val="0"/>
        <w:autoSpaceDE w:val="0"/>
        <w:autoSpaceDN w:val="0"/>
        <w:bidi w:val="0"/>
        <w:adjustRightInd/>
        <w:snapToGrid/>
        <w:spacing w:before="0" w:after="0" w:line="483" w:lineRule="auto"/>
        <w:ind w:left="0" w:leftChars="0" w:right="0" w:firstLine="422" w:firstLineChars="200"/>
        <w:jc w:val="left"/>
        <w:textAlignment w:val="auto"/>
        <w:outlineLvl w:val="1"/>
        <w:rPr>
          <w:rFonts w:hint="eastAsia" w:ascii="宋体" w:hAnsi="宋体" w:eastAsia="宋体" w:cs="宋体"/>
          <w:b/>
          <w:bCs w:val="0"/>
          <w:color w:val="auto"/>
          <w:spacing w:val="0"/>
          <w:w w:val="100"/>
          <w:kern w:val="0"/>
          <w:sz w:val="21"/>
          <w:szCs w:val="21"/>
          <w:highlight w:val="none"/>
          <w:lang w:val="zh-CN" w:eastAsia="zh-CN" w:bidi="zh-CN"/>
        </w:rPr>
      </w:pPr>
      <w:r>
        <w:rPr>
          <w:rFonts w:hint="eastAsia" w:ascii="宋体" w:hAnsi="宋体" w:eastAsia="宋体" w:cs="宋体"/>
          <w:b/>
          <w:bCs w:val="0"/>
          <w:color w:val="auto"/>
          <w:spacing w:val="0"/>
          <w:w w:val="100"/>
          <w:kern w:val="0"/>
          <w:sz w:val="21"/>
          <w:szCs w:val="21"/>
          <w:highlight w:val="none"/>
          <w:lang w:val="zh-CN" w:eastAsia="zh-CN" w:bidi="zh-CN"/>
        </w:rPr>
        <w:t>第五条</w:t>
      </w:r>
      <w:r>
        <w:rPr>
          <w:rFonts w:hint="eastAsia" w:ascii="宋体" w:hAnsi="宋体" w:eastAsia="宋体" w:cs="宋体"/>
          <w:b/>
          <w:bCs w:val="0"/>
          <w:color w:val="auto"/>
          <w:spacing w:val="0"/>
          <w:w w:val="100"/>
          <w:kern w:val="0"/>
          <w:sz w:val="21"/>
          <w:szCs w:val="21"/>
          <w:highlight w:val="none"/>
          <w:lang w:val="en-US" w:eastAsia="zh-CN" w:bidi="zh-CN"/>
        </w:rPr>
        <w:t xml:space="preserve"> </w:t>
      </w:r>
      <w:r>
        <w:rPr>
          <w:rFonts w:hint="eastAsia" w:ascii="宋体" w:hAnsi="宋体" w:eastAsia="宋体" w:cs="宋体"/>
          <w:b/>
          <w:bCs w:val="0"/>
          <w:color w:val="auto"/>
          <w:spacing w:val="0"/>
          <w:w w:val="100"/>
          <w:kern w:val="0"/>
          <w:sz w:val="21"/>
          <w:szCs w:val="21"/>
          <w:highlight w:val="none"/>
          <w:lang w:val="zh-CN" w:eastAsia="zh-CN" w:bidi="zh-CN"/>
        </w:rPr>
        <w:t>工期</w:t>
      </w:r>
    </w:p>
    <w:p>
      <w:pPr>
        <w:keepNext w:val="0"/>
        <w:keepLines w:val="0"/>
        <w:pageBreakBefore w:val="0"/>
        <w:widowControl w:val="0"/>
        <w:tabs>
          <w:tab w:val="left" w:pos="8942"/>
        </w:tabs>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（一）</w:t>
      </w:r>
      <w:r>
        <w:rPr>
          <w:rFonts w:hint="eastAsia" w:ascii="宋体" w:hAnsi="宋体" w:eastAsia="宋体" w:cs="宋体"/>
          <w:b w:val="0"/>
          <w:bCs w:val="0"/>
          <w:color w:val="auto"/>
          <w:sz w:val="21"/>
          <w:szCs w:val="21"/>
          <w:highlight w:val="none"/>
          <w:lang w:val="zh-CN" w:eastAsia="zh-CN" w:bidi="zh-CN"/>
        </w:rPr>
        <w:t>本项目合同工期暂定为50天，其中大岭山镇地块临时用地、寮步镇地块二临时用地为第一阶段复垦项目，同时施工，工期30个日历天，</w:t>
      </w:r>
      <w:r>
        <w:rPr>
          <w:rFonts w:hint="eastAsia" w:ascii="宋体" w:hAnsi="宋体" w:eastAsia="宋体" w:cs="宋体"/>
          <w:b w:val="0"/>
          <w:bCs w:val="0"/>
          <w:color w:val="auto"/>
          <w:sz w:val="21"/>
          <w:szCs w:val="21"/>
          <w:highlight w:val="none"/>
          <w:lang w:val="en-US" w:eastAsia="zh-CN" w:bidi="zh-CN"/>
        </w:rPr>
        <w:t>自中标通知书发布之日起算</w:t>
      </w:r>
      <w:r>
        <w:rPr>
          <w:rFonts w:hint="eastAsia" w:ascii="宋体" w:hAnsi="宋体" w:eastAsia="宋体" w:cs="宋体"/>
          <w:b w:val="0"/>
          <w:bCs w:val="0"/>
          <w:color w:val="auto"/>
          <w:sz w:val="21"/>
          <w:szCs w:val="21"/>
          <w:highlight w:val="none"/>
          <w:lang w:val="zh-CN" w:eastAsia="zh-CN" w:bidi="zh-CN"/>
        </w:rPr>
        <w:t>；寮步镇地块一临时用地为第二阶段复垦项目，工期20个日历天，自合同签订后，以</w:t>
      </w:r>
      <w:r>
        <w:rPr>
          <w:rFonts w:hint="eastAsia" w:ascii="宋体" w:hAnsi="宋体" w:eastAsia="宋体" w:cs="宋体"/>
          <w:b w:val="0"/>
          <w:bCs w:val="0"/>
          <w:color w:val="auto"/>
          <w:sz w:val="21"/>
          <w:szCs w:val="21"/>
          <w:highlight w:val="none"/>
          <w:lang w:val="en-US" w:eastAsia="zh-CN" w:bidi="zh-CN"/>
        </w:rPr>
        <w:t>甲方</w:t>
      </w:r>
      <w:r>
        <w:rPr>
          <w:rFonts w:hint="eastAsia" w:ascii="宋体" w:hAnsi="宋体" w:eastAsia="宋体" w:cs="宋体"/>
          <w:b w:val="0"/>
          <w:bCs w:val="0"/>
          <w:color w:val="auto"/>
          <w:sz w:val="21"/>
          <w:szCs w:val="21"/>
          <w:highlight w:val="none"/>
          <w:lang w:val="zh-CN" w:eastAsia="zh-CN" w:bidi="zh-CN"/>
        </w:rPr>
        <w:t>发出的开工令生效之日起算。</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二）如遇下列情况，乙方须在发生签证事由后两日内书面通知甲方及监理方，并经甲乙双方代表书面签证，工期相应顺延，但甲方不承担其他责任（包括乙方人员、设备窝工、停工费用等）；否则视为乙方放弃签证的权利，工期不予顺延。</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1、因甲方原因影响工程项目进度，如未按时交出场地、接通水电、甲方变更设计影响施工；</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en-US" w:eastAsia="zh-CN" w:bidi="zh-CN"/>
        </w:rPr>
        <w:t>2</w:t>
      </w:r>
      <w:r>
        <w:rPr>
          <w:rFonts w:hint="eastAsia" w:ascii="宋体" w:hAnsi="宋体" w:eastAsia="宋体" w:cs="宋体"/>
          <w:bCs w:val="0"/>
          <w:color w:val="auto"/>
          <w:spacing w:val="0"/>
          <w:w w:val="100"/>
          <w:kern w:val="0"/>
          <w:sz w:val="21"/>
          <w:szCs w:val="21"/>
          <w:highlight w:val="none"/>
          <w:lang w:val="zh-CN" w:eastAsia="zh-CN" w:bidi="zh-CN"/>
        </w:rPr>
        <w:t>、不可抗力因素，如地震、水灾、旱灾、战争、政府禁令</w:t>
      </w:r>
      <w:r>
        <w:rPr>
          <w:rFonts w:hint="eastAsia" w:ascii="宋体" w:hAnsi="宋体" w:eastAsia="宋体" w:cs="宋体"/>
          <w:bCs w:val="0"/>
          <w:color w:val="auto"/>
          <w:spacing w:val="0"/>
          <w:w w:val="100"/>
          <w:kern w:val="0"/>
          <w:sz w:val="21"/>
          <w:szCs w:val="21"/>
          <w:highlight w:val="none"/>
          <w:lang w:val="en-US" w:eastAsia="zh-CN" w:bidi="zh-CN"/>
        </w:rPr>
        <w:t>等</w:t>
      </w:r>
      <w:r>
        <w:rPr>
          <w:rFonts w:hint="eastAsia" w:ascii="宋体" w:hAnsi="宋体" w:eastAsia="宋体" w:cs="宋体"/>
          <w:bCs w:val="0"/>
          <w:color w:val="auto"/>
          <w:spacing w:val="0"/>
          <w:w w:val="100"/>
          <w:kern w:val="0"/>
          <w:sz w:val="21"/>
          <w:szCs w:val="21"/>
          <w:highlight w:val="none"/>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(三)乙方有责任与其他承包商合作，各个承包商之间发生或协调有关的争议时应提交监理和甲方，并由监理和甲方协调解决。甲方的决定将成为最终决定并约束有关各方。</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（四）若因乙方原因造成工期延误，乙方应</w:t>
      </w:r>
      <w:r>
        <w:rPr>
          <w:rFonts w:hint="eastAsia" w:ascii="宋体" w:hAnsi="宋体" w:eastAsia="宋体" w:cs="宋体"/>
          <w:bCs w:val="0"/>
          <w:color w:val="auto"/>
          <w:spacing w:val="0"/>
          <w:w w:val="100"/>
          <w:kern w:val="0"/>
          <w:sz w:val="21"/>
          <w:szCs w:val="21"/>
          <w:highlight w:val="none"/>
          <w:lang w:val="en-US" w:eastAsia="zh-CN" w:bidi="zh-CN"/>
        </w:rPr>
        <w:t>按第十三条</w:t>
      </w:r>
      <w:r>
        <w:rPr>
          <w:rFonts w:hint="eastAsia" w:ascii="宋体" w:hAnsi="宋体" w:eastAsia="宋体" w:cs="宋体"/>
          <w:bCs w:val="0"/>
          <w:color w:val="auto"/>
          <w:spacing w:val="0"/>
          <w:w w:val="100"/>
          <w:kern w:val="0"/>
          <w:sz w:val="21"/>
          <w:szCs w:val="21"/>
          <w:highlight w:val="none"/>
          <w:lang w:val="zh-CN" w:eastAsia="zh-CN" w:bidi="zh-CN"/>
        </w:rPr>
        <w:t>承担违约</w:t>
      </w:r>
      <w:r>
        <w:rPr>
          <w:rFonts w:hint="eastAsia" w:ascii="宋体" w:hAnsi="宋体" w:eastAsia="宋体" w:cs="宋体"/>
          <w:bCs w:val="0"/>
          <w:color w:val="auto"/>
          <w:spacing w:val="0"/>
          <w:w w:val="100"/>
          <w:kern w:val="0"/>
          <w:sz w:val="21"/>
          <w:szCs w:val="21"/>
          <w:highlight w:val="none"/>
          <w:lang w:val="en-US" w:eastAsia="zh-CN" w:bidi="zh-CN"/>
        </w:rPr>
        <w:t>金及损偿赔偿责任</w:t>
      </w:r>
      <w:r>
        <w:rPr>
          <w:rFonts w:hint="eastAsia" w:ascii="宋体" w:hAnsi="宋体" w:eastAsia="宋体" w:cs="宋体"/>
          <w:bCs w:val="0"/>
          <w:color w:val="auto"/>
          <w:spacing w:val="0"/>
          <w:w w:val="100"/>
          <w:kern w:val="0"/>
          <w:sz w:val="21"/>
          <w:szCs w:val="21"/>
          <w:highlight w:val="none"/>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2" w:firstLineChars="200"/>
        <w:jc w:val="both"/>
        <w:textAlignment w:val="auto"/>
        <w:outlineLvl w:val="9"/>
        <w:rPr>
          <w:rFonts w:hint="eastAsia" w:ascii="宋体" w:hAnsi="宋体" w:eastAsia="宋体" w:cs="宋体"/>
          <w:b/>
          <w:bCs w:val="0"/>
          <w:color w:val="auto"/>
          <w:spacing w:val="0"/>
          <w:w w:val="100"/>
          <w:kern w:val="0"/>
          <w:sz w:val="21"/>
          <w:szCs w:val="21"/>
          <w:highlight w:val="none"/>
          <w:lang w:val="zh-CN" w:eastAsia="zh-CN" w:bidi="zh-CN"/>
        </w:rPr>
      </w:pPr>
      <w:r>
        <w:rPr>
          <w:rFonts w:hint="eastAsia" w:ascii="宋体" w:hAnsi="宋体" w:eastAsia="宋体" w:cs="宋体"/>
          <w:b/>
          <w:bCs w:val="0"/>
          <w:color w:val="auto"/>
          <w:spacing w:val="0"/>
          <w:w w:val="100"/>
          <w:kern w:val="0"/>
          <w:sz w:val="21"/>
          <w:szCs w:val="21"/>
          <w:highlight w:val="none"/>
          <w:lang w:val="zh-CN" w:eastAsia="zh-CN" w:bidi="zh-CN"/>
        </w:rPr>
        <w:t>第六条</w:t>
      </w:r>
      <w:r>
        <w:rPr>
          <w:rFonts w:hint="eastAsia" w:ascii="宋体" w:hAnsi="宋体" w:eastAsia="宋体" w:cs="宋体"/>
          <w:b/>
          <w:bCs w:val="0"/>
          <w:color w:val="auto"/>
          <w:spacing w:val="0"/>
          <w:w w:val="100"/>
          <w:kern w:val="0"/>
          <w:sz w:val="21"/>
          <w:szCs w:val="21"/>
          <w:highlight w:val="none"/>
          <w:lang w:val="en-US" w:eastAsia="zh-CN" w:bidi="zh-CN"/>
        </w:rPr>
        <w:t xml:space="preserve"> </w:t>
      </w:r>
      <w:r>
        <w:rPr>
          <w:rFonts w:hint="eastAsia" w:ascii="宋体" w:hAnsi="宋体" w:eastAsia="宋体" w:cs="宋体"/>
          <w:b/>
          <w:bCs w:val="0"/>
          <w:color w:val="auto"/>
          <w:spacing w:val="0"/>
          <w:w w:val="100"/>
          <w:kern w:val="0"/>
          <w:sz w:val="21"/>
          <w:szCs w:val="21"/>
          <w:highlight w:val="none"/>
          <w:lang w:val="zh-CN" w:eastAsia="zh-CN" w:bidi="zh-CN"/>
        </w:rPr>
        <w:t>付款方式</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1、本项目按以下进度付款：</w:t>
      </w:r>
    </w:p>
    <w:p>
      <w:pPr>
        <w:keepNext w:val="0"/>
        <w:keepLines w:val="0"/>
        <w:pageBreakBefore w:val="0"/>
        <w:widowControl w:val="0"/>
        <w:numPr>
          <w:ilvl w:val="1"/>
          <w:numId w:val="18"/>
        </w:numPr>
        <w:tabs>
          <w:tab w:val="left" w:pos="1614"/>
          <w:tab w:val="left" w:pos="2528"/>
        </w:tabs>
        <w:kinsoku/>
        <w:wordWrap/>
        <w:overflowPunct/>
        <w:topLinePunct w:val="0"/>
        <w:autoSpaceDE w:val="0"/>
        <w:autoSpaceDN w:val="0"/>
        <w:bidi w:val="0"/>
        <w:adjustRightInd w:val="0"/>
        <w:snapToGrid/>
        <w:spacing w:before="0" w:after="0" w:line="360" w:lineRule="auto"/>
        <w:ind w:left="0" w:leftChars="0" w:right="0" w:firstLine="420" w:firstLineChars="200"/>
        <w:jc w:val="both"/>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完工款：每一阶段复垦工程完成并经甲方确认之后，支付至对应阶段总价的20%，</w:t>
      </w:r>
    </w:p>
    <w:p>
      <w:pPr>
        <w:keepNext w:val="0"/>
        <w:keepLines w:val="0"/>
        <w:pageBreakBefore w:val="0"/>
        <w:widowControl w:val="0"/>
        <w:numPr>
          <w:ilvl w:val="1"/>
          <w:numId w:val="18"/>
        </w:numPr>
        <w:tabs>
          <w:tab w:val="left" w:pos="1614"/>
          <w:tab w:val="left" w:pos="2528"/>
        </w:tabs>
        <w:kinsoku/>
        <w:wordWrap/>
        <w:overflowPunct/>
        <w:topLinePunct w:val="0"/>
        <w:autoSpaceDE w:val="0"/>
        <w:autoSpaceDN w:val="0"/>
        <w:bidi w:val="0"/>
        <w:adjustRightInd w:val="0"/>
        <w:snapToGrid/>
        <w:spacing w:before="0" w:after="0" w:line="360" w:lineRule="auto"/>
        <w:ind w:left="0" w:leftChars="0" w:right="0" w:firstLine="420" w:firstLineChars="200"/>
        <w:jc w:val="both"/>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验收款：每一阶段复垦工程</w:t>
      </w:r>
      <w:r>
        <w:rPr>
          <w:rFonts w:hint="eastAsia" w:ascii="宋体" w:hAnsi="宋体" w:eastAsia="宋体" w:cs="宋体"/>
          <w:color w:val="auto"/>
          <w:sz w:val="21"/>
          <w:szCs w:val="21"/>
          <w:highlight w:val="none"/>
          <w:lang w:val="en-US" w:eastAsia="zh-CN" w:bidi="zh-CN"/>
        </w:rPr>
        <w:t>经</w:t>
      </w:r>
      <w:r>
        <w:rPr>
          <w:rFonts w:hint="eastAsia" w:ascii="宋体" w:hAnsi="宋体" w:eastAsia="宋体" w:cs="宋体"/>
          <w:color w:val="auto"/>
          <w:sz w:val="21"/>
          <w:szCs w:val="21"/>
          <w:highlight w:val="none"/>
          <w:lang w:val="zh-CN" w:eastAsia="zh-CN" w:bidi="zh-CN"/>
        </w:rPr>
        <w:t>甲方</w:t>
      </w:r>
      <w:r>
        <w:rPr>
          <w:rFonts w:hint="eastAsia" w:ascii="宋体" w:hAnsi="宋体" w:eastAsia="宋体" w:cs="宋体"/>
          <w:color w:val="auto"/>
          <w:sz w:val="21"/>
          <w:szCs w:val="21"/>
          <w:highlight w:val="none"/>
          <w:lang w:val="en-US" w:eastAsia="zh-CN" w:bidi="zh-CN"/>
        </w:rPr>
        <w:t>及</w:t>
      </w:r>
      <w:r>
        <w:rPr>
          <w:rFonts w:hint="eastAsia" w:ascii="宋体" w:hAnsi="宋体" w:eastAsia="宋体" w:cs="宋体"/>
          <w:color w:val="auto"/>
          <w:sz w:val="21"/>
          <w:szCs w:val="21"/>
          <w:highlight w:val="none"/>
          <w:lang w:val="zh-CN" w:eastAsia="zh-CN" w:bidi="zh-CN"/>
        </w:rPr>
        <w:t>当地村委、自然资源、环保、农林等</w:t>
      </w:r>
      <w:r>
        <w:rPr>
          <w:rFonts w:hint="eastAsia" w:ascii="宋体" w:hAnsi="宋体" w:eastAsia="宋体" w:cs="宋体"/>
          <w:color w:val="auto"/>
          <w:sz w:val="21"/>
          <w:szCs w:val="21"/>
          <w:highlight w:val="none"/>
          <w:lang w:val="en-US" w:eastAsia="zh-CN" w:bidi="zh-CN"/>
        </w:rPr>
        <w:t>主管</w:t>
      </w:r>
      <w:r>
        <w:rPr>
          <w:rFonts w:hint="eastAsia" w:ascii="宋体" w:hAnsi="宋体" w:eastAsia="宋体" w:cs="宋体"/>
          <w:color w:val="auto"/>
          <w:sz w:val="21"/>
          <w:szCs w:val="21"/>
          <w:highlight w:val="none"/>
          <w:lang w:val="zh-CN" w:eastAsia="zh-CN" w:bidi="zh-CN"/>
        </w:rPr>
        <w:t>部门验收合格，</w:t>
      </w:r>
      <w:r>
        <w:rPr>
          <w:rFonts w:hint="eastAsia" w:ascii="宋体" w:hAnsi="宋体" w:eastAsia="宋体" w:cs="宋体"/>
          <w:color w:val="auto"/>
          <w:sz w:val="21"/>
          <w:szCs w:val="21"/>
          <w:highlight w:val="none"/>
          <w:lang w:val="en-US" w:eastAsia="zh-CN" w:bidi="zh-CN"/>
        </w:rPr>
        <w:t>取得主管部门出具的验收合格确认书后</w:t>
      </w:r>
      <w:r>
        <w:rPr>
          <w:rFonts w:hint="eastAsia" w:ascii="宋体" w:hAnsi="宋体" w:eastAsia="宋体" w:cs="宋体"/>
          <w:color w:val="auto"/>
          <w:sz w:val="21"/>
          <w:szCs w:val="21"/>
          <w:highlight w:val="none"/>
          <w:lang w:val="zh-CN" w:eastAsia="zh-CN" w:bidi="zh-CN"/>
        </w:rPr>
        <w:t>支付至对应阶段项目总价的80%，且乙方需确保本项目的养护期为验收完成后满</w:t>
      </w:r>
      <w:r>
        <w:rPr>
          <w:rFonts w:hint="eastAsia" w:ascii="宋体" w:hAnsi="宋体" w:eastAsia="宋体" w:cs="宋体"/>
          <w:color w:val="auto"/>
          <w:sz w:val="21"/>
          <w:szCs w:val="21"/>
          <w:highlight w:val="none"/>
          <w:lang w:val="en-US" w:eastAsia="zh-CN" w:bidi="zh-CN"/>
        </w:rPr>
        <w:t>6</w:t>
      </w:r>
      <w:r>
        <w:rPr>
          <w:rFonts w:hint="eastAsia" w:ascii="宋体" w:hAnsi="宋体" w:eastAsia="宋体" w:cs="宋体"/>
          <w:color w:val="auto"/>
          <w:sz w:val="21"/>
          <w:szCs w:val="21"/>
          <w:highlight w:val="none"/>
          <w:lang w:val="zh-CN" w:eastAsia="zh-CN" w:bidi="zh-CN"/>
        </w:rPr>
        <w:t>个月。</w:t>
      </w:r>
    </w:p>
    <w:p>
      <w:pPr>
        <w:keepNext w:val="0"/>
        <w:keepLines w:val="0"/>
        <w:pageBreakBefore w:val="0"/>
        <w:widowControl w:val="0"/>
        <w:numPr>
          <w:ilvl w:val="1"/>
          <w:numId w:val="18"/>
        </w:numPr>
        <w:tabs>
          <w:tab w:val="left" w:pos="1614"/>
          <w:tab w:val="left" w:pos="2528"/>
        </w:tabs>
        <w:kinsoku/>
        <w:wordWrap/>
        <w:overflowPunct/>
        <w:topLinePunct w:val="0"/>
        <w:autoSpaceDE w:val="0"/>
        <w:autoSpaceDN w:val="0"/>
        <w:bidi w:val="0"/>
        <w:adjustRightInd w:val="0"/>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结算款：</w:t>
      </w:r>
      <w:r>
        <w:rPr>
          <w:rFonts w:hint="eastAsia" w:ascii="宋体" w:hAnsi="宋体" w:eastAsia="宋体" w:cs="宋体"/>
          <w:color w:val="auto"/>
          <w:sz w:val="21"/>
          <w:szCs w:val="21"/>
          <w:highlight w:val="none"/>
        </w:rPr>
        <w:t>本项目经财审审核完成或养护期满后（以后到时间为准），支付剩余结算款。若最终财审审定金额高于结算总价上浮10%，则以结算总价金额作为最终结算金额；若最终财审审定金额低于结算总价上浮10%的，则按照财审审定金额下浮10%作为最终结算金额</w:t>
      </w:r>
      <w:r>
        <w:rPr>
          <w:rFonts w:hint="eastAsia" w:ascii="宋体" w:hAnsi="宋体" w:eastAsia="宋体" w:cs="宋体"/>
          <w:color w:val="auto"/>
          <w:sz w:val="21"/>
          <w:szCs w:val="21"/>
          <w:highlight w:val="none"/>
          <w:lang w:val="zh-CN" w:eastAsia="zh-CN" w:bidi="zh-CN"/>
        </w:rPr>
        <w:t>。</w:t>
      </w:r>
    </w:p>
    <w:p>
      <w:pPr>
        <w:keepNext w:val="0"/>
        <w:keepLines w:val="0"/>
        <w:pageBreakBefore w:val="0"/>
        <w:widowControl w:val="0"/>
        <w:numPr>
          <w:ilvl w:val="1"/>
          <w:numId w:val="18"/>
        </w:numPr>
        <w:tabs>
          <w:tab w:val="left" w:pos="2526"/>
        </w:tabs>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color w:val="auto"/>
          <w:sz w:val="21"/>
          <w:szCs w:val="21"/>
          <w:highlight w:val="none"/>
          <w:lang w:val="zh-CN" w:eastAsia="zh-CN" w:bidi="zh-CN"/>
        </w:rPr>
        <w:t>养护期：自复垦验收合格通过后，管理养护期</w:t>
      </w:r>
      <w:r>
        <w:rPr>
          <w:rFonts w:hint="eastAsia" w:ascii="宋体" w:hAnsi="宋体" w:eastAsia="宋体" w:cs="宋体"/>
          <w:color w:val="auto"/>
          <w:sz w:val="21"/>
          <w:szCs w:val="21"/>
          <w:highlight w:val="none"/>
          <w:lang w:val="en-US" w:eastAsia="zh-CN" w:bidi="zh-CN"/>
        </w:rPr>
        <w:t>6</w:t>
      </w:r>
      <w:r>
        <w:rPr>
          <w:rFonts w:hint="eastAsia" w:ascii="宋体" w:hAnsi="宋体" w:eastAsia="宋体" w:cs="宋体"/>
          <w:color w:val="auto"/>
          <w:sz w:val="21"/>
          <w:szCs w:val="21"/>
          <w:highlight w:val="none"/>
          <w:lang w:val="zh-CN" w:eastAsia="zh-CN" w:bidi="zh-CN"/>
        </w:rPr>
        <w:t>个月。</w:t>
      </w:r>
    </w:p>
    <w:p>
      <w:pPr>
        <w:keepNext w:val="0"/>
        <w:keepLines w:val="0"/>
        <w:pageBreakBefore w:val="0"/>
        <w:widowControl w:val="0"/>
        <w:numPr>
          <w:ilvl w:val="1"/>
          <w:numId w:val="18"/>
        </w:numPr>
        <w:tabs>
          <w:tab w:val="left" w:pos="2526"/>
        </w:tabs>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在当期工程款项支付前，如发现当期完成工程项有不合格时，将扣除不合格项费用，乙方还应立即进行整改工作，费用自理；不合格项整改经甲方验收合格的，在达标的当期支付其对应的费用；不合格项经整改后经验收仍不合格的，应在结算中扣除不合格项所有费用。</w:t>
      </w:r>
    </w:p>
    <w:p>
      <w:pPr>
        <w:keepNext w:val="0"/>
        <w:keepLines w:val="0"/>
        <w:pageBreakBefore w:val="0"/>
        <w:widowControl w:val="0"/>
        <w:numPr>
          <w:ilvl w:val="1"/>
          <w:numId w:val="18"/>
        </w:numPr>
        <w:tabs>
          <w:tab w:val="left" w:pos="2525"/>
        </w:tabs>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甲方每次付款前，乙方必须根据实际情况提供相应金额的、税率为9%的一般纳税人增值税专用发票和请款资料。</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乙方每次请款时必须按甲方要求提请付款申请表、与请款金额等额的合规增值税专用发票，已经完成的分部分项工程，必须附上分部分项工程质量验收记录表，如未能按甲方要求提供请款的资料和合规增值税专用发票，甲方有权延迟付款。</w:t>
      </w:r>
    </w:p>
    <w:p>
      <w:pPr>
        <w:keepNext w:val="0"/>
        <w:keepLines w:val="0"/>
        <w:pageBreakBefore w:val="0"/>
        <w:widowControl w:val="0"/>
        <w:numPr>
          <w:ilvl w:val="1"/>
          <w:numId w:val="18"/>
        </w:numPr>
        <w:tabs>
          <w:tab w:val="left" w:pos="2525"/>
        </w:tabs>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以上付款，甲方将以转账方式支付。</w:t>
      </w:r>
    </w:p>
    <w:p>
      <w:pPr>
        <w:keepNext w:val="0"/>
        <w:keepLines w:val="0"/>
        <w:pageBreakBefore w:val="0"/>
        <w:widowControl w:val="0"/>
        <w:numPr>
          <w:ilvl w:val="0"/>
          <w:numId w:val="0"/>
        </w:numPr>
        <w:tabs>
          <w:tab w:val="left" w:pos="2525"/>
        </w:tabs>
        <w:kinsoku/>
        <w:wordWrap/>
        <w:overflowPunct/>
        <w:topLinePunct w:val="0"/>
        <w:autoSpaceDE w:val="0"/>
        <w:autoSpaceDN w:val="0"/>
        <w:bidi w:val="0"/>
        <w:adjustRightInd/>
        <w:spacing w:before="0" w:after="0" w:line="427" w:lineRule="auto"/>
        <w:ind w:left="0" w:leftChars="0" w:right="0" w:rightChars="0" w:firstLine="420" w:firstLineChars="200"/>
        <w:jc w:val="both"/>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mc:AlternateContent>
          <mc:Choice Requires="wps">
            <w:drawing>
              <wp:anchor distT="0" distB="0" distL="114300" distR="114300" simplePos="0" relativeHeight="251664384" behindDoc="1" locked="0" layoutInCell="1" allowOverlap="1">
                <wp:simplePos x="0" y="0"/>
                <wp:positionH relativeFrom="page">
                  <wp:posOffset>1807845</wp:posOffset>
                </wp:positionH>
                <wp:positionV relativeFrom="paragraph">
                  <wp:posOffset>453390</wp:posOffset>
                </wp:positionV>
                <wp:extent cx="67310" cy="0"/>
                <wp:effectExtent l="0" t="0" r="0" b="0"/>
                <wp:wrapNone/>
                <wp:docPr id="19" name="直线 2"/>
                <wp:cNvGraphicFramePr/>
                <a:graphic xmlns:a="http://schemas.openxmlformats.org/drawingml/2006/main">
                  <a:graphicData uri="http://schemas.microsoft.com/office/word/2010/wordprocessingShape">
                    <wps:wsp>
                      <wps:cNvCnPr/>
                      <wps:spPr>
                        <a:xfrm>
                          <a:off x="0" y="0"/>
                          <a:ext cx="6731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42.35pt;margin-top:35.7pt;height:0pt;width:5.3pt;mso-position-horizontal-relative:page;z-index:-251652096;mso-width-relative:page;mso-height-relative:page;" filled="f" stroked="t" coordsize="21600,21600" o:gfxdata="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07VzLZ&#10;AAAACQEAAA8AAAAAAAAAAQAgAAAAIgAAAGRycy9kb3ducmV2LnhtbFBLAQIUABQAAAAIAIdO4kDE&#10;7OSp5gEAANoDAAAOAAAAAAAAAAEAIAAAACgBAABkcnMvZTJvRG9jLnhtbFBLBQYAAAAABgAGAFkB&#10;AACABQAAAAA=&#10;">
                <v:fill on="f" focussize="0,0"/>
                <v:stroke weight="0.48pt" color="#000000" joinstyle="round"/>
                <v:imagedata o:title=""/>
                <o:lock v:ext="edit" aspectratio="f"/>
              </v:line>
            </w:pict>
          </mc:Fallback>
        </mc:AlternateContent>
      </w:r>
      <w:r>
        <w:rPr>
          <w:rFonts w:hint="eastAsia" w:ascii="宋体" w:hAnsi="宋体" w:eastAsia="宋体" w:cs="宋体"/>
          <w:bCs w:val="0"/>
          <w:color w:val="auto"/>
          <w:spacing w:val="0"/>
          <w:w w:val="100"/>
          <w:kern w:val="0"/>
          <w:sz w:val="21"/>
          <w:szCs w:val="21"/>
          <w:highlight w:val="none"/>
          <w:lang w:val="zh-CN" w:eastAsia="zh-CN" w:bidi="zh-CN"/>
        </w:rPr>
        <w:t>乙方银行账号信息</w:t>
      </w:r>
      <w:r>
        <w:rPr>
          <w:rFonts w:hint="eastAsia" w:ascii="宋体" w:hAnsi="宋体" w:eastAsia="宋体" w:cs="宋体"/>
          <w:bCs w:val="0"/>
          <w:color w:val="auto"/>
          <w:spacing w:val="0"/>
          <w:w w:val="100"/>
          <w:kern w:val="0"/>
          <w:sz w:val="21"/>
          <w:szCs w:val="21"/>
          <w:highlight w:val="none"/>
          <w:lang w:val="en-US" w:eastAsia="zh-CN" w:bidi="zh-CN"/>
        </w:rPr>
        <w:t>如下</w:t>
      </w:r>
      <w:r>
        <w:rPr>
          <w:rFonts w:hint="eastAsia" w:ascii="宋体" w:hAnsi="宋体" w:eastAsia="宋体" w:cs="宋体"/>
          <w:bCs w:val="0"/>
          <w:color w:val="auto"/>
          <w:spacing w:val="0"/>
          <w:w w:val="100"/>
          <w:kern w:val="0"/>
          <w:sz w:val="21"/>
          <w:szCs w:val="21"/>
          <w:highlight w:val="none"/>
          <w:lang w:val="zh-CN" w:eastAsia="zh-CN" w:bidi="zh-CN"/>
        </w:rPr>
        <w:t>：</w:t>
      </w:r>
    </w:p>
    <w:p>
      <w:pPr>
        <w:keepNext w:val="0"/>
        <w:keepLines w:val="0"/>
        <w:pageBreakBefore w:val="0"/>
        <w:widowControl w:val="0"/>
        <w:numPr>
          <w:ilvl w:val="0"/>
          <w:numId w:val="0"/>
        </w:numPr>
        <w:tabs>
          <w:tab w:val="left" w:pos="1884"/>
        </w:tabs>
        <w:kinsoku/>
        <w:wordWrap/>
        <w:overflowPunct/>
        <w:topLinePunct w:val="0"/>
        <w:autoSpaceDE w:val="0"/>
        <w:autoSpaceDN w:val="0"/>
        <w:bidi w:val="0"/>
        <w:adjustRightInd/>
        <w:spacing w:before="0" w:after="0" w:line="427" w:lineRule="auto"/>
        <w:ind w:left="0" w:leftChars="0" w:right="0" w:rightChars="0" w:firstLine="420" w:firstLineChars="200"/>
        <w:jc w:val="both"/>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户名：</w:t>
      </w:r>
      <w:r>
        <w:rPr>
          <w:rFonts w:hint="eastAsia" w:ascii="宋体" w:hAnsi="宋体" w:eastAsia="宋体" w:cs="宋体"/>
          <w:bCs w:val="0"/>
          <w:color w:val="auto"/>
          <w:spacing w:val="0"/>
          <w:w w:val="100"/>
          <w:kern w:val="0"/>
          <w:sz w:val="21"/>
          <w:szCs w:val="21"/>
          <w:highlight w:val="none"/>
          <w:u w:val="single"/>
          <w:lang w:val="en-US" w:eastAsia="zh-CN" w:bidi="zh-CN"/>
        </w:rPr>
        <w:t xml:space="preserve">                    </w:t>
      </w:r>
    </w:p>
    <w:p>
      <w:pPr>
        <w:keepNext w:val="0"/>
        <w:keepLines w:val="0"/>
        <w:pageBreakBefore w:val="0"/>
        <w:widowControl w:val="0"/>
        <w:numPr>
          <w:ilvl w:val="0"/>
          <w:numId w:val="0"/>
        </w:numPr>
        <w:tabs>
          <w:tab w:val="left" w:pos="1884"/>
        </w:tabs>
        <w:kinsoku/>
        <w:wordWrap/>
        <w:overflowPunct/>
        <w:topLinePunct w:val="0"/>
        <w:autoSpaceDE w:val="0"/>
        <w:autoSpaceDN w:val="0"/>
        <w:bidi w:val="0"/>
        <w:adjustRightInd/>
        <w:spacing w:before="0" w:after="0" w:line="427" w:lineRule="auto"/>
        <w:ind w:left="0" w:leftChars="0" w:right="0" w:rightChars="0" w:firstLine="420" w:firstLineChars="200"/>
        <w:jc w:val="both"/>
        <w:rPr>
          <w:rFonts w:hint="eastAsia" w:ascii="宋体" w:hAnsi="宋体" w:eastAsia="宋体" w:cs="宋体"/>
          <w:bCs w:val="0"/>
          <w:color w:val="auto"/>
          <w:spacing w:val="0"/>
          <w:w w:val="100"/>
          <w:kern w:val="0"/>
          <w:sz w:val="21"/>
          <w:szCs w:val="21"/>
          <w:highlight w:val="none"/>
          <w:u w:val="single"/>
          <w:lang w:val="en-US" w:eastAsia="zh-CN" w:bidi="zh-CN"/>
        </w:rPr>
      </w:pPr>
      <w:r>
        <w:rPr>
          <w:rFonts w:hint="eastAsia" w:ascii="宋体" w:hAnsi="宋体" w:eastAsia="宋体" w:cs="宋体"/>
          <w:bCs w:val="0"/>
          <w:color w:val="auto"/>
          <w:spacing w:val="0"/>
          <w:w w:val="100"/>
          <w:kern w:val="0"/>
          <w:sz w:val="21"/>
          <w:szCs w:val="21"/>
          <w:highlight w:val="none"/>
          <w:lang w:val="zh-CN" w:eastAsia="zh-CN" w:bidi="zh-CN"/>
        </w:rPr>
        <w:t>开户行：</w:t>
      </w:r>
      <w:r>
        <w:rPr>
          <w:rFonts w:hint="eastAsia" w:ascii="宋体" w:hAnsi="宋体" w:eastAsia="宋体" w:cs="宋体"/>
          <w:bCs w:val="0"/>
          <w:color w:val="auto"/>
          <w:spacing w:val="0"/>
          <w:w w:val="100"/>
          <w:kern w:val="0"/>
          <w:sz w:val="21"/>
          <w:szCs w:val="21"/>
          <w:highlight w:val="none"/>
          <w:u w:val="single"/>
          <w:lang w:val="en-US" w:eastAsia="zh-CN" w:bidi="zh-CN"/>
        </w:rPr>
        <w:t xml:space="preserve">                  </w:t>
      </w:r>
    </w:p>
    <w:p>
      <w:pPr>
        <w:keepNext w:val="0"/>
        <w:keepLines w:val="0"/>
        <w:pageBreakBefore w:val="0"/>
        <w:widowControl w:val="0"/>
        <w:numPr>
          <w:ilvl w:val="0"/>
          <w:numId w:val="0"/>
        </w:numPr>
        <w:tabs>
          <w:tab w:val="left" w:pos="2525"/>
        </w:tabs>
        <w:kinsoku/>
        <w:wordWrap/>
        <w:overflowPunct/>
        <w:topLinePunct w:val="0"/>
        <w:autoSpaceDE w:val="0"/>
        <w:autoSpaceDN w:val="0"/>
        <w:bidi w:val="0"/>
        <w:adjustRightInd/>
        <w:spacing w:before="0" w:after="0" w:line="427" w:lineRule="auto"/>
        <w:ind w:left="0" w:leftChars="0" w:right="0" w:rightChars="0" w:firstLine="420" w:firstLineChars="200"/>
        <w:jc w:val="both"/>
        <w:rPr>
          <w:rFonts w:hint="eastAsia" w:ascii="宋体" w:hAnsi="宋体" w:eastAsia="宋体" w:cs="宋体"/>
          <w:b/>
          <w:bCs w:val="0"/>
          <w:color w:val="auto"/>
          <w:spacing w:val="0"/>
          <w:w w:val="100"/>
          <w:kern w:val="0"/>
          <w:sz w:val="21"/>
          <w:szCs w:val="22"/>
          <w:highlight w:val="none"/>
          <w:lang w:val="en-US" w:eastAsia="zh-CN" w:bidi="zh-CN"/>
        </w:rPr>
      </w:pPr>
      <w:r>
        <w:rPr>
          <w:rFonts w:hint="eastAsia" w:ascii="宋体" w:hAnsi="宋体" w:eastAsia="宋体" w:cs="宋体"/>
          <w:bCs w:val="0"/>
          <w:color w:val="auto"/>
          <w:spacing w:val="0"/>
          <w:w w:val="100"/>
          <w:kern w:val="0"/>
          <w:sz w:val="21"/>
          <w:szCs w:val="21"/>
          <w:highlight w:val="none"/>
          <w:lang w:val="zh-CN" w:eastAsia="zh-CN" w:bidi="zh-CN"/>
        </w:rPr>
        <w:t>账号：</w:t>
      </w:r>
      <w:r>
        <w:rPr>
          <w:rFonts w:hint="eastAsia" w:ascii="宋体" w:hAnsi="宋体" w:eastAsia="宋体" w:cs="宋体"/>
          <w:bCs w:val="0"/>
          <w:color w:val="auto"/>
          <w:spacing w:val="0"/>
          <w:w w:val="100"/>
          <w:kern w:val="0"/>
          <w:sz w:val="21"/>
          <w:szCs w:val="21"/>
          <w:highlight w:val="none"/>
          <w:u w:val="single"/>
          <w:lang w:val="en-US" w:eastAsia="zh-CN" w:bidi="zh-CN"/>
        </w:rPr>
        <w:t xml:space="preserve">                        </w:t>
      </w:r>
      <w:r>
        <w:rPr>
          <w:rFonts w:hint="eastAsia" w:ascii="宋体" w:hAnsi="宋体" w:eastAsia="宋体" w:cs="宋体"/>
          <w:bCs w:val="0"/>
          <w:color w:val="auto"/>
          <w:spacing w:val="0"/>
          <w:w w:val="100"/>
          <w:kern w:val="0"/>
          <w:sz w:val="21"/>
          <w:szCs w:val="21"/>
          <w:highlight w:val="none"/>
          <w:lang w:val="en-US" w:eastAsia="zh-CN" w:bidi="zh-CN"/>
        </w:rPr>
        <w:t xml:space="preserve">       </w:t>
      </w:r>
    </w:p>
    <w:p>
      <w:pPr>
        <w:keepNext w:val="0"/>
        <w:keepLines w:val="0"/>
        <w:pageBreakBefore w:val="0"/>
        <w:widowControl w:val="0"/>
        <w:numPr>
          <w:ilvl w:val="1"/>
          <w:numId w:val="18"/>
        </w:numPr>
        <w:tabs>
          <w:tab w:val="left" w:pos="2525"/>
        </w:tabs>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en-US" w:eastAsia="zh-CN" w:bidi="zh-CN"/>
        </w:rPr>
        <w:t>付</w:t>
      </w:r>
      <w:r>
        <w:rPr>
          <w:rFonts w:hint="eastAsia" w:ascii="宋体" w:hAnsi="宋体" w:eastAsia="宋体" w:cs="宋体"/>
          <w:bCs w:val="0"/>
          <w:color w:val="auto"/>
          <w:spacing w:val="0"/>
          <w:w w:val="100"/>
          <w:kern w:val="0"/>
          <w:sz w:val="21"/>
          <w:szCs w:val="22"/>
          <w:highlight w:val="none"/>
          <w:lang w:val="zh-CN" w:eastAsia="zh-CN" w:bidi="zh-CN"/>
        </w:rPr>
        <w:t>款申请提交后，经甲方审批通过后，15 个工作日内予以支付。</w:t>
      </w:r>
    </w:p>
    <w:p>
      <w:pPr>
        <w:keepNext w:val="0"/>
        <w:keepLines w:val="0"/>
        <w:pageBreakBefore w:val="0"/>
        <w:widowControl w:val="0"/>
        <w:tabs>
          <w:tab w:val="left" w:pos="2419"/>
        </w:tabs>
        <w:kinsoku/>
        <w:wordWrap/>
        <w:overflowPunct/>
        <w:topLinePunct w:val="0"/>
        <w:autoSpaceDE w:val="0"/>
        <w:autoSpaceDN w:val="0"/>
        <w:bidi w:val="0"/>
        <w:adjustRightInd/>
        <w:snapToGrid/>
        <w:spacing w:before="0" w:after="0" w:line="483" w:lineRule="auto"/>
        <w:ind w:left="0" w:leftChars="0" w:right="0" w:firstLine="422" w:firstLineChars="200"/>
        <w:jc w:val="left"/>
        <w:textAlignment w:val="auto"/>
        <w:outlineLvl w:val="1"/>
        <w:rPr>
          <w:rFonts w:hint="eastAsia" w:ascii="宋体" w:hAnsi="宋体" w:eastAsia="宋体" w:cs="宋体"/>
          <w:b/>
          <w:bCs w:val="0"/>
          <w:color w:val="auto"/>
          <w:spacing w:val="0"/>
          <w:w w:val="100"/>
          <w:kern w:val="0"/>
          <w:sz w:val="21"/>
          <w:szCs w:val="21"/>
          <w:highlight w:val="none"/>
          <w:lang w:val="zh-CN" w:eastAsia="zh-CN" w:bidi="zh-CN"/>
        </w:rPr>
      </w:pPr>
      <w:r>
        <w:rPr>
          <w:rFonts w:hint="eastAsia" w:ascii="宋体" w:hAnsi="宋体" w:eastAsia="宋体" w:cs="宋体"/>
          <w:b/>
          <w:bCs w:val="0"/>
          <w:color w:val="auto"/>
          <w:spacing w:val="0"/>
          <w:w w:val="100"/>
          <w:kern w:val="0"/>
          <w:sz w:val="21"/>
          <w:szCs w:val="21"/>
          <w:highlight w:val="none"/>
          <w:lang w:val="zh-CN" w:eastAsia="zh-CN" w:bidi="zh-CN"/>
        </w:rPr>
        <w:t>第七条 结算</w:t>
      </w:r>
    </w:p>
    <w:p>
      <w:pPr>
        <w:keepNext w:val="0"/>
        <w:keepLines w:val="0"/>
        <w:pageBreakBefore w:val="0"/>
        <w:widowControl w:val="0"/>
        <w:kinsoku/>
        <w:wordWrap/>
        <w:overflowPunct/>
        <w:topLinePunct w:val="0"/>
        <w:autoSpaceDE w:val="0"/>
        <w:autoSpaceDN w:val="0"/>
        <w:bidi w:val="0"/>
        <w:adjustRightInd/>
        <w:spacing w:before="0" w:after="0" w:line="427" w:lineRule="auto"/>
        <w:ind w:left="0" w:leftChars="0" w:right="0" w:firstLine="420" w:firstLineChars="200"/>
        <w:jc w:val="both"/>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（一）工程竣工完成，需提供整套完整的竣工验收资料给监理单位确认后并提交给甲方，乙方提供的竣工验收资料应根据《建设工程质量管理条例》（279 号令）、《城市建设档案管理规定》（建设部 90 号令）、《建设工程文件归档整理规范》 （GB/T50328—2001）、《城市建设档案著录规范》 （GB/T50328—2001）、《建筑工程施工质量验收统一标准》（GB/T50328—2013）和《广东省建设厅关于统一使用〈广东省建筑工程竣工验收技术资料统一用表〉的通知》的要求完成工程文件整理及档案的移交，以实现甲方工程档案管理的规范化、标准化。</w:t>
      </w:r>
    </w:p>
    <w:p>
      <w:pPr>
        <w:keepNext w:val="0"/>
        <w:keepLines w:val="0"/>
        <w:pageBreakBefore w:val="0"/>
        <w:widowControl w:val="0"/>
        <w:kinsoku/>
        <w:wordWrap/>
        <w:overflowPunct/>
        <w:topLinePunct w:val="0"/>
        <w:autoSpaceDE w:val="0"/>
        <w:autoSpaceDN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（二）工程竣工验收报告经甲方、监理单位认可后 30 个工作日内，乙方向监理单位、甲方递交竣工结算报告及完整的结算资料，按照合同约定的合同价款调整内容，本合同为综合单价合同，按实际完成并经甲方确认的工程量进行工程竣工结算，并附经甲方确认签字的竣工图纸，甲方收到乙方递交的竣工结算报告及结算资料一个月内完成审核（如乙方递交的资料不完整，相应时间顺延），如工程竣工验收报告经监理单位、甲方认可后超过 30 个工作日内，乙方无正当理由不递交竣工结算报告及完整的结算资料，甲方有权单方面进行竣工结算并视为乙方认可结算成果，作为乙方竣工结算价款。乙方按现场实际施工完成的工程量报送的结算金额必须真实准确，不得虚报、冒报。若乙方报送的结算总金额或结算单项金额超过最终审定金额的 10％(不含 10%)，视为违约，甲方有权按照最终审定的结算总金额办理结算，乙方还应按报送金额与最终审定金额之差的 10％向甲方支付违约金，该违约金由甲方在结算金额中直接扣除，并降低乙方在甲方承建商评估体系的排名。</w:t>
      </w:r>
    </w:p>
    <w:p>
      <w:pPr>
        <w:keepNext w:val="0"/>
        <w:keepLines w:val="0"/>
        <w:pageBreakBefore w:val="0"/>
        <w:widowControl w:val="0"/>
        <w:kinsoku/>
        <w:wordWrap/>
        <w:overflowPunct/>
        <w:topLinePunct w:val="0"/>
        <w:autoSpaceDE w:val="0"/>
        <w:autoSpaceDN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（三）乙方需按照甲方要求提供整套的竣工验收与结算资料给甲方，如乙方提供的资料未按甲方要求，或不能满足甲方预审的，乙方需在 3 个日历天内按甲方要求返工，重新整理资料，经甲方审核后必须达到第</w:t>
      </w:r>
      <w:r>
        <w:rPr>
          <w:rFonts w:hint="eastAsia" w:ascii="宋体" w:hAnsi="宋体" w:eastAsia="宋体" w:cs="宋体"/>
          <w:bCs w:val="0"/>
          <w:color w:val="auto"/>
          <w:spacing w:val="0"/>
          <w:w w:val="100"/>
          <w:kern w:val="0"/>
          <w:sz w:val="21"/>
          <w:szCs w:val="21"/>
          <w:highlight w:val="none"/>
          <w:lang w:val="en-US" w:eastAsia="zh-CN" w:bidi="zh-CN"/>
        </w:rPr>
        <w:t>七</w:t>
      </w:r>
      <w:r>
        <w:rPr>
          <w:rFonts w:hint="eastAsia" w:ascii="宋体" w:hAnsi="宋体" w:eastAsia="宋体" w:cs="宋体"/>
          <w:bCs w:val="0"/>
          <w:color w:val="auto"/>
          <w:spacing w:val="0"/>
          <w:w w:val="100"/>
          <w:kern w:val="0"/>
          <w:sz w:val="21"/>
          <w:szCs w:val="21"/>
          <w:highlight w:val="none"/>
          <w:lang w:val="zh-CN" w:eastAsia="zh-CN" w:bidi="zh-CN"/>
        </w:rPr>
        <w:t>条第一点规范的要求。若乙方最终提供的整套竣工验收与结算资料仍不能达到甲方要求的或者拒绝按甲方要求提供竣工验收与结算资料的， 甲方有权拒绝向乙方支付工程价款，直到乙方提供的资料达到规范要求的标准为止。</w:t>
      </w:r>
    </w:p>
    <w:p>
      <w:pPr>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乙方报送竣工结算资料的内容和要求如下：</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80" w:lineRule="auto"/>
        <w:ind w:left="0" w:leftChars="0" w:right="0" w:rightChars="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w:t>
      </w:r>
      <w:r>
        <w:rPr>
          <w:rFonts w:hint="eastAsia" w:ascii="宋体" w:hAnsi="宋体" w:eastAsia="宋体" w:cs="宋体"/>
          <w:bCs w:val="0"/>
          <w:color w:val="auto"/>
          <w:spacing w:val="0"/>
          <w:w w:val="100"/>
          <w:kern w:val="0"/>
          <w:sz w:val="21"/>
          <w:szCs w:val="21"/>
          <w:highlight w:val="none"/>
          <w:lang w:val="en-US" w:eastAsia="zh-CN" w:bidi="zh-CN"/>
        </w:rPr>
        <w:t>1</w:t>
      </w:r>
      <w:r>
        <w:rPr>
          <w:rFonts w:hint="eastAsia" w:ascii="宋体" w:hAnsi="宋体" w:eastAsia="宋体" w:cs="宋体"/>
          <w:bCs w:val="0"/>
          <w:color w:val="auto"/>
          <w:spacing w:val="0"/>
          <w:w w:val="100"/>
          <w:kern w:val="0"/>
          <w:sz w:val="21"/>
          <w:szCs w:val="21"/>
          <w:highlight w:val="none"/>
          <w:lang w:val="zh-CN" w:eastAsia="zh-CN" w:bidi="zh-CN"/>
        </w:rPr>
        <w:t xml:space="preserve">）乙方在工程竣工后，提交竣工验收报告和资料，经甲方、监理单位认可后在 </w:t>
      </w:r>
      <w:r>
        <w:rPr>
          <w:rFonts w:hint="eastAsia" w:ascii="宋体" w:hAnsi="宋体" w:eastAsia="宋体" w:cs="宋体"/>
          <w:bCs w:val="0"/>
          <w:color w:val="auto"/>
          <w:spacing w:val="0"/>
          <w:w w:val="100"/>
          <w:kern w:val="0"/>
          <w:sz w:val="21"/>
          <w:szCs w:val="21"/>
          <w:highlight w:val="none"/>
          <w:u w:val="single"/>
          <w:lang w:val="zh-CN" w:eastAsia="zh-CN" w:bidi="zh-CN"/>
        </w:rPr>
        <w:t>30 个</w:t>
      </w:r>
      <w:r>
        <w:rPr>
          <w:rFonts w:hint="eastAsia" w:ascii="宋体" w:hAnsi="宋体" w:eastAsia="宋体" w:cs="宋体"/>
          <w:bCs w:val="0"/>
          <w:color w:val="auto"/>
          <w:spacing w:val="0"/>
          <w:w w:val="100"/>
          <w:kern w:val="0"/>
          <w:sz w:val="21"/>
          <w:szCs w:val="21"/>
          <w:highlight w:val="none"/>
          <w:lang w:val="zh-CN" w:eastAsia="zh-CN" w:bidi="zh-CN"/>
        </w:rPr>
        <w:t xml:space="preserve">工作日内，按甲方要求向甲方递交完整的竣工结算报告及结算资料。主要竣工资料由以下部分组成（包括但不限于） </w:t>
      </w:r>
    </w:p>
    <w:p>
      <w:pPr>
        <w:keepNext w:val="0"/>
        <w:keepLines w:val="0"/>
        <w:pageBreakBefore w:val="0"/>
        <w:widowControl w:val="0"/>
        <w:numPr>
          <w:ilvl w:val="0"/>
          <w:numId w:val="0"/>
        </w:numPr>
        <w:tabs>
          <w:tab w:val="left" w:pos="2522"/>
        </w:tabs>
        <w:kinsoku/>
        <w:wordWrap/>
        <w:overflowPunct/>
        <w:topLinePunct w:val="0"/>
        <w:autoSpaceDE w:val="0"/>
        <w:autoSpaceDN w:val="0"/>
        <w:bidi w:val="0"/>
        <w:adjustRightInd/>
        <w:snapToGrid/>
        <w:spacing w:before="0" w:after="0" w:line="480" w:lineRule="auto"/>
        <w:ind w:left="0" w:leftChars="0" w:right="0" w:rightChars="0" w:firstLine="420" w:firstLineChars="200"/>
        <w:jc w:val="left"/>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A）结算书</w:t>
      </w:r>
    </w:p>
    <w:p>
      <w:pPr>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①封面：必须有项目名称、项目特征、经济指标、编制人员签名及资格证编号和联系电话、施工单位负责人签名、施工单位名称及公章、编制日期及送审日期。</w:t>
      </w:r>
    </w:p>
    <w:p>
      <w:pPr>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②编制说明</w:t>
      </w:r>
    </w:p>
    <w:p>
      <w:pPr>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③汇总表</w:t>
      </w:r>
    </w:p>
    <w:p>
      <w:pPr>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④结算清单</w:t>
      </w:r>
    </w:p>
    <w:p>
      <w:pPr>
        <w:keepNext w:val="0"/>
        <w:keepLines w:val="0"/>
        <w:pageBreakBefore w:val="0"/>
        <w:widowControl w:val="0"/>
        <w:numPr>
          <w:ilvl w:val="0"/>
          <w:numId w:val="0"/>
        </w:numPr>
        <w:tabs>
          <w:tab w:val="left" w:pos="2209"/>
        </w:tabs>
        <w:kinsoku/>
        <w:wordWrap/>
        <w:overflowPunct/>
        <w:topLinePunct w:val="0"/>
        <w:autoSpaceDE w:val="0"/>
        <w:autoSpaceDN w:val="0"/>
        <w:bidi w:val="0"/>
        <w:adjustRightInd/>
        <w:snapToGrid/>
        <w:spacing w:before="0" w:after="0" w:line="480" w:lineRule="auto"/>
        <w:ind w:right="0" w:rightChars="0" w:firstLine="420" w:firstLineChars="200"/>
        <w:jc w:val="left"/>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en-US" w:eastAsia="zh-CN" w:bidi="zh-CN"/>
        </w:rPr>
        <w:t>B</w:t>
      </w:r>
      <w:r>
        <w:rPr>
          <w:rFonts w:hint="eastAsia" w:ascii="宋体" w:hAnsi="宋体" w:eastAsia="宋体" w:cs="宋体"/>
          <w:bCs w:val="0"/>
          <w:color w:val="auto"/>
          <w:spacing w:val="0"/>
          <w:w w:val="100"/>
          <w:kern w:val="0"/>
          <w:sz w:val="21"/>
          <w:szCs w:val="22"/>
          <w:highlight w:val="none"/>
          <w:lang w:val="zh-CN" w:eastAsia="zh-CN" w:bidi="zh-CN"/>
        </w:rPr>
        <w:t>）工程量计算式</w:t>
      </w:r>
    </w:p>
    <w:p>
      <w:pPr>
        <w:keepNext w:val="0"/>
        <w:keepLines w:val="0"/>
        <w:pageBreakBefore w:val="0"/>
        <w:widowControl w:val="0"/>
        <w:numPr>
          <w:ilvl w:val="0"/>
          <w:numId w:val="0"/>
        </w:numPr>
        <w:tabs>
          <w:tab w:val="left" w:pos="2209"/>
        </w:tabs>
        <w:kinsoku/>
        <w:wordWrap/>
        <w:overflowPunct/>
        <w:topLinePunct w:val="0"/>
        <w:autoSpaceDE w:val="0"/>
        <w:autoSpaceDN w:val="0"/>
        <w:bidi w:val="0"/>
        <w:adjustRightInd/>
        <w:snapToGrid/>
        <w:spacing w:before="0" w:after="0" w:line="480" w:lineRule="auto"/>
        <w:ind w:right="0" w:rightChars="0" w:firstLine="420" w:firstLineChars="200"/>
        <w:jc w:val="left"/>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en-US" w:eastAsia="zh-CN" w:bidi="zh-CN"/>
        </w:rPr>
        <w:t>C）</w:t>
      </w:r>
      <w:r>
        <w:rPr>
          <w:rFonts w:hint="eastAsia" w:ascii="宋体" w:hAnsi="宋体" w:eastAsia="宋体" w:cs="宋体"/>
          <w:bCs w:val="0"/>
          <w:color w:val="auto"/>
          <w:spacing w:val="0"/>
          <w:w w:val="100"/>
          <w:kern w:val="0"/>
          <w:sz w:val="21"/>
          <w:szCs w:val="22"/>
          <w:highlight w:val="none"/>
          <w:lang w:val="zh-CN" w:eastAsia="zh-CN" w:bidi="zh-CN"/>
        </w:rPr>
        <w:t>有效的变更、现场签证单（原件）</w:t>
      </w:r>
    </w:p>
    <w:p>
      <w:pPr>
        <w:keepNext w:val="0"/>
        <w:keepLines w:val="0"/>
        <w:pageBreakBefore w:val="0"/>
        <w:widowControl w:val="0"/>
        <w:numPr>
          <w:ilvl w:val="0"/>
          <w:numId w:val="0"/>
        </w:numPr>
        <w:tabs>
          <w:tab w:val="left" w:pos="2209"/>
        </w:tabs>
        <w:kinsoku/>
        <w:wordWrap/>
        <w:overflowPunct/>
        <w:topLinePunct w:val="0"/>
        <w:autoSpaceDE w:val="0"/>
        <w:autoSpaceDN w:val="0"/>
        <w:bidi w:val="0"/>
        <w:adjustRightInd/>
        <w:snapToGrid/>
        <w:spacing w:before="0" w:after="0" w:line="480" w:lineRule="auto"/>
        <w:ind w:right="0" w:rightChars="0" w:firstLine="420" w:firstLineChars="200"/>
        <w:jc w:val="left"/>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D)有效的认价单</w:t>
      </w:r>
    </w:p>
    <w:p>
      <w:pPr>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E)竣工资料：开、骏工报告；施工合同及补充协议；经甲方及监理确认的竣工图。</w:t>
      </w:r>
    </w:p>
    <w:p>
      <w:pPr>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F）按广东省统表以及满足东莞市档案馆竣工资料目录所要求的标准完成竣工结算资料的准备。</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80" w:lineRule="auto"/>
        <w:ind w:left="0" w:leftChars="0" w:right="0" w:rightChars="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w:t>
      </w:r>
      <w:r>
        <w:rPr>
          <w:rFonts w:hint="eastAsia" w:ascii="宋体" w:hAnsi="宋体" w:eastAsia="宋体" w:cs="宋体"/>
          <w:bCs w:val="0"/>
          <w:color w:val="auto"/>
          <w:spacing w:val="0"/>
          <w:w w:val="100"/>
          <w:kern w:val="0"/>
          <w:sz w:val="21"/>
          <w:szCs w:val="21"/>
          <w:highlight w:val="none"/>
          <w:lang w:val="en-US" w:eastAsia="zh-CN" w:bidi="zh-CN"/>
        </w:rPr>
        <w:t>2</w:t>
      </w:r>
      <w:r>
        <w:rPr>
          <w:rFonts w:hint="eastAsia" w:ascii="宋体" w:hAnsi="宋体" w:eastAsia="宋体" w:cs="宋体"/>
          <w:bCs w:val="0"/>
          <w:color w:val="auto"/>
          <w:spacing w:val="0"/>
          <w:w w:val="100"/>
          <w:kern w:val="0"/>
          <w:sz w:val="21"/>
          <w:szCs w:val="21"/>
          <w:highlight w:val="none"/>
          <w:lang w:val="zh-CN" w:eastAsia="zh-CN" w:bidi="zh-CN"/>
        </w:rPr>
        <w:t>）不符合以上要求的结算资料，视为不合格，乙方需无条件返工，且甲方有权拒绝办理工程结算。</w:t>
      </w:r>
    </w:p>
    <w:p>
      <w:pPr>
        <w:keepNext w:val="0"/>
        <w:keepLines w:val="0"/>
        <w:pageBreakBefore w:val="0"/>
        <w:widowControl w:val="0"/>
        <w:tabs>
          <w:tab w:val="left" w:pos="2419"/>
        </w:tabs>
        <w:kinsoku/>
        <w:wordWrap/>
        <w:overflowPunct/>
        <w:topLinePunct w:val="0"/>
        <w:autoSpaceDE w:val="0"/>
        <w:autoSpaceDN w:val="0"/>
        <w:bidi w:val="0"/>
        <w:adjustRightInd/>
        <w:snapToGrid/>
        <w:spacing w:before="0" w:after="0" w:line="483" w:lineRule="auto"/>
        <w:ind w:left="0" w:leftChars="0" w:right="0" w:firstLine="422" w:firstLineChars="200"/>
        <w:jc w:val="left"/>
        <w:textAlignment w:val="auto"/>
        <w:outlineLvl w:val="1"/>
        <w:rPr>
          <w:rFonts w:hint="eastAsia" w:ascii="宋体" w:hAnsi="宋体" w:eastAsia="宋体" w:cs="宋体"/>
          <w:b/>
          <w:bCs w:val="0"/>
          <w:color w:val="auto"/>
          <w:spacing w:val="0"/>
          <w:w w:val="100"/>
          <w:kern w:val="0"/>
          <w:sz w:val="21"/>
          <w:szCs w:val="21"/>
          <w:highlight w:val="none"/>
          <w:lang w:val="zh-CN" w:eastAsia="zh-CN" w:bidi="zh-CN"/>
        </w:rPr>
      </w:pPr>
      <w:r>
        <w:rPr>
          <w:rFonts w:hint="eastAsia" w:ascii="宋体" w:hAnsi="宋体" w:eastAsia="宋体" w:cs="宋体"/>
          <w:b/>
          <w:bCs w:val="0"/>
          <w:color w:val="auto"/>
          <w:spacing w:val="0"/>
          <w:w w:val="100"/>
          <w:kern w:val="0"/>
          <w:sz w:val="21"/>
          <w:szCs w:val="21"/>
          <w:highlight w:val="none"/>
          <w:lang w:val="zh-CN" w:eastAsia="zh-CN" w:bidi="zh-CN"/>
        </w:rPr>
        <w:t>第八条 工程质量、安全及验收</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bookmarkStart w:id="243" w:name="（一）工程质量"/>
      <w:bookmarkEnd w:id="243"/>
      <w:r>
        <w:rPr>
          <w:rFonts w:hint="eastAsia" w:ascii="宋体" w:hAnsi="宋体" w:eastAsia="宋体" w:cs="宋体"/>
          <w:bCs w:val="0"/>
          <w:color w:val="auto"/>
          <w:spacing w:val="0"/>
          <w:w w:val="100"/>
          <w:kern w:val="0"/>
          <w:sz w:val="21"/>
          <w:szCs w:val="21"/>
          <w:highlight w:val="none"/>
          <w:lang w:val="zh-CN" w:eastAsia="zh-CN" w:bidi="zh-CN"/>
        </w:rPr>
        <w:t>（一）工程质量</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1、质量标准要求详见第三条。</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2、甲方有权随时监督和检验工程质量及施工进度。如甲方发现乙方施工人员素质欠缺及工程质量不达标的，有权通知乙方到场，经甲乙双方确认后，乙方必须更换班组重新施工达到工程验收标准。如乙方拒绝重新更换班组进行施工或者重新施工后工程质量仍不达标的，甲方有权解除合同，要求乙方在 3 个工作日内全面退场，仅按乙方已完成合格部分的工程量进行结算，因质量不合格造成的材料和返工损失由乙方承担。</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3、乙方在提请甲方检查、验收（包括工序、隐蔽工程、分项工程、竣工工程）前，应先自检，自检合格，测量、记录有关数据和文字并登记在质量技术记录表上后，凭表书面请求甲方检查、验收，未经验收通过，乙方不得进入下一工序或隐蔽。验收时，第一次验收不合格，乙方应向甲方支付合同</w:t>
      </w:r>
      <w:r>
        <w:rPr>
          <w:rFonts w:hint="eastAsia" w:ascii="宋体" w:hAnsi="宋体" w:eastAsia="宋体" w:cs="宋体"/>
          <w:bCs w:val="0"/>
          <w:color w:val="auto"/>
          <w:spacing w:val="0"/>
          <w:w w:val="100"/>
          <w:kern w:val="0"/>
          <w:sz w:val="21"/>
          <w:szCs w:val="21"/>
          <w:highlight w:val="none"/>
          <w:lang w:val="en-US" w:eastAsia="zh-CN" w:bidi="zh-CN"/>
        </w:rPr>
        <w:t>包干总价</w:t>
      </w:r>
      <w:r>
        <w:rPr>
          <w:rFonts w:hint="eastAsia" w:ascii="宋体" w:hAnsi="宋体" w:eastAsia="宋体" w:cs="宋体"/>
          <w:bCs w:val="0"/>
          <w:color w:val="auto"/>
          <w:spacing w:val="0"/>
          <w:w w:val="100"/>
          <w:kern w:val="0"/>
          <w:sz w:val="21"/>
          <w:szCs w:val="21"/>
          <w:highlight w:val="none"/>
          <w:lang w:val="zh-CN" w:eastAsia="zh-CN" w:bidi="zh-CN"/>
        </w:rPr>
        <w:t xml:space="preserve"> 0.5%的违约金，并采取相应措施</w:t>
      </w:r>
      <w:r>
        <w:rPr>
          <w:rFonts w:hint="eastAsia" w:ascii="宋体" w:hAnsi="宋体" w:eastAsia="宋体" w:cs="宋体"/>
          <w:bCs w:val="0"/>
          <w:color w:val="auto"/>
          <w:spacing w:val="0"/>
          <w:w w:val="100"/>
          <w:kern w:val="0"/>
          <w:sz w:val="21"/>
          <w:szCs w:val="21"/>
          <w:highlight w:val="none"/>
          <w:lang w:val="en-US" w:eastAsia="zh-CN" w:bidi="zh-CN"/>
        </w:rPr>
        <w:t>按合同及甲方</w:t>
      </w:r>
      <w:r>
        <w:rPr>
          <w:rFonts w:hint="eastAsia" w:ascii="宋体" w:hAnsi="宋体" w:eastAsia="宋体" w:cs="宋体"/>
          <w:bCs w:val="0"/>
          <w:color w:val="auto"/>
          <w:spacing w:val="0"/>
          <w:w w:val="100"/>
          <w:kern w:val="0"/>
          <w:sz w:val="21"/>
          <w:szCs w:val="21"/>
          <w:highlight w:val="none"/>
          <w:lang w:val="zh-CN" w:eastAsia="zh-CN" w:bidi="zh-CN"/>
        </w:rPr>
        <w:t>要求限期整改完毕报甲方验收，若乙方未能在限期内整改完成，或虽经整改但经甲方第二次验收仍不合格的，甲方有权解除本合同，已完成的合格工程按 75%结算，余款作乙方支付给甲方的质量违约金，并限期办理有关退场手续。</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4、合同双方当事人应严格遵守国家、省有关工程质量和施工安全的法律法规、标准与规范等规定，认真履行合同约定的工程质量和施工安全的职责和义务。</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5、甲方在领取施工许可证或者开工报告之前，应按照国家有关规定办理合同工程质量和施工安全监督手续。乙方应在施工场地设置专门的工程质量和施工安全管理机构，配备专职管理人员，建立完善的管理制度。</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6、甲方不得以任何理由，要求乙方在施工作业中违反法律法规、工程建设强制性标准，以及工程质量和施工安全标准，降低合同工程质量。乙方应加强对施工作业人员的工程质量和施工安全教育培训，定期考核施工作业人员的劳动技能，加强工程质量和施工安全管理。</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7、乙方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8、甲方应组织乙方和有关单位进行安全检查，授权监理工程师按合同约定的安全文明施工内容监督、检查乙方实施安全文明施工。</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9、乙方应及时执行监理工程师发出的安全文明施工的工作指令，并按合同约定的期限和安全文明施工内容编制安全文明施工措施计划，提交给监理工程师并由其报甲方批准后实施。</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10、在合同工程实施、完成及质保期间，乙方承担下列责任：</w:t>
      </w:r>
    </w:p>
    <w:p>
      <w:pPr>
        <w:keepNext w:val="0"/>
        <w:keepLines w:val="0"/>
        <w:pageBreakBefore w:val="0"/>
        <w:widowControl w:val="0"/>
        <w:numPr>
          <w:ilvl w:val="0"/>
          <w:numId w:val="0"/>
        </w:numPr>
        <w:tabs>
          <w:tab w:val="left" w:pos="252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w:t>
      </w:r>
      <w:r>
        <w:rPr>
          <w:rFonts w:hint="eastAsia" w:ascii="宋体" w:hAnsi="宋体" w:eastAsia="宋体" w:cs="宋体"/>
          <w:bCs w:val="0"/>
          <w:color w:val="auto"/>
          <w:spacing w:val="0"/>
          <w:w w:val="100"/>
          <w:kern w:val="0"/>
          <w:sz w:val="21"/>
          <w:szCs w:val="22"/>
          <w:highlight w:val="none"/>
          <w:lang w:val="en-US" w:eastAsia="zh-CN" w:bidi="zh-CN"/>
        </w:rPr>
        <w:t>1</w:t>
      </w:r>
      <w:r>
        <w:rPr>
          <w:rFonts w:hint="eastAsia" w:ascii="宋体" w:hAnsi="宋体" w:eastAsia="宋体" w:cs="宋体"/>
          <w:bCs w:val="0"/>
          <w:color w:val="auto"/>
          <w:spacing w:val="0"/>
          <w:w w:val="100"/>
          <w:kern w:val="0"/>
          <w:sz w:val="21"/>
          <w:szCs w:val="22"/>
          <w:highlight w:val="none"/>
          <w:lang w:val="zh-CN" w:eastAsia="zh-CN" w:bidi="zh-CN"/>
        </w:rPr>
        <w:t>）乙方应严格按照国家有关安全文明施工的标准与规范制定安全文明施工操作规程，配备必要的安全生产和劳动保护设施，加强对施工作业人员的施工安全教育培训，对他们的安全负责。</w:t>
      </w:r>
    </w:p>
    <w:p>
      <w:pPr>
        <w:keepNext w:val="0"/>
        <w:keepLines w:val="0"/>
        <w:pageBreakBefore w:val="0"/>
        <w:widowControl w:val="0"/>
        <w:numPr>
          <w:ilvl w:val="0"/>
          <w:numId w:val="0"/>
        </w:numPr>
        <w:tabs>
          <w:tab w:val="left" w:pos="252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w:t>
      </w:r>
      <w:r>
        <w:rPr>
          <w:rFonts w:hint="eastAsia" w:ascii="宋体" w:hAnsi="宋体" w:eastAsia="宋体" w:cs="宋体"/>
          <w:bCs w:val="0"/>
          <w:color w:val="auto"/>
          <w:spacing w:val="0"/>
          <w:w w:val="100"/>
          <w:kern w:val="0"/>
          <w:sz w:val="21"/>
          <w:szCs w:val="22"/>
          <w:highlight w:val="none"/>
          <w:lang w:val="en-US" w:eastAsia="zh-CN" w:bidi="zh-CN"/>
        </w:rPr>
        <w:t>2</w:t>
      </w:r>
      <w:r>
        <w:rPr>
          <w:rFonts w:hint="eastAsia" w:ascii="宋体" w:hAnsi="宋体" w:eastAsia="宋体" w:cs="宋体"/>
          <w:bCs w:val="0"/>
          <w:color w:val="auto"/>
          <w:spacing w:val="0"/>
          <w:w w:val="100"/>
          <w:kern w:val="0"/>
          <w:sz w:val="21"/>
          <w:szCs w:val="22"/>
          <w:highlight w:val="none"/>
          <w:lang w:val="zh-CN" w:eastAsia="zh-CN" w:bidi="zh-CN"/>
        </w:rPr>
        <w:t>）乙方应对合同工程的安全文明施工负责，采取有效的安全措施消除安全事故隐患，并接受和配合依法实施的监督检查。</w:t>
      </w:r>
    </w:p>
    <w:p>
      <w:pPr>
        <w:keepNext w:val="0"/>
        <w:keepLines w:val="0"/>
        <w:pageBreakBefore w:val="0"/>
        <w:widowControl w:val="0"/>
        <w:numPr>
          <w:ilvl w:val="0"/>
          <w:numId w:val="0"/>
        </w:numPr>
        <w:tabs>
          <w:tab w:val="left" w:pos="2526"/>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w:t>
      </w:r>
      <w:r>
        <w:rPr>
          <w:rFonts w:hint="eastAsia" w:ascii="宋体" w:hAnsi="宋体" w:eastAsia="宋体" w:cs="宋体"/>
          <w:bCs w:val="0"/>
          <w:color w:val="auto"/>
          <w:spacing w:val="0"/>
          <w:w w:val="100"/>
          <w:kern w:val="0"/>
          <w:sz w:val="21"/>
          <w:szCs w:val="22"/>
          <w:highlight w:val="none"/>
          <w:lang w:val="en-US" w:eastAsia="zh-CN" w:bidi="zh-CN"/>
        </w:rPr>
        <w:t>3</w:t>
      </w:r>
      <w:r>
        <w:rPr>
          <w:rFonts w:hint="eastAsia" w:ascii="宋体" w:hAnsi="宋体" w:eastAsia="宋体" w:cs="宋体"/>
          <w:bCs w:val="0"/>
          <w:color w:val="auto"/>
          <w:spacing w:val="0"/>
          <w:w w:val="100"/>
          <w:kern w:val="0"/>
          <w:sz w:val="21"/>
          <w:szCs w:val="22"/>
          <w:highlight w:val="none"/>
          <w:lang w:val="zh-CN" w:eastAsia="zh-CN" w:bidi="zh-CN"/>
        </w:rPr>
        <w:t>）乙方应加强施工作业安全管理，特别应加强经监理工程师同意并由其报甲方批准的输送电线路工程，使用易燃、易爆材料、火工器材、有毒与腐蚀性材料等危险品工程，以及爆破作业和地下工程施工等危险作业的安全管理，尽量避免人员伤亡和财产损失。</w:t>
      </w:r>
    </w:p>
    <w:p>
      <w:pPr>
        <w:keepNext w:val="0"/>
        <w:keepLines w:val="0"/>
        <w:pageBreakBefore w:val="0"/>
        <w:widowControl w:val="0"/>
        <w:numPr>
          <w:ilvl w:val="0"/>
          <w:numId w:val="0"/>
        </w:numPr>
        <w:tabs>
          <w:tab w:val="left" w:pos="2526"/>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w:t>
      </w:r>
      <w:r>
        <w:rPr>
          <w:rFonts w:hint="eastAsia" w:ascii="宋体" w:hAnsi="宋体" w:eastAsia="宋体" w:cs="宋体"/>
          <w:bCs w:val="0"/>
          <w:color w:val="auto"/>
          <w:spacing w:val="0"/>
          <w:w w:val="100"/>
          <w:kern w:val="0"/>
          <w:sz w:val="21"/>
          <w:szCs w:val="22"/>
          <w:highlight w:val="none"/>
          <w:lang w:val="en-US" w:eastAsia="zh-CN" w:bidi="zh-CN"/>
        </w:rPr>
        <w:t>4</w:t>
      </w:r>
      <w:r>
        <w:rPr>
          <w:rFonts w:hint="eastAsia" w:ascii="宋体" w:hAnsi="宋体" w:eastAsia="宋体" w:cs="宋体"/>
          <w:bCs w:val="0"/>
          <w:color w:val="auto"/>
          <w:spacing w:val="0"/>
          <w:w w:val="100"/>
          <w:kern w:val="0"/>
          <w:sz w:val="21"/>
          <w:szCs w:val="22"/>
          <w:highlight w:val="none"/>
          <w:lang w:val="zh-CN" w:eastAsia="zh-CN" w:bidi="zh-CN"/>
        </w:rPr>
        <w:t>）乙方应按监理工程师的指令制定应对灾害的紧急预案，并按预案做好安全检查， 配置必要的救助物资和器材，切实保护好有关人员的人身和财产安全。</w:t>
      </w:r>
    </w:p>
    <w:p>
      <w:pPr>
        <w:keepNext w:val="0"/>
        <w:keepLines w:val="0"/>
        <w:pageBreakBefore w:val="0"/>
        <w:widowControl w:val="0"/>
        <w:numPr>
          <w:ilvl w:val="0"/>
          <w:numId w:val="0"/>
        </w:numPr>
        <w:tabs>
          <w:tab w:val="left" w:pos="2526"/>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w:t>
      </w:r>
      <w:r>
        <w:rPr>
          <w:rFonts w:hint="eastAsia" w:ascii="宋体" w:hAnsi="宋体" w:eastAsia="宋体" w:cs="宋体"/>
          <w:bCs w:val="0"/>
          <w:color w:val="auto"/>
          <w:spacing w:val="0"/>
          <w:w w:val="100"/>
          <w:kern w:val="0"/>
          <w:sz w:val="21"/>
          <w:szCs w:val="22"/>
          <w:highlight w:val="none"/>
          <w:lang w:val="en-US" w:eastAsia="zh-CN" w:bidi="zh-CN"/>
        </w:rPr>
        <w:t>5</w:t>
      </w:r>
      <w:r>
        <w:rPr>
          <w:rFonts w:hint="eastAsia" w:ascii="宋体" w:hAnsi="宋体" w:eastAsia="宋体" w:cs="宋体"/>
          <w:bCs w:val="0"/>
          <w:color w:val="auto"/>
          <w:spacing w:val="0"/>
          <w:w w:val="100"/>
          <w:kern w:val="0"/>
          <w:sz w:val="21"/>
          <w:szCs w:val="22"/>
          <w:highlight w:val="none"/>
          <w:lang w:val="zh-CN" w:eastAsia="zh-CN" w:bidi="zh-CN"/>
        </w:rPr>
        <w:t>）乙方违反本条规定或由于乙方原因造成安全事故的，由乙方承担责任，由此增加的费用和延误的工期由乙方承担；但由于甲方原因造成安全事故的，由甲方承担责任。</w:t>
      </w:r>
    </w:p>
    <w:p>
      <w:pPr>
        <w:keepNext w:val="0"/>
        <w:keepLines w:val="0"/>
        <w:pageBreakBefore w:val="0"/>
        <w:widowControl w:val="0"/>
        <w:numPr>
          <w:ilvl w:val="0"/>
          <w:numId w:val="0"/>
        </w:numPr>
        <w:tabs>
          <w:tab w:val="left" w:pos="2526"/>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w:t>
      </w:r>
      <w:r>
        <w:rPr>
          <w:rFonts w:hint="eastAsia" w:ascii="宋体" w:hAnsi="宋体" w:eastAsia="宋体" w:cs="宋体"/>
          <w:bCs w:val="0"/>
          <w:color w:val="auto"/>
          <w:spacing w:val="0"/>
          <w:w w:val="100"/>
          <w:kern w:val="0"/>
          <w:sz w:val="21"/>
          <w:szCs w:val="22"/>
          <w:highlight w:val="none"/>
          <w:lang w:val="en-US" w:eastAsia="zh-CN" w:bidi="zh-CN"/>
        </w:rPr>
        <w:t>6</w:t>
      </w:r>
      <w:r>
        <w:rPr>
          <w:rFonts w:hint="eastAsia" w:ascii="宋体" w:hAnsi="宋体" w:eastAsia="宋体" w:cs="宋体"/>
          <w:bCs w:val="0"/>
          <w:color w:val="auto"/>
          <w:spacing w:val="0"/>
          <w:w w:val="100"/>
          <w:kern w:val="0"/>
          <w:sz w:val="21"/>
          <w:szCs w:val="22"/>
          <w:highlight w:val="none"/>
          <w:lang w:val="zh-CN" w:eastAsia="zh-CN" w:bidi="zh-CN"/>
        </w:rPr>
        <w:t>）由于乙方原因在施工场地内及其毗邻造成的第三者人身伤亡和财产损失，由乙方负责赔偿。</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（二）验收</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1、验收的依据和标准：以甲乙双方确认的施工图纸及说明、施工技术文件，有关设计变更和技术交底及会议纪要为依据，质量标准的评定以中华人民共和国现行国家标准、国家工程质量验收标准以及符合东莞市相关主管部门的规定为依据</w:t>
      </w:r>
      <w:r>
        <w:rPr>
          <w:rFonts w:hint="eastAsia" w:ascii="宋体" w:hAnsi="宋体" w:eastAsia="宋体" w:cs="宋体"/>
          <w:bCs w:val="0"/>
          <w:color w:val="auto"/>
          <w:spacing w:val="0"/>
          <w:w w:val="100"/>
          <w:kern w:val="0"/>
          <w:sz w:val="21"/>
          <w:szCs w:val="21"/>
          <w:highlight w:val="none"/>
          <w:lang w:val="en-US" w:eastAsia="zh-CN" w:bidi="zh-CN"/>
        </w:rPr>
        <w:t>；乙方应当获取土壤样本及复垦作物生长效果，编制复垦质量评估报告、复垦项目验收调查报告，</w:t>
      </w:r>
      <w:r>
        <w:rPr>
          <w:rFonts w:hint="eastAsia" w:ascii="宋体" w:hAnsi="宋体" w:eastAsia="宋体" w:cs="宋体"/>
          <w:bCs w:val="0"/>
          <w:color w:val="auto"/>
          <w:spacing w:val="0"/>
          <w:w w:val="100"/>
          <w:kern w:val="0"/>
          <w:sz w:val="21"/>
          <w:szCs w:val="21"/>
          <w:highlight w:val="none"/>
          <w:lang w:val="zh-CN" w:eastAsia="zh-CN" w:bidi="zh-CN"/>
        </w:rPr>
        <w:t>提供的竣工验收资料应</w:t>
      </w:r>
      <w:r>
        <w:rPr>
          <w:rFonts w:hint="eastAsia" w:ascii="宋体" w:hAnsi="宋体" w:eastAsia="宋体" w:cs="宋体"/>
          <w:bCs w:val="0"/>
          <w:color w:val="auto"/>
          <w:spacing w:val="0"/>
          <w:w w:val="100"/>
          <w:kern w:val="0"/>
          <w:sz w:val="21"/>
          <w:szCs w:val="21"/>
          <w:highlight w:val="none"/>
          <w:lang w:val="en-US" w:eastAsia="zh-CN" w:bidi="zh-CN"/>
        </w:rPr>
        <w:t>满足当地主管部门复垦验收手续要求。</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2、验收方式：根据国家有关施工验收规范及甲方提出的相关技术指标要求，乙方提交工程验收资料，并向甲方提出验收申请，由</w:t>
      </w:r>
      <w:r>
        <w:rPr>
          <w:rFonts w:hint="eastAsia" w:ascii="宋体" w:hAnsi="宋体" w:eastAsia="宋体" w:cs="宋体"/>
          <w:bCs w:val="0"/>
          <w:color w:val="auto"/>
          <w:spacing w:val="0"/>
          <w:w w:val="100"/>
          <w:kern w:val="0"/>
          <w:sz w:val="21"/>
          <w:szCs w:val="21"/>
          <w:highlight w:val="none"/>
          <w:lang w:val="en-US" w:eastAsia="zh-CN" w:bidi="zh-CN"/>
        </w:rPr>
        <w:t>甲方</w:t>
      </w:r>
      <w:r>
        <w:rPr>
          <w:rFonts w:hint="eastAsia" w:ascii="宋体" w:hAnsi="宋体" w:eastAsia="宋体" w:cs="宋体"/>
          <w:bCs w:val="0"/>
          <w:color w:val="auto"/>
          <w:spacing w:val="0"/>
          <w:w w:val="100"/>
          <w:kern w:val="0"/>
          <w:sz w:val="21"/>
          <w:szCs w:val="21"/>
          <w:highlight w:val="none"/>
          <w:lang w:val="zh-CN" w:eastAsia="zh-CN" w:bidi="zh-CN"/>
        </w:rPr>
        <w:t>按规范规定组织</w:t>
      </w:r>
      <w:r>
        <w:rPr>
          <w:rFonts w:hint="eastAsia" w:ascii="宋体" w:hAnsi="宋体" w:eastAsia="宋体" w:cs="宋体"/>
          <w:bCs w:val="0"/>
          <w:color w:val="auto"/>
          <w:spacing w:val="0"/>
          <w:w w:val="100"/>
          <w:kern w:val="0"/>
          <w:sz w:val="21"/>
          <w:szCs w:val="21"/>
          <w:highlight w:val="none"/>
          <w:lang w:val="en-US" w:eastAsia="zh-CN" w:bidi="zh-CN"/>
        </w:rPr>
        <w:t>政府</w:t>
      </w:r>
      <w:r>
        <w:rPr>
          <w:rFonts w:hint="eastAsia" w:ascii="宋体" w:hAnsi="宋体" w:eastAsia="宋体" w:cs="宋体"/>
          <w:bCs w:val="0"/>
          <w:color w:val="auto"/>
          <w:spacing w:val="0"/>
          <w:w w:val="100"/>
          <w:kern w:val="0"/>
          <w:sz w:val="21"/>
          <w:szCs w:val="21"/>
          <w:highlight w:val="none"/>
          <w:lang w:val="zh-CN" w:eastAsia="zh-CN" w:bidi="zh-CN"/>
        </w:rPr>
        <w:t>相关单位验收。</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3、工程具备竣工验收条件，乙方按国家工程竣工验收有关规定，提前</w:t>
      </w:r>
      <w:r>
        <w:rPr>
          <w:rFonts w:hint="eastAsia" w:ascii="宋体" w:hAnsi="宋体" w:eastAsia="宋体" w:cs="宋体"/>
          <w:bCs w:val="0"/>
          <w:color w:val="auto"/>
          <w:spacing w:val="0"/>
          <w:w w:val="100"/>
          <w:kern w:val="0"/>
          <w:sz w:val="21"/>
          <w:szCs w:val="21"/>
          <w:highlight w:val="none"/>
          <w:lang w:val="en-US" w:eastAsia="zh-CN" w:bidi="zh-CN"/>
        </w:rPr>
        <w:t>5</w:t>
      </w:r>
      <w:r>
        <w:rPr>
          <w:rFonts w:hint="eastAsia" w:ascii="宋体" w:hAnsi="宋体" w:eastAsia="宋体" w:cs="宋体"/>
          <w:bCs w:val="0"/>
          <w:color w:val="auto"/>
          <w:spacing w:val="0"/>
          <w:w w:val="100"/>
          <w:kern w:val="0"/>
          <w:sz w:val="21"/>
          <w:szCs w:val="21"/>
          <w:highlight w:val="none"/>
          <w:lang w:val="zh-CN" w:eastAsia="zh-CN" w:bidi="zh-CN"/>
        </w:rPr>
        <w:t>天向甲方提供完整竣工资料、竣工验收报告及工程质量保修书。乙方认为符合验收条件后组织甲方初步验收。</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4、初验合格后，甲方确定验收日期，组织甲方、监理方、乙方</w:t>
      </w:r>
      <w:r>
        <w:rPr>
          <w:rFonts w:hint="eastAsia" w:ascii="宋体" w:hAnsi="宋体" w:eastAsia="宋体" w:cs="宋体"/>
          <w:bCs w:val="0"/>
          <w:color w:val="auto"/>
          <w:spacing w:val="0"/>
          <w:w w:val="100"/>
          <w:kern w:val="0"/>
          <w:sz w:val="21"/>
          <w:szCs w:val="21"/>
          <w:highlight w:val="none"/>
          <w:lang w:val="en-US" w:eastAsia="zh-CN" w:bidi="zh-CN"/>
        </w:rPr>
        <w:t>及政府相关单位</w:t>
      </w:r>
      <w:r>
        <w:rPr>
          <w:rFonts w:hint="eastAsia" w:ascii="宋体" w:hAnsi="宋体" w:eastAsia="宋体" w:cs="宋体"/>
          <w:bCs w:val="0"/>
          <w:color w:val="auto"/>
          <w:spacing w:val="0"/>
          <w:w w:val="100"/>
          <w:kern w:val="0"/>
          <w:sz w:val="21"/>
          <w:szCs w:val="21"/>
          <w:highlight w:val="none"/>
          <w:lang w:val="zh-CN" w:eastAsia="zh-CN" w:bidi="zh-CN"/>
        </w:rPr>
        <w:t>参加的竣工验收。甲方应在竣工验收当天后 5 天内提出整改意见，乙方按意见整改。</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5、</w:t>
      </w:r>
      <w:r>
        <w:rPr>
          <w:rFonts w:hint="eastAsia" w:ascii="宋体" w:hAnsi="宋体" w:eastAsia="宋体" w:cs="宋体"/>
          <w:color w:val="auto"/>
          <w:sz w:val="21"/>
          <w:szCs w:val="21"/>
          <w:highlight w:val="none"/>
          <w:lang w:val="en-US" w:eastAsia="zh-CN" w:bidi="zh-CN"/>
        </w:rPr>
        <w:t>政府复垦主管部门出具的验收合格确认书</w:t>
      </w:r>
      <w:r>
        <w:rPr>
          <w:rFonts w:hint="eastAsia" w:ascii="宋体" w:hAnsi="宋体" w:eastAsia="宋体" w:cs="宋体"/>
          <w:bCs w:val="0"/>
          <w:color w:val="auto"/>
          <w:spacing w:val="0"/>
          <w:w w:val="100"/>
          <w:kern w:val="0"/>
          <w:sz w:val="21"/>
          <w:szCs w:val="21"/>
          <w:highlight w:val="none"/>
          <w:lang w:val="zh-CN" w:eastAsia="zh-CN" w:bidi="zh-CN"/>
        </w:rPr>
        <w:t>所标示的日期即为实际竣工日期。</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6、分项工程施工前，乙方必须先做样板，经甲方验收合格后方可大面积施工。</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7、如工程质量达不到合同约定的标准并在合理时间内整改一次无效，甲方有权委托第三方代乙方完成，因此产生的费用由乙方承担，乙方并应按第三方费用的 25%向甲方支付管理费，该等费用甲方有权在工程款中扣除。</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8、乙方应于验收申请时将完整的工程技术档案和竣工资料一式</w:t>
      </w:r>
      <w:r>
        <w:rPr>
          <w:rFonts w:hint="eastAsia" w:ascii="宋体" w:hAnsi="宋体" w:eastAsia="宋体" w:cs="宋体"/>
          <w:bCs w:val="0"/>
          <w:color w:val="auto"/>
          <w:spacing w:val="0"/>
          <w:w w:val="100"/>
          <w:kern w:val="0"/>
          <w:sz w:val="21"/>
          <w:szCs w:val="21"/>
          <w:highlight w:val="none"/>
          <w:u w:val="single"/>
          <w:lang w:val="zh-CN" w:eastAsia="zh-CN" w:bidi="zh-CN"/>
        </w:rPr>
        <w:t>二</w:t>
      </w:r>
      <w:r>
        <w:rPr>
          <w:rFonts w:hint="eastAsia" w:ascii="宋体" w:hAnsi="宋体" w:eastAsia="宋体" w:cs="宋体"/>
          <w:bCs w:val="0"/>
          <w:color w:val="auto"/>
          <w:spacing w:val="0"/>
          <w:w w:val="100"/>
          <w:kern w:val="0"/>
          <w:sz w:val="21"/>
          <w:szCs w:val="21"/>
          <w:highlight w:val="none"/>
          <w:lang w:val="zh-CN" w:eastAsia="zh-CN" w:bidi="zh-CN"/>
        </w:rPr>
        <w:t>份交付给甲方。</w:t>
      </w:r>
    </w:p>
    <w:p>
      <w:pPr>
        <w:keepNext w:val="0"/>
        <w:keepLines w:val="0"/>
        <w:pageBreakBefore w:val="0"/>
        <w:widowControl w:val="0"/>
        <w:tabs>
          <w:tab w:val="left" w:pos="2419"/>
        </w:tabs>
        <w:kinsoku/>
        <w:wordWrap/>
        <w:overflowPunct/>
        <w:topLinePunct w:val="0"/>
        <w:autoSpaceDE w:val="0"/>
        <w:autoSpaceDN w:val="0"/>
        <w:bidi w:val="0"/>
        <w:adjustRightInd/>
        <w:snapToGrid/>
        <w:spacing w:before="0" w:after="0" w:line="483" w:lineRule="auto"/>
        <w:ind w:left="0" w:leftChars="0" w:right="0" w:firstLine="422" w:firstLineChars="200"/>
        <w:jc w:val="left"/>
        <w:textAlignment w:val="auto"/>
        <w:outlineLvl w:val="1"/>
        <w:rPr>
          <w:rFonts w:hint="eastAsia" w:ascii="宋体" w:hAnsi="宋体" w:eastAsia="宋体" w:cs="宋体"/>
          <w:b/>
          <w:bCs w:val="0"/>
          <w:color w:val="auto"/>
          <w:spacing w:val="0"/>
          <w:w w:val="100"/>
          <w:kern w:val="0"/>
          <w:sz w:val="21"/>
          <w:szCs w:val="21"/>
          <w:highlight w:val="none"/>
          <w:lang w:val="zh-CN" w:eastAsia="zh-CN" w:bidi="zh-CN"/>
        </w:rPr>
      </w:pPr>
      <w:r>
        <w:rPr>
          <w:rFonts w:hint="eastAsia" w:ascii="宋体" w:hAnsi="宋体" w:eastAsia="宋体" w:cs="宋体"/>
          <w:b/>
          <w:bCs w:val="0"/>
          <w:color w:val="auto"/>
          <w:spacing w:val="0"/>
          <w:w w:val="100"/>
          <w:kern w:val="0"/>
          <w:sz w:val="21"/>
          <w:szCs w:val="21"/>
          <w:highlight w:val="none"/>
          <w:lang w:val="zh-CN" w:eastAsia="zh-CN" w:bidi="zh-CN"/>
        </w:rPr>
        <w:t>第九条</w:t>
      </w:r>
      <w:r>
        <w:rPr>
          <w:rFonts w:hint="eastAsia" w:ascii="宋体" w:hAnsi="宋体" w:eastAsia="宋体" w:cs="宋体"/>
          <w:b/>
          <w:bCs w:val="0"/>
          <w:color w:val="auto"/>
          <w:spacing w:val="0"/>
          <w:w w:val="100"/>
          <w:kern w:val="0"/>
          <w:sz w:val="21"/>
          <w:szCs w:val="21"/>
          <w:highlight w:val="none"/>
          <w:lang w:val="en-US" w:eastAsia="zh-CN" w:bidi="zh-CN"/>
        </w:rPr>
        <w:t xml:space="preserve"> </w:t>
      </w:r>
      <w:r>
        <w:rPr>
          <w:rFonts w:hint="eastAsia" w:ascii="宋体" w:hAnsi="宋体" w:eastAsia="宋体" w:cs="宋体"/>
          <w:b/>
          <w:bCs w:val="0"/>
          <w:color w:val="auto"/>
          <w:spacing w:val="0"/>
          <w:w w:val="100"/>
          <w:kern w:val="0"/>
          <w:sz w:val="21"/>
          <w:szCs w:val="21"/>
          <w:highlight w:val="none"/>
          <w:lang w:val="zh-CN" w:eastAsia="zh-CN" w:bidi="zh-CN"/>
        </w:rPr>
        <w:t>材料设备供应</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outlineLvl w:val="9"/>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1、本工程所需的设备、材料等物资的供应均由乙方根据图纸、</w:t>
      </w:r>
      <w:r>
        <w:rPr>
          <w:rFonts w:hint="eastAsia" w:hAnsi="宋体" w:cs="宋体"/>
          <w:bCs w:val="0"/>
          <w:color w:val="auto"/>
          <w:spacing w:val="0"/>
          <w:w w:val="100"/>
          <w:kern w:val="0"/>
          <w:sz w:val="21"/>
          <w:szCs w:val="21"/>
          <w:highlight w:val="none"/>
          <w:lang w:val="en-US" w:eastAsia="zh-CN" w:bidi="zh-CN"/>
        </w:rPr>
        <w:t>磋商</w:t>
      </w:r>
      <w:r>
        <w:rPr>
          <w:rFonts w:hint="eastAsia" w:ascii="宋体" w:hAnsi="宋体" w:eastAsia="宋体" w:cs="宋体"/>
          <w:bCs w:val="0"/>
          <w:color w:val="auto"/>
          <w:spacing w:val="0"/>
          <w:w w:val="100"/>
          <w:kern w:val="0"/>
          <w:sz w:val="21"/>
          <w:szCs w:val="21"/>
          <w:highlight w:val="none"/>
          <w:lang w:val="zh-CN" w:eastAsia="zh-CN" w:bidi="zh-CN"/>
        </w:rPr>
        <w:t>文件要求负责采购。</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outlineLvl w:val="9"/>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2、乙方提供的设备、材料必须达到国家及行业合格标准，并按有关规定提供厂家批号、出厂合格证、当年报验的质量检验书等资料证明，乙方必须对所提供的材料的质量负全责。变更、签证或增加工程</w:t>
      </w:r>
      <w:r>
        <w:rPr>
          <w:rFonts w:hint="eastAsia" w:ascii="宋体" w:hAnsi="宋体" w:eastAsia="宋体" w:cs="宋体"/>
          <w:bCs w:val="0"/>
          <w:color w:val="auto"/>
          <w:spacing w:val="0"/>
          <w:w w:val="100"/>
          <w:kern w:val="0"/>
          <w:sz w:val="21"/>
          <w:szCs w:val="21"/>
          <w:highlight w:val="none"/>
          <w:lang w:val="en-US" w:eastAsia="zh-CN" w:bidi="zh-CN"/>
        </w:rPr>
        <w:t>涉及的</w:t>
      </w:r>
      <w:r>
        <w:rPr>
          <w:rFonts w:hint="eastAsia" w:ascii="宋体" w:hAnsi="宋体" w:eastAsia="宋体" w:cs="宋体"/>
          <w:bCs w:val="0"/>
          <w:color w:val="auto"/>
          <w:spacing w:val="0"/>
          <w:w w:val="100"/>
          <w:kern w:val="0"/>
          <w:sz w:val="21"/>
          <w:szCs w:val="21"/>
          <w:highlight w:val="none"/>
          <w:lang w:val="zh-CN" w:eastAsia="zh-CN" w:bidi="zh-CN"/>
        </w:rPr>
        <w:t>主要材料及主材的单价须由乙方在施工前提供三家报价报送甲方审核部门确定后方能作为结算依据，乙方未及时在施工前报甲方审核的，以甲方审定的价格结算。</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outlineLvl w:val="9"/>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3、乙方提供材料的，应向甲方提交列明材料厂家、品牌、规格、颜色、材质等的清单，经甲方代表核实签字验收合格后，方可组织材料、设备进场。材料每次进场工程量均需监理、甲方签字确认。支付进度款或结算时，甲方对工程量有质疑的，甲方可要求乙方提供材料采购的合同及材料发货单、材料到场签收确认单及材料款支付证明资料，乙方需无条件提供并对资料的真实有效性负责，如若乙方拒绝提供，甲方可不计量此部分的进度款和结算工程量。如若提供的资料累加的材料工程量比进度款或结算按图纸或双方签认的工程量要小的，按提供的资料累加的材料工程量并按定额损耗率扣除损耗计量，如若扣除损耗后比进度款或结算按图纸或双方签认的工程量要大的，按图纸或双方签认的工程量计量。</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outlineLvl w:val="9"/>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4、进场材料和设备必须是</w:t>
      </w:r>
      <w:r>
        <w:rPr>
          <w:rFonts w:hint="eastAsia" w:hAnsi="宋体" w:cs="宋体"/>
          <w:bCs w:val="0"/>
          <w:color w:val="auto"/>
          <w:spacing w:val="0"/>
          <w:w w:val="100"/>
          <w:kern w:val="0"/>
          <w:sz w:val="21"/>
          <w:szCs w:val="21"/>
          <w:highlight w:val="none"/>
          <w:lang w:val="zh-CN" w:eastAsia="zh-CN" w:bidi="zh-CN"/>
        </w:rPr>
        <w:t>磋商</w:t>
      </w:r>
      <w:r>
        <w:rPr>
          <w:rFonts w:hint="eastAsia" w:ascii="宋体" w:hAnsi="宋体" w:eastAsia="宋体" w:cs="宋体"/>
          <w:bCs w:val="0"/>
          <w:color w:val="auto"/>
          <w:spacing w:val="0"/>
          <w:w w:val="100"/>
          <w:kern w:val="0"/>
          <w:sz w:val="21"/>
          <w:szCs w:val="21"/>
          <w:highlight w:val="none"/>
          <w:lang w:val="zh-CN" w:eastAsia="zh-CN" w:bidi="zh-CN"/>
        </w:rPr>
        <w:t>文件中甲方指定的品牌，若乙方对所用于本工程的材料变更或代用其它材料的，应向甲方发出正式书面通知，经甲方及设计单位同意并由甲方现场代表签字认可后，方可用于本工程，否则，监理和甲方现场工程师均有权制止，并要求乙方退回全部材料和设备，同时，乙方必须承担返工及另行购料安装所引起的一切费用。对甲方造成损失的，乙方应予以赔偿。</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outlineLvl w:val="9"/>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5、乙供材料必须符合国家标准及规范，并经甲方现场工程师及监理进行现场验收合格后，方可进场施工，验收未合格材料须立即退场，由此产生的一切损失由乙方承担。</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outlineLvl w:val="9"/>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6、乙方提供的材料和设备，乙方应会同监理人进行检验和交货验收，查验材料合格证明和产品合格证书，并按照合同约定及相关规范要求的规定，进行材料和设备的送检检测，检测合格且通过甲方及监理单位验收合格后方可用于本工程，所产生的费用由乙方承担。</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outlineLvl w:val="9"/>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7、甲方有权对产品质量取样送相关技术质量监督部门检验。如检验结果达不到国家标准，乙方必须立即停工并在两日内办理材料、设备退场及退货，并承担相关费用和由此给甲方造成的损失。影响甲方工期的，乙方应承担相应的赔偿责任。</w:t>
      </w:r>
    </w:p>
    <w:p>
      <w:pPr>
        <w:keepNext w:val="0"/>
        <w:keepLines w:val="0"/>
        <w:pageBreakBefore w:val="0"/>
        <w:widowControl w:val="0"/>
        <w:tabs>
          <w:tab w:val="left" w:pos="2419"/>
        </w:tabs>
        <w:kinsoku/>
        <w:wordWrap/>
        <w:overflowPunct/>
        <w:topLinePunct w:val="0"/>
        <w:autoSpaceDE w:val="0"/>
        <w:autoSpaceDN w:val="0"/>
        <w:bidi w:val="0"/>
        <w:adjustRightInd/>
        <w:snapToGrid/>
        <w:spacing w:before="0" w:after="0" w:line="360" w:lineRule="auto"/>
        <w:ind w:left="0" w:leftChars="0" w:right="0" w:firstLine="422" w:firstLineChars="200"/>
        <w:jc w:val="both"/>
        <w:textAlignment w:val="auto"/>
        <w:outlineLvl w:val="9"/>
        <w:rPr>
          <w:rFonts w:hint="eastAsia" w:ascii="宋体" w:hAnsi="宋体" w:eastAsia="宋体" w:cs="宋体"/>
          <w:b/>
          <w:bCs w:val="0"/>
          <w:color w:val="auto"/>
          <w:spacing w:val="0"/>
          <w:w w:val="100"/>
          <w:kern w:val="0"/>
          <w:sz w:val="21"/>
          <w:szCs w:val="21"/>
          <w:highlight w:val="none"/>
          <w:lang w:val="zh-CN" w:eastAsia="zh-CN" w:bidi="zh-CN"/>
        </w:rPr>
      </w:pPr>
      <w:r>
        <w:rPr>
          <w:rFonts w:hint="eastAsia" w:ascii="宋体" w:hAnsi="宋体" w:eastAsia="宋体" w:cs="宋体"/>
          <w:b/>
          <w:bCs w:val="0"/>
          <w:color w:val="auto"/>
          <w:spacing w:val="0"/>
          <w:w w:val="100"/>
          <w:kern w:val="0"/>
          <w:sz w:val="21"/>
          <w:szCs w:val="21"/>
          <w:highlight w:val="none"/>
          <w:lang w:val="zh-CN" w:eastAsia="zh-CN" w:bidi="zh-CN"/>
        </w:rPr>
        <w:t>第十条 施工与设计变更</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outlineLvl w:val="9"/>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1、甲方交付的设计图纸、说明和有关技术资料，乙方应在施工前予以复核、确认，乙方不得擅自修改。预估结算价在甲方允许限额内方可施工，否则应在收到资料后三日内联系甲方修改图纸。</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outlineLvl w:val="9"/>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2、施工中如发现设计有错误或者严重不合理的地方，乙方应立即停工并以书面形式通知甲方（最迟不得超过发现之日起三日），由甲方及时会同设计等单位作出修改意见或变更设计文件，并及时将修改或变更的设计文件送达乙方，乙方应按修改或变更的设计文件进行施工。</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outlineLvl w:val="9"/>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3、甲方如需变更设计，必须由原设计单位作出正式修改通知书和修改图纸，并送达给乙方，乙方才予实施。乙方在收到甲方的通知后，须按甲方的要求停工。</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outlineLvl w:val="9"/>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4、发生增加工程时，甲方需作书面通知，乙方报价经甲方确认后，乙方必须在所有工程量完工后 15 天内如实、严谨地向甲方报送工程签证，否则甲方有权拒收并视此增加工程不涉及合同价款的增加。</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outlineLvl w:val="9"/>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en-US" w:eastAsia="zh-CN" w:bidi="zh-CN"/>
        </w:rPr>
        <w:t>5</w:t>
      </w:r>
      <w:r>
        <w:rPr>
          <w:rFonts w:hint="eastAsia" w:ascii="宋体" w:hAnsi="宋体" w:eastAsia="宋体" w:cs="宋体"/>
          <w:bCs w:val="0"/>
          <w:color w:val="auto"/>
          <w:spacing w:val="0"/>
          <w:w w:val="100"/>
          <w:kern w:val="0"/>
          <w:sz w:val="21"/>
          <w:szCs w:val="21"/>
          <w:highlight w:val="none"/>
          <w:lang w:val="zh-CN" w:eastAsia="zh-CN" w:bidi="zh-CN"/>
        </w:rPr>
        <w:t>、变更、签证或增加工程，经甲方签证确认后，工程量按实结算；综合单价的按如下规则确定：</w:t>
      </w:r>
    </w:p>
    <w:p>
      <w:pPr>
        <w:keepNext w:val="0"/>
        <w:keepLines w:val="0"/>
        <w:pageBreakBefore w:val="0"/>
        <w:widowControl w:val="0"/>
        <w:numPr>
          <w:ilvl w:val="0"/>
          <w:numId w:val="19"/>
        </w:numPr>
        <w:tabs>
          <w:tab w:val="left" w:pos="2368"/>
        </w:tabs>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outlineLvl w:val="9"/>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如属合同清单已有的子目，按合同清单单价；</w:t>
      </w:r>
    </w:p>
    <w:p>
      <w:pPr>
        <w:keepNext w:val="0"/>
        <w:keepLines w:val="0"/>
        <w:pageBreakBefore w:val="0"/>
        <w:widowControl w:val="0"/>
        <w:numPr>
          <w:ilvl w:val="0"/>
          <w:numId w:val="19"/>
        </w:numPr>
        <w:tabs>
          <w:tab w:val="left" w:pos="2368"/>
        </w:tabs>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outlineLvl w:val="9"/>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如有类似的子目，单价参照类似子目单价；</w:t>
      </w:r>
    </w:p>
    <w:p>
      <w:pPr>
        <w:keepNext w:val="0"/>
        <w:keepLines w:val="0"/>
        <w:pageBreakBefore w:val="0"/>
        <w:widowControl w:val="0"/>
        <w:numPr>
          <w:ilvl w:val="0"/>
          <w:numId w:val="19"/>
        </w:numPr>
        <w:tabs>
          <w:tab w:val="left" w:pos="2368"/>
        </w:tabs>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outlineLvl w:val="9"/>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当发生设计变更及增减工程、签证工程时，如甲方发现在承包人报价中有明显高出同时期市场价格时，甲方有权不按此报价部分结算，而按双方确认的市场平均价格计算。当单体工程投标报价书的相同项目（具有同一工作内容）出现两个或两个以上不同的综合单价时，须按以下原则进行结算：</w:t>
      </w:r>
    </w:p>
    <w:p>
      <w:pPr>
        <w:keepNext w:val="0"/>
        <w:keepLines w:val="0"/>
        <w:pageBreakBefore w:val="0"/>
        <w:widowControl w:val="0"/>
        <w:numPr>
          <w:ilvl w:val="0"/>
          <w:numId w:val="0"/>
        </w:numPr>
        <w:tabs>
          <w:tab w:val="left" w:pos="2368"/>
        </w:tabs>
        <w:kinsoku/>
        <w:wordWrap/>
        <w:overflowPunct/>
        <w:topLinePunct w:val="0"/>
        <w:autoSpaceDE w:val="0"/>
        <w:autoSpaceDN w:val="0"/>
        <w:bidi w:val="0"/>
        <w:adjustRightInd/>
        <w:snapToGrid/>
        <w:spacing w:before="0" w:after="0" w:line="360" w:lineRule="auto"/>
        <w:ind w:leftChars="200" w:right="0" w:rightChars="0"/>
        <w:jc w:val="both"/>
        <w:textAlignment w:val="auto"/>
        <w:outlineLvl w:val="9"/>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A.该项属增加工程量的，按综合单价金额最低的报价进行结算；</w:t>
      </w:r>
    </w:p>
    <w:p>
      <w:pPr>
        <w:keepNext w:val="0"/>
        <w:keepLines w:val="0"/>
        <w:pageBreakBefore w:val="0"/>
        <w:widowControl w:val="0"/>
        <w:numPr>
          <w:ilvl w:val="0"/>
          <w:numId w:val="0"/>
        </w:numPr>
        <w:tabs>
          <w:tab w:val="left" w:pos="2368"/>
        </w:tabs>
        <w:kinsoku/>
        <w:wordWrap/>
        <w:overflowPunct/>
        <w:topLinePunct w:val="0"/>
        <w:autoSpaceDE w:val="0"/>
        <w:autoSpaceDN w:val="0"/>
        <w:bidi w:val="0"/>
        <w:adjustRightInd/>
        <w:snapToGrid/>
        <w:spacing w:before="0" w:after="0" w:line="360" w:lineRule="auto"/>
        <w:ind w:leftChars="200" w:right="0" w:rightChars="0"/>
        <w:jc w:val="both"/>
        <w:textAlignment w:val="auto"/>
        <w:outlineLvl w:val="9"/>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B.该项属减少工程量的，按综合单价金额最高的报价进行结算。</w:t>
      </w:r>
    </w:p>
    <w:p>
      <w:pPr>
        <w:keepNext w:val="0"/>
        <w:keepLines w:val="0"/>
        <w:pageBreakBefore w:val="0"/>
        <w:widowControl w:val="0"/>
        <w:numPr>
          <w:ilvl w:val="0"/>
          <w:numId w:val="19"/>
        </w:numPr>
        <w:tabs>
          <w:tab w:val="left" w:pos="2368"/>
          <w:tab w:val="left" w:pos="2947"/>
          <w:tab w:val="left" w:pos="3334"/>
        </w:tabs>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如原</w:t>
      </w:r>
      <w:r>
        <w:rPr>
          <w:rFonts w:hint="eastAsia" w:ascii="宋体" w:hAnsi="宋体" w:eastAsia="宋体" w:cs="宋体"/>
          <w:bCs w:val="0"/>
          <w:color w:val="auto"/>
          <w:spacing w:val="0"/>
          <w:w w:val="100"/>
          <w:kern w:val="0"/>
          <w:sz w:val="21"/>
          <w:szCs w:val="22"/>
          <w:highlight w:val="none"/>
          <w:lang w:val="en-US" w:eastAsia="zh-CN" w:bidi="zh-CN"/>
        </w:rPr>
        <w:t>合同</w:t>
      </w:r>
      <w:r>
        <w:rPr>
          <w:rFonts w:hint="eastAsia" w:ascii="宋体" w:hAnsi="宋体" w:eastAsia="宋体" w:cs="宋体"/>
          <w:bCs w:val="0"/>
          <w:color w:val="auto"/>
          <w:spacing w:val="0"/>
          <w:w w:val="100"/>
          <w:kern w:val="0"/>
          <w:sz w:val="21"/>
          <w:szCs w:val="22"/>
          <w:highlight w:val="none"/>
          <w:lang w:val="zh-CN" w:eastAsia="zh-CN" w:bidi="zh-CN"/>
        </w:rPr>
        <w:t>无类似的项目，则按以下方式计费：根据现场的实际情况，发包人若有变更需要更换主材，主材价的换算依据为:仅替换主材价格,而不对安装费及损耗等因素做任何调整；并且主材需在施工前提交发包人认质认价。如新增项目在合同内没有的清单价，   则按广东省东莞市现行的清单计价方式（相应的定额采用《广东省房屋建筑与装饰工程综合定额》（2018）、《广东省安装工程综合定额》(2018)、《广东省市政工程综合定额》(2018)），并按</w:t>
      </w:r>
      <w:r>
        <w:rPr>
          <w:rFonts w:hint="eastAsia" w:ascii="宋体" w:hAnsi="宋体" w:eastAsia="宋体" w:cs="宋体"/>
          <w:bCs w:val="0"/>
          <w:color w:val="auto"/>
          <w:spacing w:val="0"/>
          <w:w w:val="100"/>
          <w:kern w:val="0"/>
          <w:sz w:val="21"/>
          <w:szCs w:val="22"/>
          <w:highlight w:val="none"/>
          <w:u w:val="single"/>
          <w:lang w:val="zh-CN" w:eastAsia="zh-CN" w:bidi="zh-CN"/>
        </w:rPr>
        <w:t xml:space="preserve"> </w:t>
      </w:r>
      <w:r>
        <w:rPr>
          <w:rFonts w:hint="eastAsia" w:ascii="宋体" w:hAnsi="宋体" w:eastAsia="宋体" w:cs="宋体"/>
          <w:bCs w:val="0"/>
          <w:color w:val="auto"/>
          <w:spacing w:val="0"/>
          <w:w w:val="100"/>
          <w:kern w:val="0"/>
          <w:sz w:val="21"/>
          <w:szCs w:val="22"/>
          <w:highlight w:val="none"/>
          <w:u w:val="single"/>
          <w:lang w:val="en-US" w:eastAsia="zh-CN" w:bidi="zh-CN"/>
        </w:rPr>
        <w:t xml:space="preserve">   </w:t>
      </w:r>
      <w:r>
        <w:rPr>
          <w:rFonts w:hint="eastAsia" w:ascii="宋体" w:hAnsi="宋体" w:eastAsia="宋体" w:cs="宋体"/>
          <w:bCs w:val="0"/>
          <w:color w:val="auto"/>
          <w:spacing w:val="0"/>
          <w:w w:val="100"/>
          <w:kern w:val="0"/>
          <w:sz w:val="21"/>
          <w:szCs w:val="22"/>
          <w:highlight w:val="none"/>
          <w:lang w:val="zh-CN" w:eastAsia="zh-CN" w:bidi="zh-CN"/>
        </w:rPr>
        <w:t>%（按中标价与</w:t>
      </w:r>
      <w:r>
        <w:rPr>
          <w:rFonts w:hint="eastAsia" w:ascii="宋体" w:hAnsi="宋体" w:eastAsia="宋体" w:cs="宋体"/>
          <w:bCs w:val="0"/>
          <w:color w:val="auto"/>
          <w:spacing w:val="0"/>
          <w:w w:val="100"/>
          <w:kern w:val="0"/>
          <w:sz w:val="21"/>
          <w:szCs w:val="22"/>
          <w:highlight w:val="none"/>
          <w:lang w:val="en-US" w:eastAsia="zh-CN" w:bidi="zh-CN"/>
        </w:rPr>
        <w:t>投标限价</w:t>
      </w:r>
      <w:r>
        <w:rPr>
          <w:rFonts w:hint="eastAsia" w:ascii="宋体" w:hAnsi="宋体" w:eastAsia="宋体" w:cs="宋体"/>
          <w:bCs w:val="0"/>
          <w:color w:val="auto"/>
          <w:spacing w:val="0"/>
          <w:w w:val="100"/>
          <w:kern w:val="0"/>
          <w:sz w:val="21"/>
          <w:szCs w:val="22"/>
          <w:highlight w:val="none"/>
          <w:lang w:val="zh-CN" w:eastAsia="zh-CN" w:bidi="zh-CN"/>
        </w:rPr>
        <w:t>的下浮比例）下浮幅度计价。人工、材料价按东莞市 202</w:t>
      </w:r>
      <w:r>
        <w:rPr>
          <w:rFonts w:hint="eastAsia" w:ascii="宋体" w:hAnsi="宋体" w:eastAsia="宋体" w:cs="宋体"/>
          <w:bCs w:val="0"/>
          <w:color w:val="auto"/>
          <w:spacing w:val="0"/>
          <w:w w:val="100"/>
          <w:kern w:val="0"/>
          <w:sz w:val="21"/>
          <w:szCs w:val="22"/>
          <w:highlight w:val="none"/>
          <w:lang w:val="en-US" w:eastAsia="zh-CN" w:bidi="zh-CN"/>
        </w:rPr>
        <w:t>2</w:t>
      </w:r>
      <w:r>
        <w:rPr>
          <w:rFonts w:hint="eastAsia" w:ascii="宋体" w:hAnsi="宋体" w:eastAsia="宋体" w:cs="宋体"/>
          <w:bCs w:val="0"/>
          <w:color w:val="auto"/>
          <w:spacing w:val="0"/>
          <w:w w:val="100"/>
          <w:kern w:val="0"/>
          <w:sz w:val="21"/>
          <w:szCs w:val="22"/>
          <w:highlight w:val="none"/>
          <w:lang w:val="zh-CN" w:eastAsia="zh-CN" w:bidi="zh-CN"/>
        </w:rPr>
        <w:t>年</w:t>
      </w:r>
      <w:r>
        <w:rPr>
          <w:rFonts w:hint="eastAsia" w:ascii="宋体" w:hAnsi="宋体" w:eastAsia="宋体" w:cs="宋体"/>
          <w:bCs w:val="0"/>
          <w:color w:val="auto"/>
          <w:spacing w:val="0"/>
          <w:w w:val="100"/>
          <w:kern w:val="0"/>
          <w:sz w:val="21"/>
          <w:szCs w:val="22"/>
          <w:highlight w:val="none"/>
          <w:lang w:val="en-US" w:eastAsia="zh-CN" w:bidi="zh-CN"/>
        </w:rPr>
        <w:t>9</w:t>
      </w:r>
      <w:r>
        <w:rPr>
          <w:rFonts w:hint="eastAsia" w:ascii="宋体" w:hAnsi="宋体" w:eastAsia="宋体" w:cs="宋体"/>
          <w:bCs w:val="0"/>
          <w:color w:val="auto"/>
          <w:spacing w:val="0"/>
          <w:w w:val="100"/>
          <w:kern w:val="0"/>
          <w:sz w:val="21"/>
          <w:szCs w:val="22"/>
          <w:highlight w:val="none"/>
          <w:lang w:val="zh-CN" w:eastAsia="zh-CN" w:bidi="zh-CN"/>
        </w:rPr>
        <w:t>月份信息价计取（东莞市信息价没有的可采用周边地区信息价，优先选用距离较近的同类别地区），信息价没有的按双方协商并由甲方最终确认的市场价计算，有关费用只计取规费、税金，其他费用不予计取。</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hAnsi="宋体" w:cs="宋体"/>
          <w:bCs w:val="0"/>
          <w:color w:val="auto"/>
          <w:spacing w:val="0"/>
          <w:w w:val="100"/>
          <w:kern w:val="0"/>
          <w:sz w:val="21"/>
          <w:szCs w:val="21"/>
          <w:highlight w:val="none"/>
          <w:lang w:val="en-US" w:eastAsia="zh-CN" w:bidi="zh-CN"/>
        </w:rPr>
        <w:t>6、</w:t>
      </w:r>
      <w:r>
        <w:rPr>
          <w:rFonts w:hint="eastAsia" w:ascii="宋体" w:hAnsi="宋体" w:eastAsia="宋体" w:cs="宋体"/>
          <w:bCs w:val="0"/>
          <w:color w:val="auto"/>
          <w:spacing w:val="0"/>
          <w:w w:val="100"/>
          <w:kern w:val="0"/>
          <w:sz w:val="21"/>
          <w:szCs w:val="21"/>
          <w:highlight w:val="none"/>
          <w:lang w:val="zh-CN" w:eastAsia="zh-CN" w:bidi="zh-CN"/>
        </w:rPr>
        <w:t>调差：本工程人工、材料均不进行调差。</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hAnsi="宋体" w:cs="宋体"/>
          <w:bCs w:val="0"/>
          <w:color w:val="auto"/>
          <w:spacing w:val="0"/>
          <w:w w:val="100"/>
          <w:kern w:val="0"/>
          <w:sz w:val="21"/>
          <w:szCs w:val="21"/>
          <w:highlight w:val="none"/>
          <w:lang w:val="en-US" w:eastAsia="zh-CN" w:bidi="zh-CN"/>
        </w:rPr>
        <w:t>7</w:t>
      </w:r>
      <w:r>
        <w:rPr>
          <w:rFonts w:hint="eastAsia" w:ascii="宋体" w:hAnsi="宋体" w:eastAsia="宋体" w:cs="宋体"/>
          <w:bCs w:val="0"/>
          <w:color w:val="auto"/>
          <w:spacing w:val="0"/>
          <w:w w:val="100"/>
          <w:kern w:val="0"/>
          <w:sz w:val="21"/>
          <w:szCs w:val="21"/>
          <w:highlight w:val="none"/>
          <w:lang w:val="zh-CN" w:eastAsia="zh-CN" w:bidi="zh-CN"/>
        </w:rPr>
        <w:t>、对于合同原有工作内容及甲方提出的变更、签证或增加工程，乙方需无条件全力配合实施，若乙方不配合实施，则视为违约，甲方有权自行委托第三方进行施工，所发生的费用以甲方核定的金额为准，合同原有工作内容的费用甲方有权直接从乙方工程进度款和结算款中扣除；变更、签证及增加工程的费用由甲方直接支付给第三方单位，从乙方工程进度款或结算款中扣除，并保留追究乙方的违约责任。</w:t>
      </w:r>
    </w:p>
    <w:p>
      <w:pPr>
        <w:keepNext w:val="0"/>
        <w:keepLines w:val="0"/>
        <w:pageBreakBefore w:val="0"/>
        <w:widowControl w:val="0"/>
        <w:tabs>
          <w:tab w:val="left" w:pos="2419"/>
        </w:tabs>
        <w:kinsoku/>
        <w:wordWrap/>
        <w:overflowPunct/>
        <w:topLinePunct w:val="0"/>
        <w:autoSpaceDE w:val="0"/>
        <w:autoSpaceDN w:val="0"/>
        <w:bidi w:val="0"/>
        <w:adjustRightInd/>
        <w:snapToGrid/>
        <w:spacing w:before="0" w:after="0" w:line="483" w:lineRule="auto"/>
        <w:ind w:left="0" w:leftChars="0" w:right="0" w:firstLine="422" w:firstLineChars="200"/>
        <w:jc w:val="left"/>
        <w:textAlignment w:val="auto"/>
        <w:outlineLvl w:val="1"/>
        <w:rPr>
          <w:rFonts w:hint="eastAsia" w:ascii="宋体" w:hAnsi="宋体" w:eastAsia="宋体" w:cs="宋体"/>
          <w:b/>
          <w:bCs w:val="0"/>
          <w:color w:val="auto"/>
          <w:spacing w:val="0"/>
          <w:w w:val="100"/>
          <w:kern w:val="0"/>
          <w:sz w:val="21"/>
          <w:szCs w:val="21"/>
          <w:highlight w:val="none"/>
          <w:lang w:val="zh-CN" w:eastAsia="zh-CN" w:bidi="zh-CN"/>
        </w:rPr>
      </w:pPr>
      <w:r>
        <w:rPr>
          <w:rFonts w:hint="eastAsia" w:ascii="宋体" w:hAnsi="宋体" w:eastAsia="宋体" w:cs="宋体"/>
          <w:b/>
          <w:bCs w:val="0"/>
          <w:color w:val="auto"/>
          <w:spacing w:val="0"/>
          <w:w w:val="100"/>
          <w:kern w:val="0"/>
          <w:sz w:val="21"/>
          <w:szCs w:val="21"/>
          <w:highlight w:val="none"/>
          <w:lang w:val="zh-CN" w:eastAsia="zh-CN" w:bidi="zh-CN"/>
        </w:rPr>
        <w:t>第十一条 履约保证</w:t>
      </w:r>
    </w:p>
    <w:p>
      <w:pPr>
        <w:keepNext w:val="0"/>
        <w:keepLines w:val="0"/>
        <w:pageBreakBefore w:val="0"/>
        <w:widowControl w:val="0"/>
        <w:kinsoku/>
        <w:wordWrap/>
        <w:overflowPunct/>
        <w:topLinePunct w:val="0"/>
        <w:autoSpaceDE w:val="0"/>
        <w:autoSpaceDN w:val="0"/>
        <w:bidi w:val="0"/>
        <w:adjustRightInd/>
        <w:spacing w:before="0" w:after="0" w:line="427" w:lineRule="auto"/>
        <w:ind w:left="0" w:leftChars="0" w:right="0" w:firstLine="420" w:firstLineChars="200"/>
        <w:jc w:val="both"/>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1、乙方在甲方宣布中标结果后 15 天内，必须交纳履约保证金（以现金形式打入甲方指定的账户）或提交不可撤销银行履约保函（可提供保函的银行必须是支行一级或以上银行机构，提供履约保证担保所产生的费用由乙方承担），数额为工程承包合同总价的 10% ，乙方如逾期未能缴纳履约保证金或提供履约保函，甲方有权废除乙方的中标资格, 并保留没收投标保证金的权利。</w:t>
      </w:r>
    </w:p>
    <w:p>
      <w:pPr>
        <w:keepNext w:val="0"/>
        <w:keepLines w:val="0"/>
        <w:pageBreakBefore w:val="0"/>
        <w:widowControl w:val="0"/>
        <w:kinsoku/>
        <w:wordWrap/>
        <w:overflowPunct/>
        <w:topLinePunct w:val="0"/>
        <w:autoSpaceDE w:val="0"/>
        <w:autoSpaceDN w:val="0"/>
        <w:bidi w:val="0"/>
        <w:adjustRightInd/>
        <w:spacing w:before="0" w:after="0" w:line="240"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2、履约担保的有效期</w:t>
      </w:r>
    </w:p>
    <w:p>
      <w:pPr>
        <w:keepNext w:val="0"/>
        <w:keepLines w:val="0"/>
        <w:pageBreakBefore w:val="0"/>
        <w:widowControl w:val="0"/>
        <w:kinsoku/>
        <w:wordWrap/>
        <w:overflowPunct/>
        <w:topLinePunct w:val="0"/>
        <w:autoSpaceDE w:val="0"/>
        <w:autoSpaceDN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合同签订日至工程竣工验收合格之日后 30 天内。</w:t>
      </w:r>
    </w:p>
    <w:p>
      <w:pPr>
        <w:keepNext w:val="0"/>
        <w:keepLines w:val="0"/>
        <w:pageBreakBefore w:val="0"/>
        <w:widowControl w:val="0"/>
        <w:kinsoku/>
        <w:wordWrap/>
        <w:overflowPunct/>
        <w:topLinePunct w:val="0"/>
        <w:autoSpaceDE w:val="0"/>
        <w:autoSpaceDN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3、履约保证金/履约保函的退还</w:t>
      </w:r>
    </w:p>
    <w:p>
      <w:pPr>
        <w:keepNext w:val="0"/>
        <w:keepLines w:val="0"/>
        <w:pageBreakBefore w:val="0"/>
        <w:widowControl w:val="0"/>
        <w:kinsoku/>
        <w:wordWrap/>
        <w:overflowPunct/>
        <w:topLinePunct w:val="0"/>
        <w:autoSpaceDE w:val="0"/>
        <w:autoSpaceDN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乙方向甲方缴纳的上述履约保证金/履约保函，在工程竣工验收合格 30 天后的</w:t>
      </w:r>
      <w:r>
        <w:rPr>
          <w:rFonts w:hint="eastAsia" w:ascii="宋体" w:hAnsi="宋体" w:eastAsia="宋体" w:cs="宋体"/>
          <w:bCs w:val="0"/>
          <w:color w:val="auto"/>
          <w:spacing w:val="0"/>
          <w:w w:val="100"/>
          <w:kern w:val="0"/>
          <w:sz w:val="21"/>
          <w:szCs w:val="21"/>
          <w:highlight w:val="none"/>
          <w:u w:val="single"/>
          <w:lang w:val="zh-CN" w:eastAsia="zh-CN" w:bidi="zh-CN"/>
        </w:rPr>
        <w:t xml:space="preserve"> 15</w:t>
      </w:r>
      <w:r>
        <w:rPr>
          <w:rFonts w:hint="eastAsia" w:ascii="宋体" w:hAnsi="宋体" w:eastAsia="宋体" w:cs="宋体"/>
          <w:bCs w:val="0"/>
          <w:color w:val="auto"/>
          <w:spacing w:val="0"/>
          <w:w w:val="100"/>
          <w:kern w:val="0"/>
          <w:sz w:val="21"/>
          <w:szCs w:val="21"/>
          <w:highlight w:val="none"/>
          <w:lang w:val="zh-CN" w:eastAsia="zh-CN" w:bidi="zh-CN"/>
        </w:rPr>
        <w:t xml:space="preserve"> 天内， 甲方退回全部的履约保证金/履约保函给乙方。履约保证金均以不计取利息的方式退还给乙方。</w:t>
      </w:r>
    </w:p>
    <w:p>
      <w:pPr>
        <w:keepNext w:val="0"/>
        <w:keepLines w:val="0"/>
        <w:pageBreakBefore w:val="0"/>
        <w:widowControl w:val="0"/>
        <w:tabs>
          <w:tab w:val="left" w:pos="2419"/>
        </w:tabs>
        <w:kinsoku/>
        <w:wordWrap/>
        <w:overflowPunct/>
        <w:topLinePunct w:val="0"/>
        <w:autoSpaceDE w:val="0"/>
        <w:autoSpaceDN w:val="0"/>
        <w:bidi w:val="0"/>
        <w:adjustRightInd/>
        <w:snapToGrid/>
        <w:spacing w:before="0" w:after="0" w:line="483" w:lineRule="auto"/>
        <w:ind w:left="0" w:leftChars="0" w:right="0" w:firstLine="422" w:firstLineChars="200"/>
        <w:jc w:val="left"/>
        <w:textAlignment w:val="auto"/>
        <w:outlineLvl w:val="1"/>
        <w:rPr>
          <w:rFonts w:hint="eastAsia" w:ascii="宋体" w:hAnsi="宋体" w:eastAsia="宋体" w:cs="宋体"/>
          <w:b/>
          <w:bCs w:val="0"/>
          <w:color w:val="auto"/>
          <w:spacing w:val="0"/>
          <w:w w:val="100"/>
          <w:kern w:val="0"/>
          <w:sz w:val="21"/>
          <w:szCs w:val="21"/>
          <w:highlight w:val="none"/>
          <w:lang w:val="zh-CN" w:eastAsia="zh-CN" w:bidi="zh-CN"/>
        </w:rPr>
      </w:pPr>
      <w:r>
        <w:rPr>
          <w:rFonts w:hint="eastAsia" w:ascii="宋体" w:hAnsi="宋体" w:eastAsia="宋体" w:cs="宋体"/>
          <w:b/>
          <w:bCs w:val="0"/>
          <w:color w:val="auto"/>
          <w:spacing w:val="0"/>
          <w:w w:val="100"/>
          <w:kern w:val="0"/>
          <w:sz w:val="21"/>
          <w:szCs w:val="21"/>
          <w:highlight w:val="none"/>
          <w:lang w:val="zh-CN" w:eastAsia="zh-CN" w:bidi="zh-CN"/>
        </w:rPr>
        <w:t>第十二条</w:t>
      </w:r>
      <w:r>
        <w:rPr>
          <w:rFonts w:hint="eastAsia" w:ascii="宋体" w:hAnsi="宋体" w:eastAsia="宋体" w:cs="宋体"/>
          <w:b/>
          <w:bCs w:val="0"/>
          <w:color w:val="auto"/>
          <w:spacing w:val="0"/>
          <w:w w:val="100"/>
          <w:kern w:val="0"/>
          <w:sz w:val="21"/>
          <w:szCs w:val="21"/>
          <w:highlight w:val="none"/>
          <w:lang w:val="en-US" w:eastAsia="zh-CN" w:bidi="zh-CN"/>
        </w:rPr>
        <w:t xml:space="preserve"> </w:t>
      </w:r>
      <w:r>
        <w:rPr>
          <w:rFonts w:hint="eastAsia" w:ascii="宋体" w:hAnsi="宋体" w:eastAsia="宋体" w:cs="宋体"/>
          <w:b/>
          <w:bCs w:val="0"/>
          <w:color w:val="auto"/>
          <w:spacing w:val="0"/>
          <w:w w:val="100"/>
          <w:kern w:val="0"/>
          <w:sz w:val="21"/>
          <w:szCs w:val="21"/>
          <w:highlight w:val="none"/>
          <w:lang w:val="zh-CN" w:eastAsia="zh-CN" w:bidi="zh-CN"/>
        </w:rPr>
        <w:t>质保期</w:t>
      </w:r>
    </w:p>
    <w:p>
      <w:pPr>
        <w:keepNext w:val="0"/>
        <w:keepLines w:val="0"/>
        <w:pageBreakBefore w:val="0"/>
        <w:widowControl w:val="0"/>
        <w:kinsoku/>
        <w:wordWrap/>
        <w:overflowPunct/>
        <w:topLinePunct w:val="0"/>
        <w:autoSpaceDE w:val="0"/>
        <w:autoSpaceDN w:val="0"/>
        <w:bidi w:val="0"/>
        <w:adjustRightInd/>
        <w:spacing w:before="0" w:after="0" w:line="427" w:lineRule="auto"/>
        <w:ind w:left="0" w:leftChars="0" w:right="0" w:firstLine="420" w:firstLineChars="200"/>
        <w:jc w:val="both"/>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1、本工程的质保期即为养护期，养护期为自复垦验收合格通过后</w:t>
      </w:r>
      <w:r>
        <w:rPr>
          <w:rFonts w:hint="eastAsia" w:ascii="宋体" w:hAnsi="宋体" w:eastAsia="宋体" w:cs="宋体"/>
          <w:bCs w:val="0"/>
          <w:color w:val="auto"/>
          <w:spacing w:val="0"/>
          <w:w w:val="100"/>
          <w:kern w:val="0"/>
          <w:sz w:val="21"/>
          <w:szCs w:val="21"/>
          <w:highlight w:val="none"/>
          <w:lang w:val="en-US" w:eastAsia="zh-CN" w:bidi="zh-CN"/>
        </w:rPr>
        <w:t>6</w:t>
      </w:r>
      <w:r>
        <w:rPr>
          <w:rFonts w:hint="eastAsia" w:ascii="宋体" w:hAnsi="宋体" w:eastAsia="宋体" w:cs="宋体"/>
          <w:bCs w:val="0"/>
          <w:color w:val="auto"/>
          <w:spacing w:val="0"/>
          <w:w w:val="100"/>
          <w:kern w:val="0"/>
          <w:sz w:val="21"/>
          <w:szCs w:val="21"/>
          <w:highlight w:val="none"/>
          <w:lang w:val="zh-CN" w:eastAsia="zh-CN" w:bidi="zh-CN"/>
        </w:rPr>
        <w:t>个月，质保期自工程竣工验收合格，</w:t>
      </w:r>
      <w:r>
        <w:rPr>
          <w:rFonts w:hint="eastAsia" w:ascii="宋体" w:hAnsi="宋体" w:eastAsia="宋体" w:cs="宋体"/>
          <w:bCs w:val="0"/>
          <w:color w:val="auto"/>
          <w:spacing w:val="0"/>
          <w:w w:val="100"/>
          <w:kern w:val="0"/>
          <w:sz w:val="21"/>
          <w:szCs w:val="21"/>
          <w:highlight w:val="none"/>
          <w:lang w:val="en-US" w:eastAsia="zh-CN" w:bidi="zh-CN"/>
        </w:rPr>
        <w:t>取得</w:t>
      </w:r>
      <w:r>
        <w:rPr>
          <w:rFonts w:hint="eastAsia" w:ascii="宋体" w:hAnsi="宋体" w:eastAsia="宋体" w:cs="宋体"/>
          <w:color w:val="auto"/>
          <w:sz w:val="21"/>
          <w:szCs w:val="21"/>
          <w:highlight w:val="none"/>
          <w:lang w:val="en-US" w:eastAsia="zh-CN" w:bidi="zh-CN"/>
        </w:rPr>
        <w:t>政府复垦主管部门出具的验收合格确认书，</w:t>
      </w:r>
      <w:r>
        <w:rPr>
          <w:rFonts w:hint="eastAsia" w:ascii="宋体" w:hAnsi="宋体" w:eastAsia="宋体" w:cs="宋体"/>
          <w:bCs w:val="0"/>
          <w:color w:val="auto"/>
          <w:spacing w:val="0"/>
          <w:w w:val="100"/>
          <w:kern w:val="0"/>
          <w:sz w:val="21"/>
          <w:szCs w:val="21"/>
          <w:highlight w:val="none"/>
          <w:lang w:val="zh-CN" w:eastAsia="zh-CN" w:bidi="zh-CN"/>
        </w:rPr>
        <w:t>并移交甲方之日起计算。</w:t>
      </w:r>
    </w:p>
    <w:p>
      <w:pPr>
        <w:keepNext w:val="0"/>
        <w:keepLines w:val="0"/>
        <w:pageBreakBefore w:val="0"/>
        <w:widowControl w:val="0"/>
        <w:tabs>
          <w:tab w:val="left" w:pos="2419"/>
        </w:tabs>
        <w:kinsoku/>
        <w:wordWrap/>
        <w:overflowPunct/>
        <w:topLinePunct w:val="0"/>
        <w:autoSpaceDE w:val="0"/>
        <w:autoSpaceDN w:val="0"/>
        <w:bidi w:val="0"/>
        <w:adjustRightInd/>
        <w:snapToGrid/>
        <w:spacing w:before="0" w:after="0" w:line="483" w:lineRule="auto"/>
        <w:ind w:left="0" w:leftChars="0" w:right="0" w:firstLine="420" w:firstLineChars="200"/>
        <w:jc w:val="left"/>
        <w:textAlignment w:val="auto"/>
        <w:outlineLvl w:val="1"/>
        <w:rPr>
          <w:rFonts w:hint="eastAsia" w:ascii="宋体" w:hAnsi="宋体" w:eastAsia="宋体" w:cs="宋体"/>
          <w:b/>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2、质保期内，乙方必须及时处理甲方提出的质量问题，凡因乙方施工造成的质量问题，乙方自甲方通知送达之日起 7 日内，应无条件予以维修完毕。否则，甲方有权另派施工队伍施工、维修，一切费用在质保金内扣除，超出质保金的部分，甲方有权向乙方追偿。</w:t>
      </w:r>
    </w:p>
    <w:p>
      <w:pPr>
        <w:keepNext w:val="0"/>
        <w:keepLines w:val="0"/>
        <w:pageBreakBefore w:val="0"/>
        <w:widowControl w:val="0"/>
        <w:tabs>
          <w:tab w:val="left" w:pos="2419"/>
        </w:tabs>
        <w:kinsoku/>
        <w:wordWrap/>
        <w:overflowPunct/>
        <w:topLinePunct w:val="0"/>
        <w:autoSpaceDE w:val="0"/>
        <w:autoSpaceDN w:val="0"/>
        <w:bidi w:val="0"/>
        <w:adjustRightInd/>
        <w:snapToGrid/>
        <w:spacing w:before="0" w:after="0" w:line="483" w:lineRule="auto"/>
        <w:ind w:left="0" w:leftChars="0" w:right="0" w:firstLine="422" w:firstLineChars="200"/>
        <w:jc w:val="left"/>
        <w:textAlignment w:val="auto"/>
        <w:outlineLvl w:val="1"/>
        <w:rPr>
          <w:rFonts w:hint="eastAsia" w:ascii="宋体" w:hAnsi="宋体" w:eastAsia="宋体" w:cs="宋体"/>
          <w:b/>
          <w:bCs w:val="0"/>
          <w:color w:val="auto"/>
          <w:spacing w:val="0"/>
          <w:w w:val="100"/>
          <w:kern w:val="0"/>
          <w:sz w:val="21"/>
          <w:szCs w:val="21"/>
          <w:highlight w:val="none"/>
          <w:lang w:val="zh-CN" w:eastAsia="zh-CN" w:bidi="zh-CN"/>
        </w:rPr>
      </w:pPr>
      <w:r>
        <w:rPr>
          <w:rFonts w:hint="eastAsia" w:ascii="宋体" w:hAnsi="宋体" w:eastAsia="宋体" w:cs="宋体"/>
          <w:b/>
          <w:bCs w:val="0"/>
          <w:color w:val="auto"/>
          <w:spacing w:val="0"/>
          <w:w w:val="100"/>
          <w:kern w:val="0"/>
          <w:sz w:val="21"/>
          <w:szCs w:val="21"/>
          <w:highlight w:val="none"/>
          <w:lang w:val="zh-CN" w:eastAsia="zh-CN" w:bidi="zh-CN"/>
        </w:rPr>
        <w:t>第十三条</w:t>
      </w:r>
      <w:r>
        <w:rPr>
          <w:rFonts w:hint="eastAsia" w:ascii="宋体" w:hAnsi="宋体" w:eastAsia="宋体" w:cs="宋体"/>
          <w:b/>
          <w:bCs w:val="0"/>
          <w:color w:val="auto"/>
          <w:spacing w:val="0"/>
          <w:w w:val="100"/>
          <w:kern w:val="0"/>
          <w:sz w:val="21"/>
          <w:szCs w:val="21"/>
          <w:highlight w:val="none"/>
          <w:lang w:val="en-US" w:eastAsia="zh-CN" w:bidi="zh-CN"/>
        </w:rPr>
        <w:t xml:space="preserve"> </w:t>
      </w:r>
      <w:r>
        <w:rPr>
          <w:rFonts w:hint="eastAsia" w:ascii="宋体" w:hAnsi="宋体" w:eastAsia="宋体" w:cs="宋体"/>
          <w:b/>
          <w:bCs w:val="0"/>
          <w:color w:val="auto"/>
          <w:spacing w:val="0"/>
          <w:w w:val="100"/>
          <w:kern w:val="0"/>
          <w:sz w:val="21"/>
          <w:szCs w:val="21"/>
          <w:highlight w:val="none"/>
          <w:lang w:val="zh-CN" w:eastAsia="zh-CN" w:bidi="zh-CN"/>
        </w:rPr>
        <w:t>双方义务</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2" w:firstLineChars="200"/>
        <w:jc w:val="left"/>
        <w:rPr>
          <w:rFonts w:hint="eastAsia" w:ascii="宋体" w:hAnsi="宋体" w:eastAsia="宋体" w:cs="宋体"/>
          <w:b/>
          <w:bCs/>
          <w:color w:val="auto"/>
          <w:spacing w:val="0"/>
          <w:w w:val="100"/>
          <w:kern w:val="0"/>
          <w:sz w:val="21"/>
          <w:szCs w:val="22"/>
          <w:highlight w:val="none"/>
          <w:lang w:val="zh-CN" w:bidi="zh-CN"/>
        </w:rPr>
      </w:pPr>
      <w:bookmarkStart w:id="244" w:name="（一）甲方义务"/>
      <w:bookmarkEnd w:id="244"/>
      <w:r>
        <w:rPr>
          <w:rFonts w:hint="eastAsia" w:ascii="宋体" w:hAnsi="宋体" w:eastAsia="宋体" w:cs="宋体"/>
          <w:b/>
          <w:bCs/>
          <w:color w:val="auto"/>
          <w:spacing w:val="0"/>
          <w:w w:val="100"/>
          <w:kern w:val="0"/>
          <w:sz w:val="21"/>
          <w:szCs w:val="22"/>
          <w:highlight w:val="none"/>
          <w:lang w:val="zh-CN" w:bidi="zh-CN"/>
        </w:rPr>
        <w:t>（一）甲方义务</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1、委派现场代表张绍兴负责对工程建设进行全面管理，解决施工过程中出现的需要甲方协调的相关问题，并参与工程的初验、各种验收和签证工作。如变更现场代表应及时通知乙方。</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2、向乙方提供施工场地，保证运输道路畅通，同时提供现场施工用水、用电接驳点， 水电费按实结算从乙方工程款中扣除。</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3、提供本项目施工图纸，负责组织图纸会审和设计交底。</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4、及时对工程进度、工程质量进行监督检查，参加材料报验、样板验收、组织工程的初验，接乙方书面通知及时参加隐蔽工程验收。</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5、对于工程变更申请，应在收到乙方书面材料起</w:t>
      </w:r>
      <w:r>
        <w:rPr>
          <w:rFonts w:hint="eastAsia" w:ascii="宋体" w:hAnsi="宋体" w:eastAsia="宋体" w:cs="宋体"/>
          <w:bCs w:val="0"/>
          <w:color w:val="auto"/>
          <w:spacing w:val="0"/>
          <w:w w:val="100"/>
          <w:kern w:val="0"/>
          <w:sz w:val="21"/>
          <w:szCs w:val="22"/>
          <w:highlight w:val="none"/>
          <w:lang w:val="en-US" w:eastAsia="zh-CN" w:bidi="zh-CN"/>
        </w:rPr>
        <w:t>5</w:t>
      </w:r>
      <w:r>
        <w:rPr>
          <w:rFonts w:hint="eastAsia" w:ascii="宋体" w:hAnsi="宋体" w:eastAsia="宋体" w:cs="宋体"/>
          <w:bCs w:val="0"/>
          <w:color w:val="auto"/>
          <w:spacing w:val="0"/>
          <w:w w:val="100"/>
          <w:kern w:val="0"/>
          <w:sz w:val="21"/>
          <w:szCs w:val="22"/>
          <w:highlight w:val="none"/>
          <w:lang w:val="zh-CN" w:bidi="zh-CN"/>
        </w:rPr>
        <w:t>个工作日内进行审批或确认，办理有关的签证。</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6、接乙方提供工程进度报表后 2</w:t>
      </w:r>
      <w:r>
        <w:rPr>
          <w:rFonts w:hint="eastAsia" w:ascii="宋体" w:hAnsi="宋体" w:eastAsia="宋体" w:cs="宋体"/>
          <w:bCs w:val="0"/>
          <w:color w:val="auto"/>
          <w:spacing w:val="0"/>
          <w:w w:val="100"/>
          <w:kern w:val="0"/>
          <w:sz w:val="21"/>
          <w:szCs w:val="22"/>
          <w:highlight w:val="none"/>
          <w:lang w:val="zh-CN" w:bidi="zh-CN"/>
        </w:rPr>
        <w:tab/>
      </w:r>
      <w:r>
        <w:rPr>
          <w:rFonts w:hint="eastAsia" w:ascii="宋体" w:hAnsi="宋体" w:eastAsia="宋体" w:cs="宋体"/>
          <w:bCs w:val="0"/>
          <w:color w:val="auto"/>
          <w:spacing w:val="0"/>
          <w:w w:val="100"/>
          <w:kern w:val="0"/>
          <w:sz w:val="21"/>
          <w:szCs w:val="22"/>
          <w:highlight w:val="none"/>
          <w:lang w:val="zh-CN" w:bidi="zh-CN"/>
        </w:rPr>
        <w:t>个工作日内审批并确认工程施工进度，并按合同约定支付合同款项。</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7、负责协调乙方与其他各承包单位的关系，并协助解决材料堆放场地，费用由乙方承担并直接向总承包单位支付。</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8、按相关规定办理施工所需证件、手续，提供有关的资料，包括：按工程所在地的建设</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行政主管部门的有关文件及规定办理。</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9、甲方在收到乙方所提交的竣工结算书及完整的竣工结算资料后，应按本合同约定及时通知乙方核对工程价款并于工程竣工验收合格后及时完成结算。</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2" w:firstLineChars="200"/>
        <w:jc w:val="left"/>
        <w:rPr>
          <w:rFonts w:hint="eastAsia" w:ascii="宋体" w:hAnsi="宋体" w:eastAsia="宋体" w:cs="宋体"/>
          <w:b/>
          <w:bCs/>
          <w:color w:val="auto"/>
          <w:spacing w:val="0"/>
          <w:w w:val="100"/>
          <w:kern w:val="0"/>
          <w:sz w:val="21"/>
          <w:szCs w:val="22"/>
          <w:highlight w:val="none"/>
          <w:lang w:val="zh-CN" w:bidi="zh-CN"/>
        </w:rPr>
      </w:pPr>
      <w:r>
        <w:rPr>
          <w:rFonts w:hint="eastAsia" w:ascii="宋体" w:hAnsi="宋体" w:eastAsia="宋体" w:cs="宋体"/>
          <w:b/>
          <w:bCs/>
          <w:color w:val="auto"/>
          <w:spacing w:val="0"/>
          <w:w w:val="100"/>
          <w:kern w:val="0"/>
          <w:sz w:val="21"/>
          <w:szCs w:val="22"/>
          <w:highlight w:val="none"/>
          <w:lang w:val="zh-CN" w:bidi="zh-CN"/>
        </w:rPr>
        <w:t>（二）乙方义务</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1、委派现场代表</w:t>
      </w:r>
      <w:r>
        <w:rPr>
          <w:rFonts w:hint="eastAsia" w:ascii="宋体" w:hAnsi="宋体" w:eastAsia="宋体" w:cs="宋体"/>
          <w:bCs w:val="0"/>
          <w:color w:val="auto"/>
          <w:spacing w:val="0"/>
          <w:w w:val="100"/>
          <w:kern w:val="0"/>
          <w:sz w:val="21"/>
          <w:szCs w:val="22"/>
          <w:highlight w:val="none"/>
          <w:u w:val="single"/>
          <w:lang w:val="zh-CN" w:bidi="zh-CN"/>
        </w:rPr>
        <w:t xml:space="preserve">     </w:t>
      </w:r>
      <w:r>
        <w:rPr>
          <w:rFonts w:hint="eastAsia" w:ascii="宋体" w:hAnsi="宋体" w:eastAsia="宋体" w:cs="宋体"/>
          <w:bCs w:val="0"/>
          <w:color w:val="auto"/>
          <w:spacing w:val="0"/>
          <w:w w:val="100"/>
          <w:kern w:val="0"/>
          <w:sz w:val="21"/>
          <w:szCs w:val="22"/>
          <w:highlight w:val="none"/>
          <w:lang w:val="zh-CN" w:bidi="zh-CN"/>
        </w:rPr>
        <w:t xml:space="preserve"> 负责施工期间的全面管理。该现场代表须持有与本工程项目相适应的资格证书，如变更现场代表应事先经甲方书面同意。</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2、根据甲方确认的施工图纸，按照本合同约定完成承包范围内的施工工作，并按甲方要求的格式书面提请办理验收和确认手续。</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3、工程项目开工应提前三个工作日将完整的施工组织设计、网络图和施工技术措施和工程主要负责人名单报甲方确认、备案，如乙方更换工程主要负责人，应事先征得甲方书面同意。</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4、项目经理必须持有相关资质证书，现场项目经理必须与投标时经甲方确认的人员名单一致。项目经理必须常住现场，离开现场2天（含2天）以上需经甲方同意。中途更换项目经理，需提前7天以书面形式通知甲方。甲方有权就不称职的项目经理向乙方提出更换。</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5、乙方材料进场前，须提前一个工作日书面通知甲方，进场时经双方共同验收并作书面记录。</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6、施工过程中如发现设计错误或不合理时，应立即停工并书面通知甲方。否则，乙方应对扩大的损失负责赔偿。</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7、达到合同约定的付款条件时，乙方须按甲方要求的格式提供相应的工程进度报表并向甲方发出书面付款申请，若乙方未及时提供前述资料，甲方可相应顺延付款时间。</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8、按相关安全法规进行安全施工，遵守甲方施工现场管理的有关规定，承担在施工过程中的防火、防盗、防止事故发生等安全责任。若出现安全问题，责任由乙方自行承担。</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9、乙方应配合甲方的场地管理以及处理好与其他在建专业施工队伍的关系，车辆离开施工场地时必须清洗干净，并保证施工场地的清洁卫生符合相关环境卫生管理的规定，做到工完场清，未按要求清洗而造成的相关后果由乙方自行承担，甲方保留向其追责的权利。</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10、工程交付甲方前，应负责已完工工程的保护工作，在此期间发生损坏的，由乙方自费予以修复并按合同约定交付甲方，由此造成工期延误，按违约责任中的逾期完工条款处理。</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11、乙方如在施工过程中损坏甲方现场的其他工程成品或半成品，乙方应赔偿给甲方。不赔偿的，甲方有权在工程结算款中扣除。</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12、乙方进场施工时，应与总承包单位签订有关的协议或合同。</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13、乙方与其员工之间的一切劳动纠纷由其自行负责，由此给甲方造成损失的，乙方应予以赔偿。</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14、因乙方原因造成的不符合本合同约定标准的质量问题及工程隐患而甲方在验收时没  能发现的，由乙方负责在甲方要求的期限内免费整改。</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15、乙方不得未经甲方同意改变或破坏工程楼房的承重结构。</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16、工程竣工验收后，乙方人员必须在两日内清理并撤离施工场地。</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17、乙方承包的工程项目，未经甲方书面同意，不得分包或转包给其他任何单位。</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18、图纸外（现场变更、临时工程等）的工程签证，属于隐蔽工程的应于隐蔽前办理签证，非隐蔽工程应于完成后两个工作日内办理签证。签证时，乙方应至少提前 4 个工作小时通知甲方，经甲方、乙方和监理单位共同现场验收签证，并在签证单中签名确认方为有效。甲方、乙方双方各执 2 份，作为工程结算依据。</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不按以上要求的事后补签，甲方可不予以认可及结算，后果由乙方自行承担。</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19、属于乙方工程承包范围内的分部分项工程，如乙方不予以实施或未按期完成且甲方已发书面通知后 3 个日历天内(以该通知文件所标示的甲方签发之日起计)仍不实施或不按期完成时，甲方有权将该分部分项工程作为指定分包工程或独立发包工程或其他方式委托第三方实施的权利，乙方须承担向甲方或甲方所委托的第三方移交施工现场及施工工作面并承担相应的指定分包工程或独立发包工程总承包的配合和管理工作，且所需全部费用及全部损失均由乙方负责；同时，乙方还须另按该分部分项工程总价款×25%补偿甲方并作为甲方管理费之一，甲方可在任何时候从乙方的任何工程款中予以扣减。</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20、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21、甲供材料损耗率必须在定额范围内，超过部分由乙方负责（如有甲供材料）。</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22、乙方应按本合同第六条约定在工程竣工验收后的 一 个月内及时向甲方提交竣工结算书及完整的竣工结算资料，并在收到甲方发出的核对工程价款通知之日起三个工作日内与甲方核对工程价款，乙方不按以上约定履行义务的，视为乙方同意以甲方审核的结算金额作为本工程的最终结算金额。</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如工程的最终结算金额少于甲方已支付的工程款总额，则乙方应在收到甲方通知之日起五个工作日内将甲方已支付的工程款总额和工程的最终结算金额之间的差额退回给甲方。</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23、乙方应采取适当的措施对施工现场周围的居民和公众进行安抚并在必要时支付补偿金，以避免因其施工(包括夜间施工)所产生的施工噪音、震动、光线等扰民因素导致的民扰对工程进展造成影响。乙方应保证甲方不会承担任何与施工扰民或民扰有关的费用，且不会遭受任何与施工扰民或民扰有关的费用和延长工期的索赔。</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24、负责向甲方提供完整的竣工图 3 套（含可修改的电子版图纸）。</w:t>
      </w:r>
    </w:p>
    <w:p>
      <w:pPr>
        <w:keepNext w:val="0"/>
        <w:keepLines w:val="0"/>
        <w:pageBreakBefore w:val="0"/>
        <w:tabs>
          <w:tab w:val="left" w:pos="2650"/>
        </w:tabs>
        <w:kinsoku/>
        <w:wordWrap/>
        <w:overflowPunct/>
        <w:topLinePunct w:val="0"/>
        <w:bidi w:val="0"/>
        <w:adjustRightInd/>
        <w:spacing w:before="0" w:after="0" w:line="427" w:lineRule="auto"/>
        <w:ind w:left="0" w:leftChars="0" w:right="0" w:firstLine="422" w:firstLineChars="200"/>
        <w:jc w:val="left"/>
        <w:rPr>
          <w:rFonts w:hint="eastAsia" w:ascii="宋体" w:hAnsi="宋体" w:eastAsia="宋体" w:cs="宋体"/>
          <w:b/>
          <w:bCs w:val="0"/>
          <w:color w:val="auto"/>
          <w:spacing w:val="0"/>
          <w:w w:val="100"/>
          <w:kern w:val="0"/>
          <w:sz w:val="21"/>
          <w:szCs w:val="22"/>
          <w:highlight w:val="none"/>
          <w:lang w:val="zh-CN" w:bidi="zh-CN"/>
        </w:rPr>
      </w:pPr>
      <w:r>
        <w:rPr>
          <w:rFonts w:hint="eastAsia" w:ascii="宋体" w:hAnsi="宋体" w:eastAsia="宋体" w:cs="宋体"/>
          <w:b/>
          <w:bCs w:val="0"/>
          <w:color w:val="auto"/>
          <w:spacing w:val="0"/>
          <w:w w:val="100"/>
          <w:kern w:val="0"/>
          <w:sz w:val="21"/>
          <w:szCs w:val="22"/>
          <w:highlight w:val="none"/>
          <w:lang w:val="zh-CN" w:bidi="zh-CN"/>
        </w:rPr>
        <w:t>第十三条</w:t>
      </w:r>
      <w:r>
        <w:rPr>
          <w:rFonts w:hint="eastAsia" w:ascii="宋体" w:hAnsi="宋体" w:eastAsia="宋体" w:cs="宋体"/>
          <w:b/>
          <w:bCs w:val="0"/>
          <w:color w:val="auto"/>
          <w:spacing w:val="0"/>
          <w:w w:val="100"/>
          <w:kern w:val="0"/>
          <w:sz w:val="21"/>
          <w:szCs w:val="22"/>
          <w:highlight w:val="none"/>
          <w:lang w:val="en-US" w:eastAsia="zh-CN" w:bidi="zh-CN"/>
        </w:rPr>
        <w:t xml:space="preserve"> </w:t>
      </w:r>
      <w:r>
        <w:rPr>
          <w:rFonts w:hint="eastAsia" w:ascii="宋体" w:hAnsi="宋体" w:eastAsia="宋体" w:cs="宋体"/>
          <w:b/>
          <w:bCs w:val="0"/>
          <w:color w:val="auto"/>
          <w:spacing w:val="0"/>
          <w:w w:val="100"/>
          <w:kern w:val="0"/>
          <w:sz w:val="21"/>
          <w:szCs w:val="22"/>
          <w:highlight w:val="none"/>
          <w:lang w:val="zh-CN" w:bidi="zh-CN"/>
        </w:rPr>
        <w:t>违约责任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1、隐蔽工程必需经甲方验收确认后，乙方可进行下道工序， 如乙方施工质量不符合合同约定的要求，乙方必须承担违约责任。若事后甲方提出复查，复查合格时费用由甲方承担，复查结果不合格时，复查及返修费用由乙方承担，工期不予顺延。</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2、甲方因自身原因未能按本合同约定进行工程竣工验收的，由甲方承担工程保管及风险责任。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3、如果甲方未能在约定的时间内支付有关应付的任何款额，甲方可以与乙方达成延期付款协议，甲方应按照延期付款协议的约定向乙方支付。如果未能达成延期付款协议，或虽达成延期付款协议但在延期付款协议约定的延期内仍不能按要求付款，则乙方有权得到未付款额自应付之日起至实际支付日止的利息补偿。除非合同中另有规定，用于计算该利息的利率应按中国人民银行发布的同期贷款基准利率计算，利息补偿最高不超合同总价款的2%。</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 xml:space="preserve"> 4、乙方未能在合同约定工期内</w:t>
      </w:r>
      <w:r>
        <w:rPr>
          <w:rFonts w:hint="eastAsia" w:ascii="宋体" w:hAnsi="宋体" w:eastAsia="宋体" w:cs="宋体"/>
          <w:bCs w:val="0"/>
          <w:color w:val="auto"/>
          <w:spacing w:val="0"/>
          <w:w w:val="100"/>
          <w:kern w:val="0"/>
          <w:sz w:val="21"/>
          <w:szCs w:val="21"/>
          <w:highlight w:val="none"/>
          <w:lang w:val="en-US" w:eastAsia="zh-CN" w:bidi="zh-CN"/>
        </w:rPr>
        <w:t>完工</w:t>
      </w:r>
      <w:r>
        <w:rPr>
          <w:rFonts w:hint="eastAsia" w:ascii="宋体" w:hAnsi="宋体" w:eastAsia="宋体" w:cs="宋体"/>
          <w:bCs w:val="0"/>
          <w:color w:val="auto"/>
          <w:spacing w:val="0"/>
          <w:w w:val="100"/>
          <w:kern w:val="0"/>
          <w:sz w:val="21"/>
          <w:szCs w:val="21"/>
          <w:highlight w:val="none"/>
          <w:lang w:val="zh-CN" w:eastAsia="zh-CN" w:bidi="zh-CN"/>
        </w:rPr>
        <w:t>，每逾期一日，按50000元向甲方支付违约金；逾期超过 10 日，</w:t>
      </w:r>
      <w:r>
        <w:rPr>
          <w:rFonts w:hint="eastAsia" w:ascii="宋体" w:hAnsi="宋体" w:eastAsia="宋体" w:cs="宋体"/>
          <w:bCs w:val="0"/>
          <w:color w:val="auto"/>
          <w:spacing w:val="0"/>
          <w:w w:val="100"/>
          <w:kern w:val="0"/>
          <w:sz w:val="21"/>
          <w:szCs w:val="21"/>
          <w:highlight w:val="none"/>
          <w:lang w:val="en-US" w:eastAsia="zh-CN" w:bidi="zh-CN"/>
        </w:rPr>
        <w:t>除支付前述逾期违约金外，</w:t>
      </w:r>
      <w:r>
        <w:rPr>
          <w:rFonts w:hint="eastAsia" w:ascii="宋体" w:hAnsi="宋体" w:eastAsia="宋体" w:cs="宋体"/>
          <w:bCs w:val="0"/>
          <w:color w:val="auto"/>
          <w:spacing w:val="0"/>
          <w:w w:val="100"/>
          <w:kern w:val="0"/>
          <w:sz w:val="21"/>
          <w:szCs w:val="21"/>
          <w:highlight w:val="none"/>
          <w:lang w:val="zh-CN" w:eastAsia="zh-CN" w:bidi="zh-CN"/>
        </w:rPr>
        <w:t>甲方有权解除合同</w:t>
      </w:r>
      <w:r>
        <w:rPr>
          <w:rFonts w:hint="eastAsia" w:ascii="宋体" w:hAnsi="宋体" w:eastAsia="宋体" w:cs="宋体"/>
          <w:bCs w:val="0"/>
          <w:color w:val="auto"/>
          <w:spacing w:val="0"/>
          <w:w w:val="100"/>
          <w:kern w:val="0"/>
          <w:sz w:val="21"/>
          <w:szCs w:val="21"/>
          <w:highlight w:val="none"/>
          <w:lang w:val="en-US" w:eastAsia="zh-CN" w:bidi="zh-CN"/>
        </w:rPr>
        <w:t>并没收履约保函或者保证金</w:t>
      </w:r>
      <w:r>
        <w:rPr>
          <w:rFonts w:hint="eastAsia" w:ascii="宋体" w:hAnsi="宋体" w:eastAsia="宋体" w:cs="宋体"/>
          <w:bCs w:val="0"/>
          <w:color w:val="auto"/>
          <w:spacing w:val="0"/>
          <w:w w:val="100"/>
          <w:kern w:val="0"/>
          <w:sz w:val="21"/>
          <w:szCs w:val="21"/>
          <w:highlight w:val="none"/>
          <w:lang w:val="zh-CN" w:eastAsia="zh-CN" w:bidi="zh-CN"/>
        </w:rPr>
        <w:t>，</w:t>
      </w:r>
      <w:r>
        <w:rPr>
          <w:rFonts w:hint="eastAsia" w:ascii="宋体" w:hAnsi="宋体" w:eastAsia="宋体" w:cs="宋体"/>
          <w:bCs w:val="0"/>
          <w:color w:val="auto"/>
          <w:spacing w:val="0"/>
          <w:w w:val="100"/>
          <w:kern w:val="0"/>
          <w:sz w:val="21"/>
          <w:szCs w:val="21"/>
          <w:highlight w:val="none"/>
          <w:lang w:val="en-US" w:eastAsia="zh-CN" w:bidi="zh-CN"/>
        </w:rPr>
        <w:t>且</w:t>
      </w:r>
      <w:r>
        <w:rPr>
          <w:rFonts w:hint="eastAsia" w:ascii="宋体" w:hAnsi="宋体" w:eastAsia="宋体" w:cs="宋体"/>
          <w:bCs w:val="0"/>
          <w:color w:val="auto"/>
          <w:spacing w:val="0"/>
          <w:w w:val="100"/>
          <w:kern w:val="0"/>
          <w:sz w:val="21"/>
          <w:szCs w:val="21"/>
          <w:highlight w:val="none"/>
          <w:lang w:val="zh-CN" w:eastAsia="zh-CN" w:bidi="zh-CN"/>
        </w:rPr>
        <w:t>乙方应按合同总价的20％向甲方支付违约金，并赔偿由此给甲方造成的损失；</w:t>
      </w:r>
      <w:r>
        <w:rPr>
          <w:rFonts w:hint="eastAsia" w:ascii="宋体" w:hAnsi="宋体" w:eastAsia="宋体" w:cs="宋体"/>
          <w:bCs w:val="0"/>
          <w:color w:val="auto"/>
          <w:spacing w:val="0"/>
          <w:w w:val="100"/>
          <w:kern w:val="0"/>
          <w:sz w:val="21"/>
          <w:szCs w:val="21"/>
          <w:highlight w:val="none"/>
          <w:lang w:val="en-US" w:eastAsia="zh-CN" w:bidi="zh-CN"/>
        </w:rPr>
        <w:t>乙方工程质量不符合合同约定，未通过政府复垦主管部门验收，乙方应采取有效措施无条件整改，并承担合同总价20%的违约金及损失赔偿责任。损失赔偿包括但不限于甲方在土地租赁期限届满或临时用地使用期限内未完成复垦导致保证金被没收、行政罚款、土地权属人罚款、其他违约金等经济损失</w:t>
      </w:r>
      <w:r>
        <w:rPr>
          <w:rFonts w:hint="eastAsia" w:ascii="宋体" w:hAnsi="宋体" w:eastAsia="宋体" w:cs="宋体"/>
          <w:bCs w:val="0"/>
          <w:color w:val="auto"/>
          <w:spacing w:val="0"/>
          <w:w w:val="100"/>
          <w:kern w:val="0"/>
          <w:sz w:val="21"/>
          <w:szCs w:val="21"/>
          <w:highlight w:val="none"/>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5、本工程在实施过程的任何一个环节中，经甲方检查或巡检发现质量未能达标，且无法经过修复满足甲方工程质量标准的，甲方有权解除合同，乙方应按合同暂定总价的10%支付违约金，乙方所有人员、设备必须在甲方解除合同书面通知送达之日起三个工作日内撤离施工现场并向甲方移交有关的所有工程资料，同时，甲方对乙方已完成合格部分的工程量进行结算。</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6、乙方在施工过程中，除不可抗力或甲方原因外不得以任何理由停工，非上述原因连续停工两个工作日以上的，甲方有权解除合同，乙方应向甲方支付合同暂定总价的10％作为违约金，造成甲方工期延误或其他损失的，乙方应予赔偿。</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en-US" w:eastAsia="zh-CN" w:bidi="zh-CN"/>
        </w:rPr>
        <w:t>7</w:t>
      </w:r>
      <w:r>
        <w:rPr>
          <w:rFonts w:hint="eastAsia" w:ascii="宋体" w:hAnsi="宋体" w:eastAsia="宋体" w:cs="宋体"/>
          <w:bCs w:val="0"/>
          <w:color w:val="auto"/>
          <w:spacing w:val="0"/>
          <w:w w:val="100"/>
          <w:kern w:val="0"/>
          <w:sz w:val="21"/>
          <w:szCs w:val="21"/>
          <w:highlight w:val="none"/>
          <w:lang w:val="zh-CN" w:eastAsia="zh-CN" w:bidi="zh-CN"/>
        </w:rPr>
        <w:t>、乙方擅自中途更换工程主要负责人，或乙方现场代表不配合甲方工作或不能胜任工作的，甲方有权要求乙方更换相应人员，乙方应在甲方要求更换之日起五日内更换。否则，甲方有权要求停工，工期不得顺延，由此造成的工期延误的违约责任及甲方的损失由乙方承担。</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en-US" w:eastAsia="zh-CN" w:bidi="zh-CN"/>
        </w:rPr>
        <w:t>8</w:t>
      </w:r>
      <w:r>
        <w:rPr>
          <w:rFonts w:hint="eastAsia" w:ascii="宋体" w:hAnsi="宋体" w:eastAsia="宋体" w:cs="宋体"/>
          <w:bCs w:val="0"/>
          <w:color w:val="auto"/>
          <w:spacing w:val="0"/>
          <w:w w:val="100"/>
          <w:kern w:val="0"/>
          <w:sz w:val="21"/>
          <w:szCs w:val="21"/>
          <w:highlight w:val="none"/>
          <w:lang w:val="zh-CN" w:eastAsia="zh-CN" w:bidi="zh-CN"/>
        </w:rPr>
        <w:t>、乙方施工须遵守甲方对工程管理的规定，否则乙方每次应向甲方支付 5000 元违约金，并要求停工或解除合同；造成甲方损失的，乙方应予以赔偿。</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en-US" w:eastAsia="zh-CN" w:bidi="zh-CN"/>
        </w:rPr>
        <w:t>9</w:t>
      </w:r>
      <w:r>
        <w:rPr>
          <w:rFonts w:hint="eastAsia" w:ascii="宋体" w:hAnsi="宋体" w:eastAsia="宋体" w:cs="宋体"/>
          <w:bCs w:val="0"/>
          <w:color w:val="auto"/>
          <w:spacing w:val="0"/>
          <w:w w:val="100"/>
          <w:kern w:val="0"/>
          <w:sz w:val="21"/>
          <w:szCs w:val="21"/>
          <w:highlight w:val="none"/>
          <w:lang w:val="zh-CN" w:eastAsia="zh-CN" w:bidi="zh-CN"/>
        </w:rPr>
        <w:t>、乙方人员在施工区内出现打架斗殴、损坏工程成品、安全事故等情况时，所产生的对乙方人员或第三人的损害由乙方承担责任并负责赔偿；由此造成的甲方的损失，由乙方负责全额赔偿。</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1</w:t>
      </w:r>
      <w:r>
        <w:rPr>
          <w:rFonts w:hint="eastAsia" w:ascii="宋体" w:hAnsi="宋体" w:eastAsia="宋体" w:cs="宋体"/>
          <w:bCs w:val="0"/>
          <w:color w:val="auto"/>
          <w:spacing w:val="0"/>
          <w:w w:val="100"/>
          <w:kern w:val="0"/>
          <w:sz w:val="21"/>
          <w:szCs w:val="21"/>
          <w:highlight w:val="none"/>
          <w:lang w:val="en-US" w:eastAsia="zh-CN" w:bidi="zh-CN"/>
        </w:rPr>
        <w:t>0</w:t>
      </w:r>
      <w:r>
        <w:rPr>
          <w:rFonts w:hint="eastAsia" w:ascii="宋体" w:hAnsi="宋体" w:eastAsia="宋体" w:cs="宋体"/>
          <w:bCs w:val="0"/>
          <w:color w:val="auto"/>
          <w:spacing w:val="0"/>
          <w:w w:val="100"/>
          <w:kern w:val="0"/>
          <w:sz w:val="21"/>
          <w:szCs w:val="21"/>
          <w:highlight w:val="none"/>
          <w:lang w:val="zh-CN" w:eastAsia="zh-CN" w:bidi="zh-CN"/>
        </w:rPr>
        <w:t>、甲方根据合同约定解除合同的，乙方所有人员、设备必须在甲方解除合同书面通知送达之日起三个工作日内撤离施工现场并向甲方移交有关的所有工程资料，并在此期限内与甲方共同签证已完成且质量符合本合同约定的工程量。未经甲乙双方共同签证的工程量，或经签证不合格的工程量不得再要求结算。甲方在上述期限过后有权安排新的施工单位进场施工。</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1</w:t>
      </w:r>
      <w:r>
        <w:rPr>
          <w:rFonts w:hint="eastAsia" w:ascii="宋体" w:hAnsi="宋体" w:eastAsia="宋体" w:cs="宋体"/>
          <w:bCs w:val="0"/>
          <w:color w:val="auto"/>
          <w:spacing w:val="0"/>
          <w:w w:val="100"/>
          <w:kern w:val="0"/>
          <w:sz w:val="21"/>
          <w:szCs w:val="21"/>
          <w:highlight w:val="none"/>
          <w:lang w:val="en-US" w:eastAsia="zh-CN" w:bidi="zh-CN"/>
        </w:rPr>
        <w:t>1</w:t>
      </w:r>
      <w:r>
        <w:rPr>
          <w:rFonts w:hint="eastAsia" w:ascii="宋体" w:hAnsi="宋体" w:eastAsia="宋体" w:cs="宋体"/>
          <w:bCs w:val="0"/>
          <w:color w:val="auto"/>
          <w:spacing w:val="0"/>
          <w:w w:val="100"/>
          <w:kern w:val="0"/>
          <w:sz w:val="21"/>
          <w:szCs w:val="21"/>
          <w:highlight w:val="none"/>
          <w:lang w:val="zh-CN" w:eastAsia="zh-CN" w:bidi="zh-CN"/>
        </w:rPr>
        <w:t>、乙方不按时进场开工，在甲方发出书面通知后的</w:t>
      </w:r>
      <w:r>
        <w:rPr>
          <w:rFonts w:hint="eastAsia" w:ascii="宋体" w:hAnsi="宋体" w:eastAsia="宋体" w:cs="宋体"/>
          <w:bCs w:val="0"/>
          <w:color w:val="auto"/>
          <w:spacing w:val="0"/>
          <w:w w:val="100"/>
          <w:kern w:val="0"/>
          <w:sz w:val="21"/>
          <w:szCs w:val="21"/>
          <w:highlight w:val="none"/>
          <w:u w:val="single"/>
          <w:lang w:val="zh-CN" w:eastAsia="zh-CN" w:bidi="zh-CN"/>
        </w:rPr>
        <w:t xml:space="preserve"> 3 </w:t>
      </w:r>
      <w:r>
        <w:rPr>
          <w:rFonts w:hint="eastAsia" w:ascii="宋体" w:hAnsi="宋体" w:eastAsia="宋体" w:cs="宋体"/>
          <w:bCs w:val="0"/>
          <w:color w:val="auto"/>
          <w:spacing w:val="0"/>
          <w:w w:val="100"/>
          <w:kern w:val="0"/>
          <w:sz w:val="21"/>
          <w:szCs w:val="21"/>
          <w:highlight w:val="none"/>
          <w:lang w:val="zh-CN" w:eastAsia="zh-CN" w:bidi="zh-CN"/>
        </w:rPr>
        <w:t>日内仍不进场施工的，甲方有权解除合同，乙方应向甲方支付合同暂定总价的 20％作为违约金，造成甲方工期延误或其它损失的，乙方应予赔偿。</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1</w:t>
      </w:r>
      <w:r>
        <w:rPr>
          <w:rFonts w:hint="eastAsia" w:ascii="宋体" w:hAnsi="宋体" w:eastAsia="宋体" w:cs="宋体"/>
          <w:bCs w:val="0"/>
          <w:color w:val="auto"/>
          <w:spacing w:val="0"/>
          <w:w w:val="100"/>
          <w:kern w:val="0"/>
          <w:sz w:val="21"/>
          <w:szCs w:val="21"/>
          <w:highlight w:val="none"/>
          <w:lang w:val="en-US" w:eastAsia="zh-CN" w:bidi="zh-CN"/>
        </w:rPr>
        <w:t>2</w:t>
      </w:r>
      <w:r>
        <w:rPr>
          <w:rFonts w:hint="eastAsia" w:ascii="宋体" w:hAnsi="宋体" w:eastAsia="宋体" w:cs="宋体"/>
          <w:bCs w:val="0"/>
          <w:color w:val="auto"/>
          <w:spacing w:val="0"/>
          <w:w w:val="100"/>
          <w:kern w:val="0"/>
          <w:sz w:val="21"/>
          <w:szCs w:val="21"/>
          <w:highlight w:val="none"/>
          <w:lang w:val="zh-CN" w:eastAsia="zh-CN" w:bidi="zh-CN"/>
        </w:rPr>
        <w:t>、乙方擅自把工程分包或转包给其他任何单位，甲方有权解除合同，乙方应按合同暂定总价款的20％向甲方支付违约金，并赔偿甲方因此造成的一切损失。</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1</w:t>
      </w:r>
      <w:r>
        <w:rPr>
          <w:rFonts w:hint="eastAsia" w:ascii="宋体" w:hAnsi="宋体" w:eastAsia="宋体" w:cs="宋体"/>
          <w:bCs w:val="0"/>
          <w:color w:val="auto"/>
          <w:spacing w:val="0"/>
          <w:w w:val="100"/>
          <w:kern w:val="0"/>
          <w:sz w:val="21"/>
          <w:szCs w:val="21"/>
          <w:highlight w:val="none"/>
          <w:lang w:val="en-US" w:eastAsia="zh-CN" w:bidi="zh-CN"/>
        </w:rPr>
        <w:t>3</w:t>
      </w:r>
      <w:r>
        <w:rPr>
          <w:rFonts w:hint="eastAsia" w:ascii="宋体" w:hAnsi="宋体" w:eastAsia="宋体" w:cs="宋体"/>
          <w:bCs w:val="0"/>
          <w:color w:val="auto"/>
          <w:spacing w:val="0"/>
          <w:w w:val="100"/>
          <w:kern w:val="0"/>
          <w:sz w:val="21"/>
          <w:szCs w:val="21"/>
          <w:highlight w:val="none"/>
          <w:lang w:val="zh-CN" w:eastAsia="zh-CN" w:bidi="zh-CN"/>
        </w:rPr>
        <w:t>、如乙方有与甲方工作人员串通进行假签证、违反廉洁协议或者采用其他违反诚实信用原则的不正当手段等损害甲方利益的行为，应承担下列违约责任：</w:t>
      </w:r>
    </w:p>
    <w:p>
      <w:pPr>
        <w:keepNext w:val="0"/>
        <w:keepLines w:val="0"/>
        <w:pageBreakBefore w:val="0"/>
        <w:widowControl w:val="0"/>
        <w:numPr>
          <w:ilvl w:val="0"/>
          <w:numId w:val="20"/>
        </w:numPr>
        <w:tabs>
          <w:tab w:val="left" w:pos="2420"/>
        </w:tabs>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如在合同履行过程中被发现，甲方有权不予支付相应的工程款，并有权单方解除合同，甲方有权在结算金额中扣下合同暂定总价款 5%作为乙方支付给甲方的违约金，由此造成的损失均由乙方承担。甲方将乙方在合作单位名单中剔除，日后不再与乙方进行任何合作。</w:t>
      </w:r>
    </w:p>
    <w:p>
      <w:pPr>
        <w:keepNext w:val="0"/>
        <w:keepLines w:val="0"/>
        <w:pageBreakBefore w:val="0"/>
        <w:widowControl w:val="0"/>
        <w:numPr>
          <w:ilvl w:val="0"/>
          <w:numId w:val="20"/>
        </w:numPr>
        <w:tabs>
          <w:tab w:val="left" w:pos="2317"/>
        </w:tabs>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如在甲乙双方结算完毕后发现的，乙方应退还相应的工程款，同时甲方向乙方追究合同暂定总价款 5%的违约金，且乙方应在收到甲方通知之日起 5 天内支付（若乙方逾期支付，则每逾期一日，乙方须按应付未付款金额的 1‰向甲方加付违约金），由此给甲方造成的损失均由乙方承担。甲方将乙方在合作单位名单中剔除，日后不再与乙方进行任何合作。</w:t>
      </w:r>
    </w:p>
    <w:p>
      <w:pPr>
        <w:keepNext w:val="0"/>
        <w:keepLines w:val="0"/>
        <w:pageBreakBefore w:val="0"/>
        <w:widowControl w:val="0"/>
        <w:kinsoku/>
        <w:wordWrap/>
        <w:overflowPunct/>
        <w:topLinePunct w:val="0"/>
        <w:autoSpaceDE w:val="0"/>
        <w:autoSpaceDN w:val="0"/>
        <w:bidi w:val="0"/>
        <w:adjustRightInd/>
        <w:spacing w:before="0" w:after="0" w:line="427" w:lineRule="auto"/>
        <w:ind w:left="0" w:leftChars="0" w:right="0" w:firstLine="420" w:firstLineChars="200"/>
        <w:jc w:val="both"/>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1</w:t>
      </w:r>
      <w:r>
        <w:rPr>
          <w:rFonts w:hint="eastAsia" w:ascii="宋体" w:hAnsi="宋体" w:eastAsia="宋体" w:cs="宋体"/>
          <w:bCs w:val="0"/>
          <w:color w:val="auto"/>
          <w:spacing w:val="0"/>
          <w:w w:val="100"/>
          <w:kern w:val="0"/>
          <w:sz w:val="21"/>
          <w:szCs w:val="21"/>
          <w:highlight w:val="none"/>
          <w:lang w:val="en-US" w:eastAsia="zh-CN" w:bidi="zh-CN"/>
        </w:rPr>
        <w:t>4</w:t>
      </w:r>
      <w:r>
        <w:rPr>
          <w:rFonts w:hint="eastAsia" w:ascii="宋体" w:hAnsi="宋体" w:eastAsia="宋体" w:cs="宋体"/>
          <w:bCs w:val="0"/>
          <w:color w:val="auto"/>
          <w:spacing w:val="0"/>
          <w:w w:val="100"/>
          <w:kern w:val="0"/>
          <w:sz w:val="21"/>
          <w:szCs w:val="21"/>
          <w:highlight w:val="none"/>
          <w:lang w:val="zh-CN" w:eastAsia="zh-CN" w:bidi="zh-CN"/>
        </w:rPr>
        <w:t>、乙方未按合同约定及时向甲方提交竣工结算书及完整的竣工结算资料或提交后未按甲方通知的时间和甲方核对工程价款的，每逾期一日，按合同暂定总价的 1‰向甲方支付违约金。该违约金应在收到甲方通知之日起五日内支付。</w:t>
      </w:r>
    </w:p>
    <w:p>
      <w:pPr>
        <w:keepNext w:val="0"/>
        <w:keepLines w:val="0"/>
        <w:pageBreakBefore w:val="0"/>
        <w:widowControl w:val="0"/>
        <w:kinsoku/>
        <w:wordWrap/>
        <w:overflowPunct/>
        <w:topLinePunct w:val="0"/>
        <w:autoSpaceDE w:val="0"/>
        <w:autoSpaceDN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1</w:t>
      </w:r>
      <w:r>
        <w:rPr>
          <w:rFonts w:hint="eastAsia" w:ascii="宋体" w:hAnsi="宋体" w:eastAsia="宋体" w:cs="宋体"/>
          <w:bCs w:val="0"/>
          <w:color w:val="auto"/>
          <w:spacing w:val="0"/>
          <w:w w:val="100"/>
          <w:kern w:val="0"/>
          <w:sz w:val="21"/>
          <w:szCs w:val="21"/>
          <w:highlight w:val="none"/>
          <w:lang w:val="en-US" w:eastAsia="zh-CN" w:bidi="zh-CN"/>
        </w:rPr>
        <w:t>5</w:t>
      </w:r>
      <w:r>
        <w:rPr>
          <w:rFonts w:hint="eastAsia" w:ascii="宋体" w:hAnsi="宋体" w:eastAsia="宋体" w:cs="宋体"/>
          <w:bCs w:val="0"/>
          <w:color w:val="auto"/>
          <w:spacing w:val="0"/>
          <w:w w:val="100"/>
          <w:kern w:val="0"/>
          <w:sz w:val="21"/>
          <w:szCs w:val="21"/>
          <w:highlight w:val="none"/>
          <w:lang w:val="zh-CN" w:eastAsia="zh-CN" w:bidi="zh-CN"/>
        </w:rPr>
        <w:t>、乙方现场施工未能达到甲方工程管理要求（包括但不限于工期延误，质量不达标，未按施工标准施工等）造成甲方损失或接受第三方处罚的，甲方有权要求乙方进行赔偿。</w:t>
      </w:r>
    </w:p>
    <w:p>
      <w:pPr>
        <w:keepNext w:val="0"/>
        <w:keepLines w:val="0"/>
        <w:pageBreakBefore w:val="0"/>
        <w:widowControl w:val="0"/>
        <w:kinsoku/>
        <w:wordWrap/>
        <w:overflowPunct/>
        <w:topLinePunct w:val="0"/>
        <w:autoSpaceDE w:val="0"/>
        <w:autoSpaceDN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1</w:t>
      </w:r>
      <w:r>
        <w:rPr>
          <w:rFonts w:hint="eastAsia" w:ascii="宋体" w:hAnsi="宋体" w:eastAsia="宋体" w:cs="宋体"/>
          <w:bCs w:val="0"/>
          <w:color w:val="auto"/>
          <w:spacing w:val="0"/>
          <w:w w:val="100"/>
          <w:kern w:val="0"/>
          <w:sz w:val="21"/>
          <w:szCs w:val="21"/>
          <w:highlight w:val="none"/>
          <w:lang w:val="en-US" w:eastAsia="zh-CN" w:bidi="zh-CN"/>
        </w:rPr>
        <w:t>6</w:t>
      </w:r>
      <w:r>
        <w:rPr>
          <w:rFonts w:hint="eastAsia" w:ascii="宋体" w:hAnsi="宋体" w:eastAsia="宋体" w:cs="宋体"/>
          <w:bCs w:val="0"/>
          <w:color w:val="auto"/>
          <w:spacing w:val="0"/>
          <w:w w:val="100"/>
          <w:kern w:val="0"/>
          <w:sz w:val="21"/>
          <w:szCs w:val="21"/>
          <w:highlight w:val="none"/>
          <w:lang w:val="zh-CN" w:eastAsia="zh-CN" w:bidi="zh-CN"/>
        </w:rPr>
        <w:t>、乙方对本项目的工期、质量、安全、文明施工，以及劳资和债务等负全部责任，所发生的一切事故的责任和费用全部由乙方承担。如施工过程中发生工伤、安全、劳资等投诉、 群聚等事件，甲方视其事件的严重状况及按甲方管理制度规定确定给予乙方处理，同时乙方承担给甲方和投诉方造成的一切经济及名誉等损失。</w:t>
      </w:r>
    </w:p>
    <w:p>
      <w:pPr>
        <w:keepNext w:val="0"/>
        <w:keepLines w:val="0"/>
        <w:pageBreakBefore w:val="0"/>
        <w:widowControl w:val="0"/>
        <w:kinsoku/>
        <w:wordWrap/>
        <w:overflowPunct/>
        <w:topLinePunct w:val="0"/>
        <w:autoSpaceDE w:val="0"/>
        <w:autoSpaceDN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1</w:t>
      </w:r>
      <w:r>
        <w:rPr>
          <w:rFonts w:hint="eastAsia" w:ascii="宋体" w:hAnsi="宋体" w:eastAsia="宋体" w:cs="宋体"/>
          <w:bCs w:val="0"/>
          <w:color w:val="auto"/>
          <w:spacing w:val="0"/>
          <w:w w:val="100"/>
          <w:kern w:val="0"/>
          <w:sz w:val="21"/>
          <w:szCs w:val="21"/>
          <w:highlight w:val="none"/>
          <w:lang w:val="en-US" w:eastAsia="zh-CN" w:bidi="zh-CN"/>
        </w:rPr>
        <w:t>7</w:t>
      </w:r>
      <w:r>
        <w:rPr>
          <w:rFonts w:hint="eastAsia" w:ascii="宋体" w:hAnsi="宋体" w:eastAsia="宋体" w:cs="宋体"/>
          <w:bCs w:val="0"/>
          <w:color w:val="auto"/>
          <w:spacing w:val="0"/>
          <w:w w:val="100"/>
          <w:kern w:val="0"/>
          <w:sz w:val="21"/>
          <w:szCs w:val="21"/>
          <w:highlight w:val="none"/>
          <w:lang w:val="zh-CN" w:eastAsia="zh-CN" w:bidi="zh-CN"/>
        </w:rPr>
        <w:t>、乙方应向甲方支付的违约金，甲方有权在应付未付款中扣除，违约金不足以弥补甲方损失的，甲方可继续向乙方追偿。</w:t>
      </w:r>
    </w:p>
    <w:p>
      <w:pPr>
        <w:keepNext w:val="0"/>
        <w:keepLines w:val="0"/>
        <w:pageBreakBefore w:val="0"/>
        <w:widowControl w:val="0"/>
        <w:kinsoku/>
        <w:wordWrap/>
        <w:overflowPunct/>
        <w:topLinePunct w:val="0"/>
        <w:autoSpaceDE w:val="0"/>
        <w:autoSpaceDN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1</w:t>
      </w:r>
      <w:r>
        <w:rPr>
          <w:rFonts w:hint="eastAsia" w:ascii="宋体" w:hAnsi="宋体" w:eastAsia="宋体" w:cs="宋体"/>
          <w:bCs w:val="0"/>
          <w:color w:val="auto"/>
          <w:spacing w:val="0"/>
          <w:w w:val="100"/>
          <w:kern w:val="0"/>
          <w:sz w:val="21"/>
          <w:szCs w:val="21"/>
          <w:highlight w:val="none"/>
          <w:lang w:val="en-US" w:eastAsia="zh-CN" w:bidi="zh-CN"/>
        </w:rPr>
        <w:t>8</w:t>
      </w:r>
      <w:r>
        <w:rPr>
          <w:rFonts w:hint="eastAsia" w:ascii="宋体" w:hAnsi="宋体" w:eastAsia="宋体" w:cs="宋体"/>
          <w:bCs w:val="0"/>
          <w:color w:val="auto"/>
          <w:spacing w:val="0"/>
          <w:w w:val="100"/>
          <w:kern w:val="0"/>
          <w:sz w:val="21"/>
          <w:szCs w:val="21"/>
          <w:highlight w:val="none"/>
          <w:lang w:val="zh-CN" w:eastAsia="zh-CN" w:bidi="zh-CN"/>
        </w:rPr>
        <w:t>、施工过程中，甲方提出终止合同，仅需按已完成的合格的工程量依照工程量清单的价格计取工程价款，按实结算给乙方，不承担违约责任。</w:t>
      </w:r>
    </w:p>
    <w:p>
      <w:pPr>
        <w:keepNext w:val="0"/>
        <w:keepLines w:val="0"/>
        <w:pageBreakBefore w:val="0"/>
        <w:widowControl w:val="0"/>
        <w:tabs>
          <w:tab w:val="left" w:pos="2419"/>
        </w:tabs>
        <w:kinsoku/>
        <w:wordWrap/>
        <w:overflowPunct/>
        <w:topLinePunct w:val="0"/>
        <w:autoSpaceDE w:val="0"/>
        <w:autoSpaceDN w:val="0"/>
        <w:bidi w:val="0"/>
        <w:adjustRightInd/>
        <w:snapToGrid/>
        <w:spacing w:before="0" w:after="0" w:line="483" w:lineRule="auto"/>
        <w:ind w:left="0" w:leftChars="0" w:right="0" w:firstLine="422" w:firstLineChars="200"/>
        <w:jc w:val="left"/>
        <w:textAlignment w:val="auto"/>
        <w:outlineLvl w:val="1"/>
        <w:rPr>
          <w:rFonts w:hint="eastAsia" w:ascii="宋体" w:hAnsi="宋体" w:eastAsia="宋体" w:cs="宋体"/>
          <w:b/>
          <w:bCs w:val="0"/>
          <w:color w:val="auto"/>
          <w:spacing w:val="0"/>
          <w:w w:val="100"/>
          <w:kern w:val="0"/>
          <w:sz w:val="21"/>
          <w:szCs w:val="21"/>
          <w:highlight w:val="none"/>
          <w:lang w:val="zh-CN" w:eastAsia="zh-CN" w:bidi="zh-CN"/>
        </w:rPr>
      </w:pPr>
      <w:r>
        <w:rPr>
          <w:rFonts w:hint="eastAsia" w:ascii="宋体" w:hAnsi="宋体" w:eastAsia="宋体" w:cs="宋体"/>
          <w:b/>
          <w:bCs w:val="0"/>
          <w:color w:val="auto"/>
          <w:spacing w:val="0"/>
          <w:w w:val="100"/>
          <w:kern w:val="0"/>
          <w:sz w:val="21"/>
          <w:szCs w:val="21"/>
          <w:highlight w:val="none"/>
          <w:lang w:val="zh-CN" w:eastAsia="zh-CN" w:bidi="zh-CN"/>
        </w:rPr>
        <w:t>第十四条</w:t>
      </w:r>
      <w:r>
        <w:rPr>
          <w:rFonts w:hint="eastAsia" w:ascii="宋体" w:hAnsi="宋体" w:eastAsia="宋体" w:cs="宋体"/>
          <w:b/>
          <w:bCs w:val="0"/>
          <w:color w:val="auto"/>
          <w:spacing w:val="0"/>
          <w:w w:val="100"/>
          <w:kern w:val="0"/>
          <w:sz w:val="21"/>
          <w:szCs w:val="21"/>
          <w:highlight w:val="none"/>
          <w:lang w:val="en-US" w:eastAsia="zh-CN" w:bidi="zh-CN"/>
        </w:rPr>
        <w:t xml:space="preserve"> </w:t>
      </w:r>
      <w:r>
        <w:rPr>
          <w:rFonts w:hint="eastAsia" w:ascii="宋体" w:hAnsi="宋体" w:eastAsia="宋体" w:cs="宋体"/>
          <w:b/>
          <w:bCs w:val="0"/>
          <w:color w:val="auto"/>
          <w:spacing w:val="0"/>
          <w:w w:val="100"/>
          <w:kern w:val="0"/>
          <w:sz w:val="21"/>
          <w:szCs w:val="21"/>
          <w:highlight w:val="none"/>
          <w:lang w:val="zh-CN" w:eastAsia="zh-CN" w:bidi="zh-CN"/>
        </w:rPr>
        <w:t>转让条款</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未经合同其他方书面同意，任何一方不得全部或部分转让其在本合同项下的权利和义务。</w:t>
      </w:r>
    </w:p>
    <w:p>
      <w:pPr>
        <w:keepNext w:val="0"/>
        <w:keepLines w:val="0"/>
        <w:pageBreakBefore w:val="0"/>
        <w:widowControl w:val="0"/>
        <w:tabs>
          <w:tab w:val="left" w:pos="2419"/>
        </w:tabs>
        <w:kinsoku/>
        <w:wordWrap/>
        <w:overflowPunct/>
        <w:topLinePunct w:val="0"/>
        <w:autoSpaceDE w:val="0"/>
        <w:autoSpaceDN w:val="0"/>
        <w:bidi w:val="0"/>
        <w:adjustRightInd/>
        <w:snapToGrid/>
        <w:spacing w:before="0" w:after="0" w:line="483" w:lineRule="auto"/>
        <w:ind w:left="0" w:leftChars="0" w:right="0" w:firstLine="422" w:firstLineChars="200"/>
        <w:jc w:val="left"/>
        <w:textAlignment w:val="auto"/>
        <w:outlineLvl w:val="1"/>
        <w:rPr>
          <w:rFonts w:hint="eastAsia" w:ascii="宋体" w:hAnsi="宋体" w:eastAsia="宋体" w:cs="宋体"/>
          <w:b/>
          <w:bCs w:val="0"/>
          <w:color w:val="auto"/>
          <w:spacing w:val="0"/>
          <w:w w:val="100"/>
          <w:kern w:val="0"/>
          <w:sz w:val="21"/>
          <w:szCs w:val="21"/>
          <w:highlight w:val="none"/>
          <w:lang w:val="zh-CN" w:eastAsia="zh-CN" w:bidi="zh-CN"/>
        </w:rPr>
      </w:pPr>
      <w:r>
        <w:rPr>
          <w:rFonts w:hint="eastAsia" w:ascii="宋体" w:hAnsi="宋体" w:eastAsia="宋体" w:cs="宋体"/>
          <w:b/>
          <w:bCs w:val="0"/>
          <w:color w:val="auto"/>
          <w:spacing w:val="0"/>
          <w:w w:val="100"/>
          <w:kern w:val="0"/>
          <w:sz w:val="21"/>
          <w:szCs w:val="21"/>
          <w:highlight w:val="none"/>
          <w:lang w:val="zh-CN" w:eastAsia="zh-CN" w:bidi="zh-CN"/>
        </w:rPr>
        <w:t>第十五条 保险条款</w:t>
      </w:r>
    </w:p>
    <w:p>
      <w:pPr>
        <w:keepNext w:val="0"/>
        <w:keepLines w:val="0"/>
        <w:pageBreakBefore w:val="0"/>
        <w:widowControl w:val="0"/>
        <w:kinsoku/>
        <w:wordWrap/>
        <w:overflowPunct/>
        <w:topLinePunct w:val="0"/>
        <w:autoSpaceDE w:val="0"/>
        <w:autoSpaceDN w:val="0"/>
        <w:bidi w:val="0"/>
        <w:adjustRightInd/>
        <w:spacing w:before="0" w:after="0" w:line="427" w:lineRule="auto"/>
        <w:ind w:left="0" w:leftChars="0" w:right="0" w:firstLine="420" w:firstLineChars="200"/>
        <w:jc w:val="both"/>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乙方应依法为施工人员购买工伤保险，建筑工程施工人员人身意外伤害保险由乙方统一投保。发生意外伤害后乙方须立刻通知甲方并在 12 小时内按照保险公司要求准备保险索赔资料。如因乙方准备的索赔资料不齐全导致乙方无法全额索赔，则损失由乙方承担；保险索赔过程中协调费处理费用由乙方承担。发生事故或工伤后，乙方必须先行承担（垫付）伤者的医疗费、生活费、护理费等费用。如发生意外伤害，超出保险公司索赔范围外费用由乙方承担，双方对此无异议。</w:t>
      </w:r>
    </w:p>
    <w:p>
      <w:pPr>
        <w:keepNext w:val="0"/>
        <w:keepLines w:val="0"/>
        <w:pageBreakBefore w:val="0"/>
        <w:widowControl w:val="0"/>
        <w:tabs>
          <w:tab w:val="left" w:pos="2419"/>
        </w:tabs>
        <w:kinsoku/>
        <w:wordWrap/>
        <w:overflowPunct/>
        <w:topLinePunct w:val="0"/>
        <w:autoSpaceDE w:val="0"/>
        <w:autoSpaceDN w:val="0"/>
        <w:bidi w:val="0"/>
        <w:adjustRightInd/>
        <w:snapToGrid/>
        <w:spacing w:before="0" w:after="0" w:line="483" w:lineRule="auto"/>
        <w:ind w:left="0" w:leftChars="0" w:right="0" w:firstLine="422" w:firstLineChars="200"/>
        <w:jc w:val="left"/>
        <w:textAlignment w:val="auto"/>
        <w:outlineLvl w:val="1"/>
        <w:rPr>
          <w:rFonts w:hint="eastAsia" w:ascii="宋体" w:hAnsi="宋体" w:eastAsia="宋体" w:cs="宋体"/>
          <w:b/>
          <w:bCs w:val="0"/>
          <w:color w:val="auto"/>
          <w:spacing w:val="0"/>
          <w:w w:val="100"/>
          <w:kern w:val="0"/>
          <w:sz w:val="21"/>
          <w:szCs w:val="21"/>
          <w:highlight w:val="none"/>
          <w:lang w:val="zh-CN" w:eastAsia="zh-CN" w:bidi="zh-CN"/>
        </w:rPr>
      </w:pPr>
      <w:r>
        <w:rPr>
          <w:rFonts w:hint="eastAsia" w:ascii="宋体" w:hAnsi="宋体" w:eastAsia="宋体" w:cs="宋体"/>
          <w:b/>
          <w:bCs w:val="0"/>
          <w:color w:val="auto"/>
          <w:spacing w:val="0"/>
          <w:w w:val="100"/>
          <w:kern w:val="0"/>
          <w:sz w:val="21"/>
          <w:szCs w:val="21"/>
          <w:highlight w:val="none"/>
          <w:lang w:val="zh-CN" w:eastAsia="zh-CN" w:bidi="zh-CN"/>
        </w:rPr>
        <w:t>第十六条 合同终止</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（一）因解除而终止</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以继续向乙方追偿。</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2、未经甲方书面同意，乙方将本工程进行分包或转包的，甲方有权即时解除合同。</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3、合同一方依本合同约定行使解除权的，合同自解除通知送达之日起终止。</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4、合同终止后，不妨碍一方向违约方追究违约责任。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（二）有下列情形之一的， 合同权利义务终止： 1、本合同已按约定履行完毕；</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2、本合同经各方协商一致而终止；</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3、本合同因出现本条第（一）款的违约情况（包括一方擅自转让本合同项下权利义务行为）而解除；</w:t>
      </w:r>
    </w:p>
    <w:p>
      <w:pPr>
        <w:keepNext w:val="0"/>
        <w:keepLines w:val="0"/>
        <w:pageBreakBefore w:val="0"/>
        <w:widowControl w:val="0"/>
        <w:tabs>
          <w:tab w:val="left" w:pos="2633"/>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4、法律法规规定终止的其他情形。</w:t>
      </w:r>
    </w:p>
    <w:p>
      <w:pPr>
        <w:keepNext w:val="0"/>
        <w:keepLines w:val="0"/>
        <w:pageBreakBefore w:val="0"/>
        <w:widowControl w:val="0"/>
        <w:tabs>
          <w:tab w:val="left" w:pos="2419"/>
        </w:tabs>
        <w:kinsoku/>
        <w:wordWrap/>
        <w:overflowPunct/>
        <w:topLinePunct w:val="0"/>
        <w:autoSpaceDE w:val="0"/>
        <w:autoSpaceDN w:val="0"/>
        <w:bidi w:val="0"/>
        <w:adjustRightInd/>
        <w:snapToGrid/>
        <w:spacing w:before="0" w:after="0" w:line="483" w:lineRule="auto"/>
        <w:ind w:left="0" w:leftChars="0" w:right="0" w:firstLine="422" w:firstLineChars="200"/>
        <w:jc w:val="left"/>
        <w:textAlignment w:val="auto"/>
        <w:outlineLvl w:val="1"/>
        <w:rPr>
          <w:rFonts w:hint="eastAsia" w:ascii="宋体" w:hAnsi="宋体" w:eastAsia="宋体" w:cs="宋体"/>
          <w:b/>
          <w:bCs w:val="0"/>
          <w:color w:val="auto"/>
          <w:spacing w:val="0"/>
          <w:w w:val="100"/>
          <w:kern w:val="0"/>
          <w:sz w:val="21"/>
          <w:szCs w:val="21"/>
          <w:highlight w:val="none"/>
          <w:lang w:val="zh-CN" w:eastAsia="zh-CN" w:bidi="zh-CN"/>
        </w:rPr>
      </w:pPr>
      <w:r>
        <w:rPr>
          <w:rFonts w:hint="eastAsia" w:ascii="宋体" w:hAnsi="宋体" w:eastAsia="宋体" w:cs="宋体"/>
          <w:b/>
          <w:bCs w:val="0"/>
          <w:color w:val="auto"/>
          <w:spacing w:val="0"/>
          <w:w w:val="100"/>
          <w:kern w:val="0"/>
          <w:sz w:val="21"/>
          <w:szCs w:val="21"/>
          <w:highlight w:val="none"/>
          <w:lang w:val="zh-CN" w:eastAsia="zh-CN" w:bidi="zh-CN"/>
        </w:rPr>
        <w:t>第十七条</w:t>
      </w:r>
      <w:r>
        <w:rPr>
          <w:rFonts w:hint="eastAsia" w:ascii="宋体" w:hAnsi="宋体" w:eastAsia="宋体" w:cs="宋体"/>
          <w:b/>
          <w:bCs w:val="0"/>
          <w:color w:val="auto"/>
          <w:spacing w:val="0"/>
          <w:w w:val="100"/>
          <w:kern w:val="0"/>
          <w:sz w:val="21"/>
          <w:szCs w:val="21"/>
          <w:highlight w:val="none"/>
          <w:lang w:val="en-US" w:eastAsia="zh-CN" w:bidi="zh-CN"/>
        </w:rPr>
        <w:t xml:space="preserve"> </w:t>
      </w:r>
      <w:r>
        <w:rPr>
          <w:rFonts w:hint="eastAsia" w:ascii="宋体" w:hAnsi="宋体" w:eastAsia="宋体" w:cs="宋体"/>
          <w:b/>
          <w:bCs w:val="0"/>
          <w:color w:val="auto"/>
          <w:spacing w:val="0"/>
          <w:w w:val="100"/>
          <w:kern w:val="0"/>
          <w:sz w:val="21"/>
          <w:szCs w:val="21"/>
          <w:highlight w:val="none"/>
          <w:lang w:val="zh-CN" w:eastAsia="zh-CN" w:bidi="zh-CN"/>
        </w:rPr>
        <w:t>保密条款</w:t>
      </w:r>
    </w:p>
    <w:p>
      <w:pPr>
        <w:keepNext w:val="0"/>
        <w:keepLines w:val="0"/>
        <w:pageBreakBefore w:val="0"/>
        <w:widowControl w:val="0"/>
        <w:kinsoku/>
        <w:wordWrap/>
        <w:overflowPunct/>
        <w:topLinePunct w:val="0"/>
        <w:autoSpaceDE w:val="0"/>
        <w:autoSpaceDN w:val="0"/>
        <w:bidi w:val="0"/>
        <w:adjustRightInd/>
        <w:spacing w:before="0" w:after="0" w:line="427" w:lineRule="auto"/>
        <w:ind w:left="0" w:leftChars="0" w:right="0" w:firstLine="420" w:firstLineChars="200"/>
        <w:jc w:val="both"/>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keepNext w:val="0"/>
        <w:keepLines w:val="0"/>
        <w:pageBreakBefore w:val="0"/>
        <w:widowControl w:val="0"/>
        <w:kinsoku/>
        <w:wordWrap/>
        <w:overflowPunct/>
        <w:topLinePunct w:val="0"/>
        <w:autoSpaceDE w:val="0"/>
        <w:autoSpaceDN w:val="0"/>
        <w:bidi w:val="0"/>
        <w:adjustRightInd/>
        <w:spacing w:before="0" w:after="0" w:line="427" w:lineRule="auto"/>
        <w:ind w:left="0" w:leftChars="0" w:right="0" w:firstLine="420" w:firstLineChars="200"/>
        <w:jc w:val="both"/>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2、一方违反上述约定的，责任方应按合同暂定总价款的 10％向合同对方支付违约金， 违约金不足以赔偿合同对方损失的，违约方还应补足。</w:t>
      </w:r>
    </w:p>
    <w:p>
      <w:pPr>
        <w:keepNext w:val="0"/>
        <w:keepLines w:val="0"/>
        <w:pageBreakBefore w:val="0"/>
        <w:widowControl w:val="0"/>
        <w:kinsoku/>
        <w:wordWrap/>
        <w:overflowPunct/>
        <w:topLinePunct w:val="0"/>
        <w:autoSpaceDE w:val="0"/>
        <w:autoSpaceDN w:val="0"/>
        <w:bidi w:val="0"/>
        <w:adjustRightInd/>
        <w:spacing w:before="0" w:after="0" w:line="240"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3、本保密条款具有独立性，不受本合同的终止或解除的影响。</w:t>
      </w:r>
    </w:p>
    <w:p>
      <w:pPr>
        <w:keepNext w:val="0"/>
        <w:keepLines w:val="0"/>
        <w:pageBreakBefore w:val="0"/>
        <w:widowControl w:val="0"/>
        <w:tabs>
          <w:tab w:val="left" w:pos="2419"/>
        </w:tabs>
        <w:kinsoku/>
        <w:wordWrap/>
        <w:overflowPunct/>
        <w:topLinePunct w:val="0"/>
        <w:autoSpaceDE w:val="0"/>
        <w:autoSpaceDN w:val="0"/>
        <w:bidi w:val="0"/>
        <w:adjustRightInd/>
        <w:snapToGrid/>
        <w:spacing w:before="0" w:after="0" w:line="483" w:lineRule="auto"/>
        <w:ind w:left="0" w:leftChars="0" w:right="0" w:firstLine="422" w:firstLineChars="200"/>
        <w:jc w:val="left"/>
        <w:textAlignment w:val="auto"/>
        <w:outlineLvl w:val="1"/>
        <w:rPr>
          <w:rFonts w:hint="eastAsia" w:ascii="宋体" w:hAnsi="宋体" w:eastAsia="宋体" w:cs="宋体"/>
          <w:b/>
          <w:bCs w:val="0"/>
          <w:color w:val="auto"/>
          <w:spacing w:val="0"/>
          <w:w w:val="100"/>
          <w:kern w:val="0"/>
          <w:sz w:val="21"/>
          <w:szCs w:val="21"/>
          <w:highlight w:val="none"/>
          <w:lang w:val="zh-CN" w:eastAsia="zh-CN" w:bidi="zh-CN"/>
        </w:rPr>
      </w:pPr>
      <w:r>
        <w:rPr>
          <w:rFonts w:hint="eastAsia" w:ascii="宋体" w:hAnsi="宋体" w:eastAsia="宋体" w:cs="宋体"/>
          <w:b/>
          <w:bCs w:val="0"/>
          <w:color w:val="auto"/>
          <w:spacing w:val="0"/>
          <w:w w:val="100"/>
          <w:kern w:val="0"/>
          <w:sz w:val="21"/>
          <w:szCs w:val="21"/>
          <w:highlight w:val="none"/>
          <w:lang w:val="zh-CN" w:eastAsia="zh-CN" w:bidi="zh-CN"/>
        </w:rPr>
        <w:t>第十八条 不可抗力条款</w:t>
      </w:r>
    </w:p>
    <w:p>
      <w:pPr>
        <w:keepNext w:val="0"/>
        <w:keepLines w:val="0"/>
        <w:pageBreakBefore w:val="0"/>
        <w:widowControl w:val="0"/>
        <w:kinsoku/>
        <w:wordWrap/>
        <w:overflowPunct/>
        <w:topLinePunct w:val="0"/>
        <w:autoSpaceDE w:val="0"/>
        <w:autoSpaceDN w:val="0"/>
        <w:bidi w:val="0"/>
        <w:adjustRightInd/>
        <w:spacing w:before="0" w:after="0" w:line="427" w:lineRule="auto"/>
        <w:ind w:left="0" w:leftChars="0" w:right="0" w:firstLine="420" w:firstLineChars="200"/>
        <w:jc w:val="both"/>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由于不能预见、不能避免和不能克服的自然原因或社会原因，致使本合同不能履行或者不能完全履行时，遇到上述不可抗力事件的一方，应立即书面通知合同对方，并应在不可抗力事件发生后十五日内，向合同对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遭受不可抗力的一方未履行上述义务的，不能免除其违约责任。</w:t>
      </w:r>
    </w:p>
    <w:p>
      <w:pPr>
        <w:keepNext w:val="0"/>
        <w:keepLines w:val="0"/>
        <w:pageBreakBefore w:val="0"/>
        <w:widowControl w:val="0"/>
        <w:tabs>
          <w:tab w:val="left" w:pos="2419"/>
        </w:tabs>
        <w:kinsoku/>
        <w:wordWrap/>
        <w:overflowPunct/>
        <w:topLinePunct w:val="0"/>
        <w:autoSpaceDE w:val="0"/>
        <w:autoSpaceDN w:val="0"/>
        <w:bidi w:val="0"/>
        <w:adjustRightInd/>
        <w:snapToGrid/>
        <w:spacing w:before="0" w:after="0" w:line="483" w:lineRule="auto"/>
        <w:ind w:left="0" w:leftChars="0" w:right="0" w:firstLine="422" w:firstLineChars="200"/>
        <w:jc w:val="left"/>
        <w:textAlignment w:val="auto"/>
        <w:outlineLvl w:val="1"/>
        <w:rPr>
          <w:rFonts w:hint="eastAsia" w:ascii="宋体" w:hAnsi="宋体" w:eastAsia="宋体" w:cs="宋体"/>
          <w:b/>
          <w:bCs w:val="0"/>
          <w:color w:val="auto"/>
          <w:spacing w:val="0"/>
          <w:w w:val="100"/>
          <w:kern w:val="0"/>
          <w:sz w:val="21"/>
          <w:szCs w:val="21"/>
          <w:highlight w:val="none"/>
          <w:lang w:val="zh-CN" w:eastAsia="zh-CN" w:bidi="zh-CN"/>
        </w:rPr>
      </w:pPr>
      <w:r>
        <w:rPr>
          <w:rFonts w:hint="eastAsia" w:ascii="宋体" w:hAnsi="宋体" w:eastAsia="宋体" w:cs="宋体"/>
          <w:b/>
          <w:bCs w:val="0"/>
          <w:color w:val="auto"/>
          <w:spacing w:val="0"/>
          <w:w w:val="100"/>
          <w:kern w:val="0"/>
          <w:sz w:val="21"/>
          <w:szCs w:val="21"/>
          <w:highlight w:val="none"/>
          <w:lang w:val="zh-CN" w:eastAsia="zh-CN" w:bidi="zh-CN"/>
        </w:rPr>
        <w:t>第十九条</w:t>
      </w:r>
      <w:r>
        <w:rPr>
          <w:rFonts w:hint="eastAsia" w:ascii="宋体" w:hAnsi="宋体" w:eastAsia="宋体" w:cs="宋体"/>
          <w:b/>
          <w:bCs w:val="0"/>
          <w:color w:val="auto"/>
          <w:spacing w:val="0"/>
          <w:w w:val="100"/>
          <w:kern w:val="0"/>
          <w:sz w:val="21"/>
          <w:szCs w:val="21"/>
          <w:highlight w:val="none"/>
          <w:lang w:val="en-US" w:eastAsia="zh-CN" w:bidi="zh-CN"/>
        </w:rPr>
        <w:t xml:space="preserve"> </w:t>
      </w:r>
      <w:r>
        <w:rPr>
          <w:rFonts w:hint="eastAsia" w:ascii="宋体" w:hAnsi="宋体" w:eastAsia="宋体" w:cs="宋体"/>
          <w:b/>
          <w:bCs w:val="0"/>
          <w:color w:val="auto"/>
          <w:spacing w:val="0"/>
          <w:w w:val="100"/>
          <w:kern w:val="0"/>
          <w:sz w:val="21"/>
          <w:szCs w:val="21"/>
          <w:highlight w:val="none"/>
          <w:lang w:val="zh-CN" w:eastAsia="zh-CN" w:bidi="zh-CN"/>
        </w:rPr>
        <w:t>适用法律条款</w:t>
      </w:r>
    </w:p>
    <w:p>
      <w:pPr>
        <w:keepNext w:val="0"/>
        <w:keepLines w:val="0"/>
        <w:pageBreakBefore w:val="0"/>
        <w:tabs>
          <w:tab w:val="left" w:pos="2633"/>
        </w:tabs>
        <w:kinsoku/>
        <w:wordWrap/>
        <w:overflowPunct/>
        <w:topLinePunct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 xml:space="preserve">本合同的订立、效力、解释、履行和争议的解决均适用中华人民共和国法律法规。  </w:t>
      </w:r>
    </w:p>
    <w:p>
      <w:pPr>
        <w:keepNext w:val="0"/>
        <w:keepLines w:val="0"/>
        <w:pageBreakBefore w:val="0"/>
        <w:widowControl w:val="0"/>
        <w:tabs>
          <w:tab w:val="left" w:pos="2419"/>
        </w:tabs>
        <w:kinsoku/>
        <w:wordWrap/>
        <w:overflowPunct/>
        <w:topLinePunct w:val="0"/>
        <w:autoSpaceDE w:val="0"/>
        <w:autoSpaceDN w:val="0"/>
        <w:bidi w:val="0"/>
        <w:adjustRightInd/>
        <w:snapToGrid/>
        <w:spacing w:before="0" w:after="0" w:line="483" w:lineRule="auto"/>
        <w:ind w:left="0" w:leftChars="0" w:right="0" w:firstLine="422" w:firstLineChars="200"/>
        <w:jc w:val="left"/>
        <w:textAlignment w:val="auto"/>
        <w:outlineLvl w:val="1"/>
        <w:rPr>
          <w:rFonts w:hint="eastAsia" w:ascii="宋体" w:hAnsi="宋体" w:eastAsia="宋体" w:cs="宋体"/>
          <w:b/>
          <w:bCs w:val="0"/>
          <w:color w:val="auto"/>
          <w:spacing w:val="0"/>
          <w:w w:val="100"/>
          <w:kern w:val="0"/>
          <w:sz w:val="21"/>
          <w:szCs w:val="21"/>
          <w:highlight w:val="none"/>
          <w:lang w:val="zh-CN" w:eastAsia="zh-CN" w:bidi="zh-CN"/>
        </w:rPr>
      </w:pPr>
      <w:r>
        <w:rPr>
          <w:rFonts w:hint="eastAsia" w:ascii="宋体" w:hAnsi="宋体" w:eastAsia="宋体" w:cs="宋体"/>
          <w:b/>
          <w:bCs w:val="0"/>
          <w:color w:val="auto"/>
          <w:spacing w:val="0"/>
          <w:w w:val="100"/>
          <w:kern w:val="0"/>
          <w:sz w:val="21"/>
          <w:szCs w:val="21"/>
          <w:highlight w:val="none"/>
          <w:lang w:val="zh-CN" w:eastAsia="zh-CN" w:bidi="zh-CN"/>
        </w:rPr>
        <w:t>第二十条</w:t>
      </w:r>
      <w:r>
        <w:rPr>
          <w:rFonts w:hint="eastAsia" w:ascii="宋体" w:hAnsi="宋体" w:eastAsia="宋体" w:cs="宋体"/>
          <w:b/>
          <w:bCs w:val="0"/>
          <w:color w:val="auto"/>
          <w:spacing w:val="0"/>
          <w:w w:val="100"/>
          <w:kern w:val="0"/>
          <w:sz w:val="21"/>
          <w:szCs w:val="21"/>
          <w:highlight w:val="none"/>
          <w:lang w:val="en-US" w:eastAsia="zh-CN" w:bidi="zh-CN"/>
        </w:rPr>
        <w:t xml:space="preserve"> </w:t>
      </w:r>
      <w:r>
        <w:rPr>
          <w:rFonts w:hint="eastAsia" w:ascii="宋体" w:hAnsi="宋体" w:eastAsia="宋体" w:cs="宋体"/>
          <w:b/>
          <w:bCs w:val="0"/>
          <w:color w:val="auto"/>
          <w:spacing w:val="0"/>
          <w:w w:val="100"/>
          <w:kern w:val="0"/>
          <w:sz w:val="21"/>
          <w:szCs w:val="21"/>
          <w:highlight w:val="none"/>
          <w:lang w:val="zh-CN" w:eastAsia="zh-CN" w:bidi="zh-CN"/>
        </w:rPr>
        <w:t>争议的解决</w:t>
      </w:r>
    </w:p>
    <w:p>
      <w:pPr>
        <w:keepNext w:val="0"/>
        <w:keepLines w:val="0"/>
        <w:pageBreakBefore w:val="0"/>
        <w:widowControl w:val="0"/>
        <w:tabs>
          <w:tab w:val="left" w:pos="2844"/>
        </w:tabs>
        <w:kinsoku/>
        <w:wordWrap/>
        <w:overflowPunct/>
        <w:topLinePunct w:val="0"/>
        <w:autoSpaceDE w:val="0"/>
        <w:autoSpaceDN w:val="0"/>
        <w:bidi w:val="0"/>
        <w:adjustRightInd/>
        <w:spacing w:before="0" w:after="0" w:line="427"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 xml:space="preserve">履行合同时发生争议，可以和解或者要求有关部门调解。当事人不愿和解、调解或者和解、调解不成的，任何一方可以向本工程所在地有管辖权的人民法院提起诉讼。  </w:t>
      </w:r>
    </w:p>
    <w:p>
      <w:pPr>
        <w:keepNext w:val="0"/>
        <w:keepLines w:val="0"/>
        <w:pageBreakBefore w:val="0"/>
        <w:widowControl w:val="0"/>
        <w:tabs>
          <w:tab w:val="left" w:pos="2419"/>
        </w:tabs>
        <w:kinsoku/>
        <w:wordWrap/>
        <w:overflowPunct/>
        <w:topLinePunct w:val="0"/>
        <w:autoSpaceDE w:val="0"/>
        <w:autoSpaceDN w:val="0"/>
        <w:bidi w:val="0"/>
        <w:adjustRightInd/>
        <w:snapToGrid/>
        <w:spacing w:before="0" w:after="0" w:line="483" w:lineRule="auto"/>
        <w:ind w:left="0" w:leftChars="0" w:right="0" w:firstLine="422" w:firstLineChars="200"/>
        <w:jc w:val="left"/>
        <w:textAlignment w:val="auto"/>
        <w:outlineLvl w:val="1"/>
        <w:rPr>
          <w:rFonts w:hint="eastAsia" w:ascii="宋体" w:hAnsi="宋体" w:eastAsia="宋体" w:cs="宋体"/>
          <w:b/>
          <w:bCs w:val="0"/>
          <w:color w:val="auto"/>
          <w:spacing w:val="0"/>
          <w:w w:val="100"/>
          <w:kern w:val="0"/>
          <w:sz w:val="21"/>
          <w:szCs w:val="21"/>
          <w:highlight w:val="none"/>
          <w:lang w:val="zh-CN" w:eastAsia="zh-CN" w:bidi="zh-CN"/>
        </w:rPr>
      </w:pPr>
      <w:r>
        <w:rPr>
          <w:rFonts w:hint="eastAsia" w:ascii="宋体" w:hAnsi="宋体" w:eastAsia="宋体" w:cs="宋体"/>
          <w:b/>
          <w:bCs w:val="0"/>
          <w:color w:val="auto"/>
          <w:spacing w:val="0"/>
          <w:w w:val="100"/>
          <w:kern w:val="0"/>
          <w:sz w:val="21"/>
          <w:szCs w:val="21"/>
          <w:highlight w:val="none"/>
          <w:lang w:val="zh-CN" w:eastAsia="zh-CN" w:bidi="zh-CN"/>
        </w:rPr>
        <w:t>第二十一条</w:t>
      </w:r>
      <w:r>
        <w:rPr>
          <w:rFonts w:hint="eastAsia" w:ascii="宋体" w:hAnsi="宋体" w:eastAsia="宋体" w:cs="宋体"/>
          <w:b/>
          <w:bCs w:val="0"/>
          <w:color w:val="auto"/>
          <w:spacing w:val="0"/>
          <w:w w:val="100"/>
          <w:kern w:val="0"/>
          <w:sz w:val="21"/>
          <w:szCs w:val="21"/>
          <w:highlight w:val="none"/>
          <w:lang w:val="en-US" w:eastAsia="zh-CN" w:bidi="zh-CN"/>
        </w:rPr>
        <w:t xml:space="preserve"> </w:t>
      </w:r>
      <w:r>
        <w:rPr>
          <w:rFonts w:hint="eastAsia" w:ascii="宋体" w:hAnsi="宋体" w:eastAsia="宋体" w:cs="宋体"/>
          <w:b/>
          <w:bCs w:val="0"/>
          <w:color w:val="auto"/>
          <w:spacing w:val="0"/>
          <w:w w:val="100"/>
          <w:kern w:val="0"/>
          <w:sz w:val="21"/>
          <w:szCs w:val="21"/>
          <w:highlight w:val="none"/>
          <w:lang w:val="zh-CN" w:eastAsia="zh-CN" w:bidi="zh-CN"/>
        </w:rPr>
        <w:t>其它</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1、各方应确保本合同所记载地址或传真号码准确无误，如发生变更应及时书面通知其他方，否则送达不能造成的一切损失和责任，由该方自行承担。</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2、本合同未尽事宜，由甲乙双方友好协商，另签订补充协议。补充协议与本合同具同等法律效力。</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3、本合同一式</w:t>
      </w:r>
      <w:r>
        <w:rPr>
          <w:rFonts w:hint="eastAsia" w:ascii="宋体" w:hAnsi="宋体" w:eastAsia="宋体" w:cs="宋体"/>
          <w:bCs w:val="0"/>
          <w:color w:val="auto"/>
          <w:spacing w:val="0"/>
          <w:w w:val="100"/>
          <w:kern w:val="0"/>
          <w:sz w:val="21"/>
          <w:szCs w:val="21"/>
          <w:highlight w:val="none"/>
          <w:u w:val="single"/>
          <w:lang w:val="zh-CN" w:eastAsia="zh-CN" w:bidi="zh-CN"/>
        </w:rPr>
        <w:t>陆</w:t>
      </w:r>
      <w:r>
        <w:rPr>
          <w:rFonts w:hint="eastAsia" w:ascii="宋体" w:hAnsi="宋体" w:eastAsia="宋体" w:cs="宋体"/>
          <w:bCs w:val="0"/>
          <w:color w:val="auto"/>
          <w:spacing w:val="0"/>
          <w:w w:val="100"/>
          <w:kern w:val="0"/>
          <w:sz w:val="21"/>
          <w:szCs w:val="21"/>
          <w:highlight w:val="none"/>
          <w:lang w:val="zh-CN" w:eastAsia="zh-CN" w:bidi="zh-CN"/>
        </w:rPr>
        <w:t>份，甲方持有肆份，乙方持</w:t>
      </w:r>
      <w:r>
        <w:rPr>
          <w:rFonts w:hint="eastAsia" w:ascii="宋体" w:hAnsi="宋体" w:eastAsia="宋体" w:cs="宋体"/>
          <w:bCs w:val="0"/>
          <w:color w:val="auto"/>
          <w:spacing w:val="0"/>
          <w:w w:val="100"/>
          <w:kern w:val="0"/>
          <w:sz w:val="21"/>
          <w:szCs w:val="21"/>
          <w:highlight w:val="none"/>
          <w:u w:val="single"/>
          <w:lang w:val="zh-CN" w:eastAsia="zh-CN" w:bidi="zh-CN"/>
        </w:rPr>
        <w:t>贰</w:t>
      </w:r>
      <w:r>
        <w:rPr>
          <w:rFonts w:hint="eastAsia" w:ascii="宋体" w:hAnsi="宋体" w:eastAsia="宋体" w:cs="宋体"/>
          <w:bCs w:val="0"/>
          <w:color w:val="auto"/>
          <w:spacing w:val="0"/>
          <w:w w:val="100"/>
          <w:kern w:val="0"/>
          <w:sz w:val="21"/>
          <w:szCs w:val="21"/>
          <w:highlight w:val="none"/>
          <w:lang w:val="zh-CN" w:eastAsia="zh-CN" w:bidi="zh-CN"/>
        </w:rPr>
        <w:t>份，</w:t>
      </w:r>
      <w:r>
        <w:rPr>
          <w:rFonts w:hint="eastAsia" w:hAnsi="宋体" w:cs="宋体"/>
          <w:bCs w:val="0"/>
          <w:color w:val="auto"/>
          <w:spacing w:val="0"/>
          <w:w w:val="100"/>
          <w:kern w:val="0"/>
          <w:sz w:val="21"/>
          <w:szCs w:val="21"/>
          <w:highlight w:val="none"/>
          <w:lang w:val="zh-CN" w:eastAsia="zh-CN" w:bidi="zh-CN"/>
        </w:rPr>
        <w:t>采购代理机构持</w:t>
      </w:r>
      <w:r>
        <w:rPr>
          <w:rFonts w:hint="eastAsia" w:hAnsi="宋体" w:cs="宋体"/>
          <w:bCs w:val="0"/>
          <w:color w:val="auto"/>
          <w:spacing w:val="0"/>
          <w:w w:val="100"/>
          <w:kern w:val="0"/>
          <w:sz w:val="21"/>
          <w:szCs w:val="21"/>
          <w:highlight w:val="none"/>
          <w:u w:val="single"/>
          <w:lang w:val="zh-CN" w:eastAsia="zh-CN" w:bidi="zh-CN"/>
        </w:rPr>
        <w:t>壹</w:t>
      </w:r>
      <w:r>
        <w:rPr>
          <w:rFonts w:hint="eastAsia" w:hAnsi="宋体" w:cs="宋体"/>
          <w:bCs w:val="0"/>
          <w:color w:val="auto"/>
          <w:spacing w:val="0"/>
          <w:w w:val="100"/>
          <w:kern w:val="0"/>
          <w:sz w:val="21"/>
          <w:szCs w:val="21"/>
          <w:highlight w:val="none"/>
          <w:lang w:val="zh-CN" w:eastAsia="zh-CN" w:bidi="zh-CN"/>
        </w:rPr>
        <w:t>份，</w:t>
      </w:r>
      <w:r>
        <w:rPr>
          <w:rFonts w:hint="eastAsia" w:ascii="宋体" w:hAnsi="宋体" w:eastAsia="宋体" w:cs="宋体"/>
          <w:bCs w:val="0"/>
          <w:color w:val="auto"/>
          <w:spacing w:val="0"/>
          <w:w w:val="100"/>
          <w:kern w:val="0"/>
          <w:sz w:val="21"/>
          <w:szCs w:val="21"/>
          <w:highlight w:val="none"/>
          <w:lang w:val="zh-CN" w:eastAsia="zh-CN" w:bidi="zh-CN"/>
        </w:rPr>
        <w:t>每份均具同等法律效力。</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4、本合同附件</w:t>
      </w:r>
      <w:r>
        <w:rPr>
          <w:rFonts w:hint="eastAsia" w:ascii="宋体" w:hAnsi="宋体" w:eastAsia="宋体" w:cs="宋体"/>
          <w:bCs w:val="0"/>
          <w:color w:val="auto"/>
          <w:spacing w:val="0"/>
          <w:w w:val="100"/>
          <w:kern w:val="0"/>
          <w:sz w:val="21"/>
          <w:szCs w:val="21"/>
          <w:highlight w:val="none"/>
          <w:lang w:val="en-US" w:eastAsia="zh-CN" w:bidi="zh-CN"/>
        </w:rPr>
        <w:t>以及本项目</w:t>
      </w:r>
      <w:r>
        <w:rPr>
          <w:rFonts w:hint="eastAsia" w:hAnsi="宋体" w:cs="宋体"/>
          <w:bCs w:val="0"/>
          <w:color w:val="auto"/>
          <w:spacing w:val="0"/>
          <w:w w:val="100"/>
          <w:kern w:val="0"/>
          <w:sz w:val="21"/>
          <w:szCs w:val="21"/>
          <w:highlight w:val="none"/>
          <w:lang w:val="en-US" w:eastAsia="zh-CN" w:bidi="zh-CN"/>
        </w:rPr>
        <w:t>采购</w:t>
      </w:r>
      <w:r>
        <w:rPr>
          <w:rFonts w:hint="eastAsia" w:ascii="宋体" w:hAnsi="宋体" w:eastAsia="宋体" w:cs="宋体"/>
          <w:bCs w:val="0"/>
          <w:color w:val="auto"/>
          <w:spacing w:val="0"/>
          <w:w w:val="100"/>
          <w:kern w:val="0"/>
          <w:sz w:val="21"/>
          <w:szCs w:val="21"/>
          <w:highlight w:val="none"/>
          <w:lang w:val="en-US" w:eastAsia="zh-CN" w:bidi="zh-CN"/>
        </w:rPr>
        <w:t>文件、乙方的投标文件</w:t>
      </w:r>
      <w:r>
        <w:rPr>
          <w:rFonts w:hint="eastAsia" w:ascii="宋体" w:hAnsi="宋体" w:eastAsia="宋体" w:cs="宋体"/>
          <w:bCs w:val="0"/>
          <w:color w:val="auto"/>
          <w:spacing w:val="0"/>
          <w:w w:val="100"/>
          <w:kern w:val="0"/>
          <w:sz w:val="21"/>
          <w:szCs w:val="21"/>
          <w:highlight w:val="none"/>
          <w:lang w:val="zh-CN" w:eastAsia="zh-CN" w:bidi="zh-CN"/>
        </w:rPr>
        <w:t>是本合同的组成部分，与本合同具有同等法律效力。</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5、本合同约定工程项目所涉及的所有设计图纸、施工图纸等技术文件资料等的著作权归属甲方。</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6、本合同自双方签字、盖章后生效。</w:t>
      </w:r>
    </w:p>
    <w:p>
      <w:pPr>
        <w:keepNext w:val="0"/>
        <w:keepLines w:val="0"/>
        <w:pageBreakBefore w:val="0"/>
        <w:widowControl w:val="0"/>
        <w:tabs>
          <w:tab w:val="left" w:pos="2419"/>
        </w:tabs>
        <w:kinsoku/>
        <w:wordWrap/>
        <w:overflowPunct/>
        <w:topLinePunct w:val="0"/>
        <w:autoSpaceDE w:val="0"/>
        <w:autoSpaceDN w:val="0"/>
        <w:bidi w:val="0"/>
        <w:adjustRightInd/>
        <w:snapToGrid/>
        <w:spacing w:before="0" w:after="0" w:line="483" w:lineRule="auto"/>
        <w:ind w:left="0" w:leftChars="0" w:right="0" w:firstLine="422" w:firstLineChars="200"/>
        <w:jc w:val="left"/>
        <w:textAlignment w:val="auto"/>
        <w:outlineLvl w:val="1"/>
        <w:rPr>
          <w:rFonts w:hint="eastAsia" w:ascii="宋体" w:hAnsi="宋体" w:eastAsia="宋体" w:cs="宋体"/>
          <w:b/>
          <w:bCs w:val="0"/>
          <w:color w:val="auto"/>
          <w:spacing w:val="0"/>
          <w:w w:val="100"/>
          <w:kern w:val="0"/>
          <w:sz w:val="21"/>
          <w:szCs w:val="21"/>
          <w:highlight w:val="none"/>
          <w:lang w:val="zh-CN" w:eastAsia="zh-CN" w:bidi="zh-CN"/>
        </w:rPr>
      </w:pPr>
      <w:r>
        <w:rPr>
          <w:rFonts w:hint="eastAsia" w:ascii="宋体" w:hAnsi="宋体" w:eastAsia="宋体" w:cs="宋体"/>
          <w:b/>
          <w:bCs w:val="0"/>
          <w:color w:val="auto"/>
          <w:spacing w:val="0"/>
          <w:w w:val="100"/>
          <w:kern w:val="0"/>
          <w:sz w:val="21"/>
          <w:szCs w:val="21"/>
          <w:highlight w:val="none"/>
          <w:lang w:val="zh-CN" w:eastAsia="zh-CN" w:bidi="zh-CN"/>
        </w:rPr>
        <w:t xml:space="preserve">附件（共 </w:t>
      </w:r>
      <w:r>
        <w:rPr>
          <w:rFonts w:hint="eastAsia" w:ascii="宋体" w:hAnsi="宋体" w:eastAsia="宋体" w:cs="宋体"/>
          <w:b/>
          <w:bCs w:val="0"/>
          <w:color w:val="auto"/>
          <w:spacing w:val="0"/>
          <w:w w:val="100"/>
          <w:kern w:val="0"/>
          <w:sz w:val="21"/>
          <w:szCs w:val="21"/>
          <w:highlight w:val="none"/>
          <w:lang w:val="en-US" w:eastAsia="zh-CN" w:bidi="zh-CN"/>
        </w:rPr>
        <w:t>6</w:t>
      </w:r>
      <w:r>
        <w:rPr>
          <w:rFonts w:hint="eastAsia" w:ascii="宋体" w:hAnsi="宋体" w:eastAsia="宋体" w:cs="宋体"/>
          <w:b/>
          <w:bCs w:val="0"/>
          <w:color w:val="auto"/>
          <w:spacing w:val="0"/>
          <w:w w:val="100"/>
          <w:kern w:val="0"/>
          <w:sz w:val="21"/>
          <w:szCs w:val="21"/>
          <w:highlight w:val="none"/>
          <w:lang w:val="zh-CN" w:eastAsia="zh-CN" w:bidi="zh-CN"/>
        </w:rPr>
        <w:t xml:space="preserve"> 件）</w:t>
      </w:r>
    </w:p>
    <w:p>
      <w:pPr>
        <w:keepNext w:val="0"/>
        <w:keepLines w:val="0"/>
        <w:pageBreakBefore w:val="0"/>
        <w:widowControl w:val="0"/>
        <w:kinsoku/>
        <w:wordWrap/>
        <w:overflowPunct/>
        <w:topLinePunct w:val="0"/>
        <w:autoSpaceDE w:val="0"/>
        <w:autoSpaceDN w:val="0"/>
        <w:bidi w:val="0"/>
        <w:adjustRightInd/>
        <w:spacing w:before="0" w:after="0" w:line="240"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1、 阳光合作协议</w:t>
      </w:r>
    </w:p>
    <w:p>
      <w:pPr>
        <w:keepNext w:val="0"/>
        <w:keepLines w:val="0"/>
        <w:pageBreakBefore w:val="0"/>
        <w:widowControl w:val="0"/>
        <w:kinsoku/>
        <w:wordWrap/>
        <w:overflowPunct/>
        <w:topLinePunct w:val="0"/>
        <w:autoSpaceDE w:val="0"/>
        <w:autoSpaceDN w:val="0"/>
        <w:bidi w:val="0"/>
        <w:adjustRightInd/>
        <w:spacing w:before="0" w:after="0" w:line="240"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2、 工程质量保修书</w:t>
      </w:r>
    </w:p>
    <w:p>
      <w:pPr>
        <w:keepNext w:val="0"/>
        <w:keepLines w:val="0"/>
        <w:pageBreakBefore w:val="0"/>
        <w:widowControl w:val="0"/>
        <w:kinsoku/>
        <w:wordWrap/>
        <w:overflowPunct/>
        <w:topLinePunct w:val="0"/>
        <w:autoSpaceDE w:val="0"/>
        <w:autoSpaceDN w:val="0"/>
        <w:bidi w:val="0"/>
        <w:adjustRightInd/>
        <w:spacing w:before="0" w:after="0" w:line="240"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3、 安全文明管控细则</w:t>
      </w:r>
    </w:p>
    <w:p>
      <w:pPr>
        <w:keepNext w:val="0"/>
        <w:keepLines w:val="0"/>
        <w:pageBreakBefore w:val="0"/>
        <w:widowControl w:val="0"/>
        <w:kinsoku/>
        <w:wordWrap/>
        <w:overflowPunct/>
        <w:topLinePunct w:val="0"/>
        <w:autoSpaceDE w:val="0"/>
        <w:autoSpaceDN w:val="0"/>
        <w:bidi w:val="0"/>
        <w:adjustRightInd/>
        <w:spacing w:before="0" w:after="0" w:line="240"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4、 施工单位日常行为管理条例</w:t>
      </w:r>
    </w:p>
    <w:p>
      <w:pPr>
        <w:keepNext w:val="0"/>
        <w:keepLines w:val="0"/>
        <w:pageBreakBefore w:val="0"/>
        <w:widowControl w:val="0"/>
        <w:numPr>
          <w:ilvl w:val="0"/>
          <w:numId w:val="21"/>
        </w:numPr>
        <w:kinsoku/>
        <w:wordWrap/>
        <w:overflowPunct/>
        <w:topLinePunct w:val="0"/>
        <w:autoSpaceDE w:val="0"/>
        <w:autoSpaceDN w:val="0"/>
        <w:bidi w:val="0"/>
        <w:adjustRightInd/>
        <w:spacing w:before="0" w:after="0" w:line="240"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en-US" w:eastAsia="zh-CN" w:bidi="zh-CN"/>
        </w:rPr>
      </w:pPr>
      <w:r>
        <w:rPr>
          <w:rFonts w:hint="eastAsia" w:ascii="宋体" w:hAnsi="宋体" w:eastAsia="宋体" w:cs="宋体"/>
          <w:bCs w:val="0"/>
          <w:color w:val="auto"/>
          <w:spacing w:val="0"/>
          <w:w w:val="100"/>
          <w:kern w:val="0"/>
          <w:sz w:val="21"/>
          <w:szCs w:val="21"/>
          <w:highlight w:val="none"/>
          <w:lang w:val="zh-CN" w:eastAsia="zh-CN" w:bidi="zh-CN"/>
        </w:rPr>
        <w:t>工程量清单</w:t>
      </w:r>
      <w:r>
        <w:rPr>
          <w:rFonts w:hint="eastAsia" w:ascii="宋体" w:hAnsi="宋体" w:eastAsia="宋体" w:cs="宋体"/>
          <w:bCs w:val="0"/>
          <w:color w:val="auto"/>
          <w:spacing w:val="0"/>
          <w:w w:val="100"/>
          <w:kern w:val="0"/>
          <w:sz w:val="21"/>
          <w:szCs w:val="21"/>
          <w:highlight w:val="none"/>
          <w:lang w:val="en-US" w:eastAsia="zh-CN" w:bidi="zh-CN"/>
        </w:rPr>
        <w:t>及价格表</w:t>
      </w:r>
    </w:p>
    <w:p>
      <w:pPr>
        <w:keepNext w:val="0"/>
        <w:keepLines w:val="0"/>
        <w:pageBreakBefore w:val="0"/>
        <w:widowControl/>
        <w:numPr>
          <w:ilvl w:val="0"/>
          <w:numId w:val="21"/>
        </w:numPr>
        <w:kinsoku/>
        <w:wordWrap/>
        <w:overflowPunct/>
        <w:topLinePunct w:val="0"/>
        <w:autoSpaceDE w:val="0"/>
        <w:autoSpaceDN w:val="0"/>
        <w:bidi w:val="0"/>
        <w:adjustRightInd/>
        <w:spacing w:before="0" w:after="0" w:line="240" w:lineRule="auto"/>
        <w:ind w:left="0" w:leftChars="0" w:right="0" w:rightChars="0" w:firstLine="420" w:firstLineChars="200"/>
        <w:jc w:val="left"/>
        <w:rPr>
          <w:rFonts w:hint="eastAsia" w:ascii="宋体" w:hAnsi="宋体" w:eastAsia="宋体" w:cs="宋体"/>
          <w:bCs w:val="0"/>
          <w:color w:val="auto"/>
          <w:spacing w:val="0"/>
          <w:w w:val="100"/>
          <w:kern w:val="0"/>
          <w:sz w:val="21"/>
          <w:szCs w:val="22"/>
          <w:highlight w:val="none"/>
          <w:lang w:val="en-US" w:eastAsia="zh-CN" w:bidi="zh-CN"/>
        </w:rPr>
      </w:pPr>
      <w:r>
        <w:rPr>
          <w:rFonts w:hint="eastAsia" w:ascii="宋体" w:hAnsi="宋体" w:eastAsia="宋体" w:cs="宋体"/>
          <w:bCs w:val="0"/>
          <w:color w:val="auto"/>
          <w:spacing w:val="0"/>
          <w:w w:val="100"/>
          <w:kern w:val="0"/>
          <w:sz w:val="21"/>
          <w:szCs w:val="22"/>
          <w:highlight w:val="none"/>
          <w:lang w:val="en-US" w:eastAsia="zh-CN" w:bidi="zh-CN"/>
        </w:rPr>
        <w:t>技术需求书</w:t>
      </w:r>
    </w:p>
    <w:p>
      <w:pPr>
        <w:keepNext w:val="0"/>
        <w:keepLines w:val="0"/>
        <w:pageBreakBefore w:val="0"/>
        <w:widowControl w:val="0"/>
        <w:kinsoku/>
        <w:wordWrap/>
        <w:overflowPunct/>
        <w:topLinePunct w:val="0"/>
        <w:autoSpaceDE w:val="0"/>
        <w:autoSpaceDN w:val="0"/>
        <w:bidi w:val="0"/>
        <w:adjustRightInd/>
        <w:spacing w:before="0" w:after="0" w:line="240"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（以下无正文，为双方签字栏）</w:t>
      </w:r>
    </w:p>
    <w:p>
      <w:pPr>
        <w:widowControl/>
        <w:autoSpaceDE w:val="0"/>
        <w:autoSpaceDN w:val="0"/>
        <w:spacing w:before="0" w:after="0" w:line="240" w:lineRule="auto"/>
        <w:ind w:left="0" w:right="0" w:firstLine="210" w:firstLineChars="100"/>
        <w:jc w:val="left"/>
        <w:rPr>
          <w:rFonts w:hint="eastAsia" w:ascii="Calibri" w:hAnsi="Calibri" w:eastAsia="宋体" w:cs="宋体"/>
          <w:color w:val="auto"/>
          <w:sz w:val="21"/>
          <w:szCs w:val="22"/>
          <w:highlight w:val="none"/>
          <w:lang w:val="zh-CN" w:eastAsia="zh-CN" w:bidi="zh-CN"/>
        </w:rPr>
      </w:pPr>
    </w:p>
    <w:tbl>
      <w:tblPr>
        <w:tblStyle w:val="5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3"/>
        <w:gridCol w:w="4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3" w:type="dxa"/>
          </w:tcPr>
          <w:p>
            <w:pPr>
              <w:keepNext w:val="0"/>
              <w:keepLines w:val="0"/>
              <w:pageBreakBefore w:val="0"/>
              <w:widowControl w:val="0"/>
              <w:tabs>
                <w:tab w:val="left" w:pos="6507"/>
              </w:tabs>
              <w:kinsoku/>
              <w:wordWrap/>
              <w:overflowPunct/>
              <w:topLinePunct w:val="0"/>
              <w:autoSpaceDE w:val="0"/>
              <w:autoSpaceDN w:val="0"/>
              <w:bidi w:val="0"/>
              <w:adjustRightInd/>
              <w:spacing w:before="0" w:after="0" w:line="240" w:lineRule="auto"/>
              <w:ind w:left="0" w:leftChars="0" w:right="0" w:firstLine="0" w:firstLineChars="0"/>
              <w:jc w:val="left"/>
              <w:outlineLvl w:val="1"/>
              <w:rPr>
                <w:rFonts w:hint="eastAsia" w:ascii="宋体" w:hAnsi="宋体" w:eastAsia="宋体" w:cs="宋体"/>
                <w:color w:val="auto"/>
                <w:sz w:val="24"/>
                <w:szCs w:val="24"/>
                <w:highlight w:val="none"/>
                <w:lang w:val="zh-CN" w:eastAsia="zh-CN" w:bidi="zh-CN"/>
              </w:rPr>
            </w:pPr>
          </w:p>
          <w:p>
            <w:pPr>
              <w:keepNext w:val="0"/>
              <w:keepLines w:val="0"/>
              <w:pageBreakBefore w:val="0"/>
              <w:widowControl w:val="0"/>
              <w:tabs>
                <w:tab w:val="left" w:pos="6507"/>
              </w:tabs>
              <w:kinsoku/>
              <w:wordWrap/>
              <w:overflowPunct/>
              <w:topLinePunct w:val="0"/>
              <w:autoSpaceDE w:val="0"/>
              <w:autoSpaceDN w:val="0"/>
              <w:bidi w:val="0"/>
              <w:adjustRightInd/>
              <w:spacing w:before="0" w:after="0" w:line="240" w:lineRule="auto"/>
              <w:ind w:left="0" w:leftChars="0" w:right="0" w:firstLine="0" w:firstLineChars="0"/>
              <w:jc w:val="left"/>
              <w:outlineLvl w:val="1"/>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甲方：广东东实开能能源有限公司</w:t>
            </w:r>
          </w:p>
          <w:p>
            <w:pPr>
              <w:adjustRightInd/>
              <w:spacing w:before="0" w:after="0" w:line="240" w:lineRule="auto"/>
              <w:ind w:left="0" w:right="0"/>
              <w:jc w:val="left"/>
              <w:rPr>
                <w:rFonts w:hint="eastAsia" w:ascii="宋体" w:hAnsi="宋体" w:eastAsia="宋体" w:cs="宋体"/>
                <w:color w:val="auto"/>
                <w:sz w:val="22"/>
                <w:szCs w:val="22"/>
                <w:highlight w:val="none"/>
                <w:lang w:val="zh-CN" w:bidi="zh-CN"/>
              </w:rPr>
            </w:pPr>
          </w:p>
          <w:p>
            <w:pPr>
              <w:adjustRightInd/>
              <w:spacing w:before="0" w:after="0" w:line="240" w:lineRule="auto"/>
              <w:ind w:left="0" w:right="0"/>
              <w:jc w:val="left"/>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法定代表人</w:t>
            </w:r>
          </w:p>
          <w:p>
            <w:pPr>
              <w:adjustRightInd/>
              <w:spacing w:before="0" w:after="0" w:line="240" w:lineRule="auto"/>
              <w:ind w:left="0" w:right="0"/>
              <w:jc w:val="left"/>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（或授权签约人）：</w:t>
            </w:r>
          </w:p>
          <w:p>
            <w:pPr>
              <w:keepNext w:val="0"/>
              <w:keepLines w:val="0"/>
              <w:pageBreakBefore w:val="0"/>
              <w:tabs>
                <w:tab w:val="left" w:pos="6876"/>
              </w:tabs>
              <w:kinsoku/>
              <w:wordWrap/>
              <w:overflowPunct/>
              <w:topLinePunct w:val="0"/>
              <w:bidi w:val="0"/>
              <w:adjustRightInd/>
              <w:spacing w:before="0" w:after="0" w:line="240" w:lineRule="auto"/>
              <w:ind w:left="0" w:right="0"/>
              <w:jc w:val="left"/>
              <w:rPr>
                <w:rFonts w:hint="eastAsia" w:ascii="宋体" w:hAnsi="宋体" w:eastAsia="宋体" w:cs="宋体"/>
                <w:bCs w:val="0"/>
                <w:color w:val="auto"/>
                <w:spacing w:val="0"/>
                <w:w w:val="100"/>
                <w:kern w:val="0"/>
                <w:sz w:val="24"/>
                <w:szCs w:val="22"/>
                <w:highlight w:val="none"/>
                <w:lang w:val="zh-CN" w:bidi="zh-CN"/>
              </w:rPr>
            </w:pPr>
          </w:p>
          <w:p>
            <w:pPr>
              <w:keepNext w:val="0"/>
              <w:keepLines w:val="0"/>
              <w:pageBreakBefore w:val="0"/>
              <w:tabs>
                <w:tab w:val="left" w:pos="6876"/>
              </w:tabs>
              <w:kinsoku/>
              <w:wordWrap/>
              <w:overflowPunct/>
              <w:topLinePunct w:val="0"/>
              <w:bidi w:val="0"/>
              <w:adjustRightInd/>
              <w:spacing w:before="0" w:after="0" w:line="240" w:lineRule="auto"/>
              <w:ind w:left="0" w:right="0"/>
              <w:jc w:val="left"/>
              <w:rPr>
                <w:rFonts w:hint="eastAsia" w:ascii="宋体" w:hAnsi="宋体" w:eastAsia="宋体" w:cs="宋体"/>
                <w:bCs w:val="0"/>
                <w:color w:val="auto"/>
                <w:spacing w:val="0"/>
                <w:w w:val="100"/>
                <w:kern w:val="0"/>
                <w:sz w:val="24"/>
                <w:szCs w:val="22"/>
                <w:highlight w:val="none"/>
                <w:lang w:val="en-US" w:bidi="zh-CN"/>
              </w:rPr>
            </w:pPr>
            <w:r>
              <w:rPr>
                <w:rFonts w:hint="eastAsia" w:ascii="宋体" w:hAnsi="宋体" w:eastAsia="宋体" w:cs="宋体"/>
                <w:bCs w:val="0"/>
                <w:color w:val="auto"/>
                <w:spacing w:val="0"/>
                <w:w w:val="100"/>
                <w:kern w:val="0"/>
                <w:sz w:val="24"/>
                <w:szCs w:val="22"/>
                <w:highlight w:val="none"/>
                <w:lang w:val="zh-CN" w:bidi="zh-CN"/>
              </w:rPr>
              <w:t>通讯地址：东莞市八一路机关二号大院9 号楼 102</w:t>
            </w:r>
          </w:p>
          <w:p>
            <w:pPr>
              <w:widowControl w:val="0"/>
              <w:autoSpaceDE w:val="0"/>
              <w:autoSpaceDN w:val="0"/>
              <w:spacing w:before="0" w:after="0" w:line="240" w:lineRule="auto"/>
              <w:ind w:left="0" w:right="0"/>
              <w:jc w:val="left"/>
              <w:rPr>
                <w:rFonts w:hint="eastAsia" w:ascii="宋体" w:hAnsi="宋体" w:eastAsia="宋体" w:cs="宋体"/>
                <w:color w:val="auto"/>
                <w:sz w:val="21"/>
                <w:szCs w:val="21"/>
                <w:highlight w:val="none"/>
                <w:lang w:val="zh-CN" w:eastAsia="zh-CN" w:bidi="zh-CN"/>
              </w:rPr>
            </w:pPr>
          </w:p>
        </w:tc>
        <w:tc>
          <w:tcPr>
            <w:tcW w:w="4983" w:type="dxa"/>
          </w:tcPr>
          <w:p>
            <w:pPr>
              <w:keepNext w:val="0"/>
              <w:keepLines w:val="0"/>
              <w:pageBreakBefore w:val="0"/>
              <w:widowControl w:val="0"/>
              <w:tabs>
                <w:tab w:val="left" w:pos="6507"/>
              </w:tabs>
              <w:kinsoku/>
              <w:wordWrap/>
              <w:overflowPunct/>
              <w:topLinePunct w:val="0"/>
              <w:autoSpaceDE w:val="0"/>
              <w:autoSpaceDN w:val="0"/>
              <w:bidi w:val="0"/>
              <w:adjustRightInd/>
              <w:spacing w:before="0" w:after="0" w:line="240" w:lineRule="auto"/>
              <w:ind w:left="0" w:leftChars="0" w:right="0" w:firstLine="0" w:firstLineChars="0"/>
              <w:jc w:val="left"/>
              <w:outlineLvl w:val="1"/>
              <w:rPr>
                <w:rFonts w:hint="eastAsia" w:ascii="宋体" w:hAnsi="宋体" w:eastAsia="宋体" w:cs="宋体"/>
                <w:color w:val="auto"/>
                <w:sz w:val="24"/>
                <w:szCs w:val="24"/>
                <w:highlight w:val="none"/>
                <w:lang w:val="zh-CN" w:eastAsia="zh-CN" w:bidi="zh-CN"/>
              </w:rPr>
            </w:pPr>
          </w:p>
          <w:p>
            <w:pPr>
              <w:keepNext w:val="0"/>
              <w:keepLines w:val="0"/>
              <w:pageBreakBefore w:val="0"/>
              <w:widowControl w:val="0"/>
              <w:tabs>
                <w:tab w:val="left" w:pos="6507"/>
              </w:tabs>
              <w:kinsoku/>
              <w:wordWrap/>
              <w:overflowPunct/>
              <w:topLinePunct w:val="0"/>
              <w:autoSpaceDE w:val="0"/>
              <w:autoSpaceDN w:val="0"/>
              <w:bidi w:val="0"/>
              <w:adjustRightInd/>
              <w:spacing w:before="0" w:after="0" w:line="240" w:lineRule="auto"/>
              <w:ind w:left="0" w:leftChars="0" w:right="0" w:firstLine="0" w:firstLineChars="0"/>
              <w:jc w:val="left"/>
              <w:outlineLvl w:val="1"/>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乙方：</w:t>
            </w:r>
          </w:p>
          <w:p>
            <w:pPr>
              <w:adjustRightInd/>
              <w:spacing w:before="0" w:after="0" w:line="240" w:lineRule="auto"/>
              <w:ind w:left="0" w:right="0"/>
              <w:jc w:val="left"/>
              <w:rPr>
                <w:rFonts w:hint="eastAsia" w:ascii="宋体" w:hAnsi="宋体" w:eastAsia="宋体" w:cs="宋体"/>
                <w:color w:val="auto"/>
                <w:sz w:val="22"/>
                <w:szCs w:val="22"/>
                <w:highlight w:val="none"/>
                <w:lang w:val="zh-CN" w:bidi="zh-CN"/>
              </w:rPr>
            </w:pPr>
          </w:p>
          <w:p>
            <w:pPr>
              <w:adjustRightInd/>
              <w:spacing w:before="0" w:after="0" w:line="240" w:lineRule="auto"/>
              <w:ind w:left="0" w:right="0"/>
              <w:jc w:val="left"/>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法定代表人</w:t>
            </w:r>
          </w:p>
          <w:p>
            <w:pPr>
              <w:adjustRightInd/>
              <w:spacing w:before="0" w:after="0" w:line="240" w:lineRule="auto"/>
              <w:ind w:left="0" w:right="0"/>
              <w:jc w:val="left"/>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（或授权签约人）：</w:t>
            </w:r>
          </w:p>
          <w:p>
            <w:pPr>
              <w:widowControl w:val="0"/>
              <w:autoSpaceDE w:val="0"/>
              <w:autoSpaceDN w:val="0"/>
              <w:spacing w:before="0" w:after="0" w:line="240" w:lineRule="auto"/>
              <w:ind w:left="0" w:right="0"/>
              <w:jc w:val="left"/>
              <w:rPr>
                <w:rFonts w:hint="eastAsia" w:ascii="宋体" w:hAnsi="宋体" w:eastAsia="宋体" w:cs="宋体"/>
                <w:color w:val="auto"/>
                <w:sz w:val="21"/>
                <w:szCs w:val="21"/>
                <w:highlight w:val="none"/>
                <w:lang w:val="zh-CN" w:eastAsia="zh-CN" w:bidi="zh-CN"/>
              </w:rPr>
            </w:pPr>
          </w:p>
          <w:p>
            <w:pPr>
              <w:widowControl/>
              <w:autoSpaceDE w:val="0"/>
              <w:autoSpaceDN w:val="0"/>
              <w:spacing w:before="0" w:after="0" w:line="240" w:lineRule="auto"/>
              <w:ind w:left="0" w:leftChars="0" w:right="0" w:firstLine="0" w:firstLineChars="0"/>
              <w:jc w:val="left"/>
              <w:rPr>
                <w:rFonts w:hint="eastAsia" w:ascii="Calibri" w:hAnsi="Calibri" w:eastAsia="宋体" w:cs="宋体"/>
                <w:color w:val="auto"/>
                <w:sz w:val="21"/>
                <w:szCs w:val="22"/>
                <w:highlight w:val="none"/>
                <w:lang w:val="zh-CN" w:eastAsia="zh-CN" w:bidi="zh-CN"/>
              </w:rPr>
            </w:pPr>
            <w:r>
              <w:rPr>
                <w:rFonts w:hint="eastAsia" w:ascii="宋体" w:hAnsi="宋体" w:eastAsia="宋体" w:cs="宋体"/>
                <w:bCs w:val="0"/>
                <w:color w:val="auto"/>
                <w:spacing w:val="0"/>
                <w:w w:val="100"/>
                <w:kern w:val="0"/>
                <w:sz w:val="24"/>
                <w:szCs w:val="22"/>
                <w:highlight w:val="none"/>
                <w:lang w:val="zh-CN" w:eastAsia="zh-CN" w:bidi="zh-CN"/>
              </w:rPr>
              <w:t>通讯地址：</w:t>
            </w:r>
          </w:p>
        </w:tc>
      </w:tr>
    </w:tbl>
    <w:p>
      <w:pPr>
        <w:adjustRightInd/>
        <w:spacing w:before="0" w:after="0" w:line="240" w:lineRule="auto"/>
        <w:ind w:left="0" w:right="0"/>
        <w:jc w:val="left"/>
        <w:rPr>
          <w:rFonts w:hint="eastAsia" w:ascii="宋体" w:hAnsi="宋体" w:eastAsia="宋体" w:cs="宋体"/>
          <w:bCs w:val="0"/>
          <w:color w:val="auto"/>
          <w:spacing w:val="0"/>
          <w:w w:val="100"/>
          <w:kern w:val="0"/>
          <w:sz w:val="22"/>
          <w:szCs w:val="22"/>
          <w:highlight w:val="none"/>
          <w:lang w:val="en-US" w:eastAsia="zh-CN" w:bidi="zh-CN"/>
        </w:rPr>
      </w:pPr>
      <w:r>
        <w:rPr>
          <w:rFonts w:hint="eastAsia" w:ascii="宋体" w:hAnsi="宋体" w:eastAsia="宋体" w:cs="宋体"/>
          <w:bCs w:val="0"/>
          <w:color w:val="auto"/>
          <w:spacing w:val="0"/>
          <w:w w:val="100"/>
          <w:kern w:val="0"/>
          <w:sz w:val="22"/>
          <w:szCs w:val="22"/>
          <w:highlight w:val="none"/>
          <w:lang w:val="en-US" w:eastAsia="zh-CN" w:bidi="zh-CN"/>
        </w:rPr>
        <w:br w:type="page"/>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422" w:firstLineChars="200"/>
        <w:jc w:val="left"/>
        <w:textAlignment w:val="auto"/>
        <w:outlineLvl w:val="1"/>
        <w:rPr>
          <w:rFonts w:hint="eastAsia" w:ascii="宋体" w:hAnsi="宋体" w:eastAsia="宋体" w:cs="宋体"/>
          <w:b/>
          <w:bCs w:val="0"/>
          <w:color w:val="auto"/>
          <w:spacing w:val="0"/>
          <w:w w:val="100"/>
          <w:kern w:val="0"/>
          <w:sz w:val="32"/>
          <w:szCs w:val="32"/>
          <w:highlight w:val="none"/>
          <w:lang w:val="en-US" w:eastAsia="zh-CN" w:bidi="zh-CN"/>
        </w:rPr>
      </w:pPr>
      <w:r>
        <w:rPr>
          <w:rFonts w:hint="eastAsia" w:ascii="宋体" w:hAnsi="宋体" w:eastAsia="宋体" w:cs="宋体"/>
          <w:b/>
          <w:bCs w:val="0"/>
          <w:color w:val="auto"/>
          <w:spacing w:val="0"/>
          <w:w w:val="100"/>
          <w:kern w:val="0"/>
          <w:sz w:val="21"/>
          <w:szCs w:val="21"/>
          <w:highlight w:val="none"/>
          <w:lang w:val="en-US" w:eastAsia="zh-CN" w:bidi="zh-CN"/>
        </w:rPr>
        <w:t xml:space="preserve">附件一   </w:t>
      </w:r>
      <w:r>
        <w:rPr>
          <w:rFonts w:hint="eastAsia" w:ascii="宋体" w:hAnsi="宋体" w:eastAsia="宋体" w:cs="宋体"/>
          <w:bCs w:val="0"/>
          <w:color w:val="auto"/>
          <w:spacing w:val="0"/>
          <w:w w:val="100"/>
          <w:kern w:val="0"/>
          <w:sz w:val="21"/>
          <w:szCs w:val="21"/>
          <w:highlight w:val="none"/>
          <w:lang w:val="en-US" w:eastAsia="zh-CN" w:bidi="zh-CN"/>
        </w:rPr>
        <w:t xml:space="preserve">                       </w:t>
      </w:r>
      <w:r>
        <w:rPr>
          <w:rFonts w:hint="eastAsia" w:ascii="宋体" w:hAnsi="宋体" w:eastAsia="宋体" w:cs="宋体"/>
          <w:b/>
          <w:bCs w:val="0"/>
          <w:color w:val="auto"/>
          <w:spacing w:val="0"/>
          <w:w w:val="100"/>
          <w:kern w:val="0"/>
          <w:sz w:val="32"/>
          <w:szCs w:val="32"/>
          <w:highlight w:val="none"/>
          <w:lang w:val="en-US" w:eastAsia="zh-CN" w:bidi="zh-CN"/>
        </w:rPr>
        <w:t xml:space="preserve">    </w:t>
      </w:r>
    </w:p>
    <w:p>
      <w:pPr>
        <w:keepNext w:val="0"/>
        <w:keepLines w:val="0"/>
        <w:pageBreakBefore w:val="0"/>
        <w:widowControl w:val="0"/>
        <w:kinsoku/>
        <w:wordWrap/>
        <w:overflowPunct/>
        <w:topLinePunct w:val="0"/>
        <w:autoSpaceDE w:val="0"/>
        <w:autoSpaceDN w:val="0"/>
        <w:bidi w:val="0"/>
        <w:adjustRightInd/>
        <w:spacing w:before="0" w:after="0" w:line="240" w:lineRule="auto"/>
        <w:ind w:left="0" w:leftChars="0" w:right="0" w:firstLine="643" w:firstLineChars="200"/>
        <w:jc w:val="center"/>
        <w:rPr>
          <w:rFonts w:hint="eastAsia" w:ascii="宋体" w:hAnsi="宋体" w:eastAsia="宋体" w:cs="宋体"/>
          <w:b/>
          <w:bCs w:val="0"/>
          <w:color w:val="auto"/>
          <w:spacing w:val="0"/>
          <w:w w:val="100"/>
          <w:kern w:val="0"/>
          <w:sz w:val="32"/>
          <w:szCs w:val="32"/>
          <w:highlight w:val="none"/>
          <w:lang w:val="en-US" w:eastAsia="zh-CN" w:bidi="zh-CN"/>
        </w:rPr>
      </w:pPr>
      <w:r>
        <w:rPr>
          <w:rFonts w:hint="eastAsia" w:ascii="宋体" w:hAnsi="宋体" w:eastAsia="宋体" w:cs="宋体"/>
          <w:b/>
          <w:bCs w:val="0"/>
          <w:color w:val="auto"/>
          <w:spacing w:val="0"/>
          <w:w w:val="100"/>
          <w:kern w:val="0"/>
          <w:sz w:val="32"/>
          <w:szCs w:val="32"/>
          <w:highlight w:val="none"/>
          <w:lang w:val="en-US" w:eastAsia="zh-CN" w:bidi="zh-CN"/>
        </w:rPr>
        <w:t>阳光合作协议</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甲方（全称）：</w:t>
      </w:r>
      <w:r>
        <w:rPr>
          <w:rFonts w:hint="eastAsia" w:ascii="宋体" w:hAnsi="宋体" w:eastAsia="宋体" w:cs="宋体"/>
          <w:bCs w:val="0"/>
          <w:color w:val="auto"/>
          <w:spacing w:val="0"/>
          <w:w w:val="100"/>
          <w:kern w:val="0"/>
          <w:sz w:val="21"/>
          <w:szCs w:val="21"/>
          <w:highlight w:val="none"/>
          <w:u w:val="single"/>
          <w:lang w:val="zh-CN" w:eastAsia="zh-CN" w:bidi="zh-CN"/>
        </w:rPr>
        <w:t>广东东实开能能源有限公司</w:t>
      </w:r>
    </w:p>
    <w:p>
      <w:pPr>
        <w:keepNext w:val="0"/>
        <w:keepLines w:val="0"/>
        <w:pageBreakBefore w:val="0"/>
        <w:widowControl w:val="0"/>
        <w:tabs>
          <w:tab w:val="left" w:pos="6039"/>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乙方（全称）：</w:t>
      </w:r>
      <w:r>
        <w:rPr>
          <w:rFonts w:hint="eastAsia" w:ascii="宋体" w:hAnsi="宋体" w:eastAsia="宋体" w:cs="宋体"/>
          <w:bCs w:val="0"/>
          <w:color w:val="auto"/>
          <w:spacing w:val="0"/>
          <w:w w:val="100"/>
          <w:kern w:val="0"/>
          <w:sz w:val="21"/>
          <w:szCs w:val="21"/>
          <w:highlight w:val="none"/>
          <w:u w:val="single"/>
          <w:lang w:val="zh-CN" w:eastAsia="zh-CN" w:bidi="zh-CN"/>
        </w:rPr>
        <w:tab/>
      </w:r>
      <w:r>
        <w:rPr>
          <w:rFonts w:hint="eastAsia" w:ascii="宋体" w:hAnsi="宋体" w:eastAsia="宋体" w:cs="宋体"/>
          <w:bCs w:val="0"/>
          <w:color w:val="auto"/>
          <w:spacing w:val="0"/>
          <w:w w:val="100"/>
          <w:kern w:val="0"/>
          <w:sz w:val="21"/>
          <w:szCs w:val="21"/>
          <w:highlight w:val="none"/>
          <w:u w:val="single"/>
          <w:lang w:val="zh-CN" w:eastAsia="zh-CN" w:bidi="zh-CN"/>
        </w:rPr>
        <w:tab/>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 xml:space="preserve">甲乙双方于 </w:t>
      </w:r>
      <w:r>
        <w:rPr>
          <w:rFonts w:hint="eastAsia" w:ascii="宋体" w:hAnsi="宋体" w:eastAsia="宋体" w:cs="宋体"/>
          <w:bCs w:val="0"/>
          <w:color w:val="auto"/>
          <w:spacing w:val="0"/>
          <w:w w:val="100"/>
          <w:kern w:val="0"/>
          <w:sz w:val="21"/>
          <w:szCs w:val="21"/>
          <w:highlight w:val="none"/>
          <w:u w:val="single"/>
          <w:lang w:val="zh-CN" w:eastAsia="zh-CN" w:bidi="zh-CN"/>
        </w:rPr>
        <w:t>202</w:t>
      </w:r>
      <w:r>
        <w:rPr>
          <w:rFonts w:hint="eastAsia" w:ascii="宋体" w:hAnsi="宋体" w:eastAsia="宋体" w:cs="宋体"/>
          <w:bCs w:val="0"/>
          <w:color w:val="auto"/>
          <w:spacing w:val="0"/>
          <w:w w:val="100"/>
          <w:kern w:val="0"/>
          <w:sz w:val="21"/>
          <w:szCs w:val="21"/>
          <w:highlight w:val="none"/>
          <w:u w:val="single"/>
          <w:lang w:val="en-US" w:eastAsia="zh-CN" w:bidi="zh-CN"/>
        </w:rPr>
        <w:t>2</w:t>
      </w:r>
      <w:r>
        <w:rPr>
          <w:rFonts w:hint="eastAsia" w:ascii="宋体" w:hAnsi="宋体" w:eastAsia="宋体" w:cs="宋体"/>
          <w:bCs w:val="0"/>
          <w:color w:val="auto"/>
          <w:spacing w:val="0"/>
          <w:w w:val="100"/>
          <w:kern w:val="0"/>
          <w:sz w:val="21"/>
          <w:szCs w:val="21"/>
          <w:highlight w:val="none"/>
          <w:u w:val="single"/>
          <w:lang w:val="zh-CN" w:eastAsia="zh-CN" w:bidi="zh-CN"/>
        </w:rPr>
        <w:t xml:space="preserve"> 年</w:t>
      </w:r>
      <w:r>
        <w:rPr>
          <w:rFonts w:hint="eastAsia" w:ascii="宋体" w:hAnsi="宋体" w:eastAsia="宋体" w:cs="宋体"/>
          <w:bCs w:val="0"/>
          <w:color w:val="auto"/>
          <w:spacing w:val="0"/>
          <w:w w:val="100"/>
          <w:kern w:val="0"/>
          <w:sz w:val="21"/>
          <w:szCs w:val="21"/>
          <w:highlight w:val="none"/>
          <w:u w:val="single"/>
          <w:lang w:val="en-US" w:eastAsia="zh-CN" w:bidi="zh-CN"/>
        </w:rPr>
        <w:t xml:space="preserve"> </w:t>
      </w:r>
      <w:r>
        <w:rPr>
          <w:rFonts w:hint="eastAsia" w:ascii="宋体" w:hAnsi="宋体" w:eastAsia="宋体" w:cs="宋体"/>
          <w:bCs w:val="0"/>
          <w:color w:val="auto"/>
          <w:spacing w:val="0"/>
          <w:w w:val="100"/>
          <w:kern w:val="0"/>
          <w:sz w:val="21"/>
          <w:szCs w:val="21"/>
          <w:highlight w:val="none"/>
          <w:u w:val="single"/>
          <w:lang w:val="zh-CN" w:eastAsia="zh-CN" w:bidi="zh-CN"/>
        </w:rPr>
        <w:t>月</w:t>
      </w:r>
      <w:r>
        <w:rPr>
          <w:rFonts w:hint="eastAsia" w:ascii="宋体" w:hAnsi="宋体" w:eastAsia="宋体" w:cs="宋体"/>
          <w:bCs w:val="0"/>
          <w:color w:val="auto"/>
          <w:spacing w:val="0"/>
          <w:w w:val="100"/>
          <w:kern w:val="0"/>
          <w:sz w:val="21"/>
          <w:szCs w:val="21"/>
          <w:highlight w:val="none"/>
          <w:u w:val="single"/>
          <w:lang w:val="en-US" w:eastAsia="zh-CN" w:bidi="zh-CN"/>
        </w:rPr>
        <w:t xml:space="preserve"> </w:t>
      </w:r>
      <w:r>
        <w:rPr>
          <w:rFonts w:hint="eastAsia" w:ascii="宋体" w:hAnsi="宋体" w:eastAsia="宋体" w:cs="宋体"/>
          <w:bCs w:val="0"/>
          <w:color w:val="auto"/>
          <w:spacing w:val="0"/>
          <w:w w:val="100"/>
          <w:kern w:val="0"/>
          <w:sz w:val="21"/>
          <w:szCs w:val="21"/>
          <w:highlight w:val="none"/>
          <w:u w:val="single"/>
          <w:lang w:val="zh-CN" w:eastAsia="zh-CN" w:bidi="zh-CN"/>
        </w:rPr>
        <w:t>日</w:t>
      </w:r>
      <w:r>
        <w:rPr>
          <w:rFonts w:hint="eastAsia" w:ascii="宋体" w:hAnsi="宋体" w:eastAsia="宋体" w:cs="宋体"/>
          <w:bCs w:val="0"/>
          <w:color w:val="auto"/>
          <w:spacing w:val="0"/>
          <w:w w:val="100"/>
          <w:kern w:val="0"/>
          <w:sz w:val="21"/>
          <w:szCs w:val="21"/>
          <w:highlight w:val="none"/>
          <w:lang w:val="zh-CN" w:eastAsia="zh-CN" w:bidi="zh-CN"/>
        </w:rPr>
        <w:t>签署了</w:t>
      </w:r>
      <w:r>
        <w:rPr>
          <w:rFonts w:hint="eastAsia" w:ascii="宋体" w:hAnsi="宋体" w:eastAsia="宋体" w:cs="宋体"/>
          <w:bCs w:val="0"/>
          <w:color w:val="auto"/>
          <w:spacing w:val="0"/>
          <w:w w:val="100"/>
          <w:kern w:val="0"/>
          <w:sz w:val="21"/>
          <w:szCs w:val="21"/>
          <w:highlight w:val="none"/>
          <w:lang w:val="en-US" w:eastAsia="zh-CN" w:bidi="zh-CN"/>
        </w:rPr>
        <w:t xml:space="preserve"> </w:t>
      </w:r>
      <w:r>
        <w:rPr>
          <w:rFonts w:hint="eastAsia" w:ascii="宋体" w:hAnsi="宋体" w:eastAsia="宋体" w:cs="宋体"/>
          <w:bCs w:val="0"/>
          <w:color w:val="auto"/>
          <w:spacing w:val="0"/>
          <w:w w:val="100"/>
          <w:kern w:val="0"/>
          <w:sz w:val="21"/>
          <w:szCs w:val="21"/>
          <w:highlight w:val="none"/>
          <w:u w:val="single"/>
          <w:lang w:val="en-US" w:eastAsia="zh-CN" w:bidi="zh-CN"/>
        </w:rPr>
        <w:t xml:space="preserve"> 莞番高速（寮步段）垃圾填埋场治理项目土地复垦工程施工</w:t>
      </w:r>
      <w:r>
        <w:rPr>
          <w:rFonts w:hint="eastAsia" w:ascii="宋体" w:hAnsi="宋体" w:eastAsia="宋体" w:cs="宋体"/>
          <w:bCs w:val="0"/>
          <w:color w:val="auto"/>
          <w:spacing w:val="0"/>
          <w:w w:val="100"/>
          <w:kern w:val="0"/>
          <w:sz w:val="21"/>
          <w:szCs w:val="21"/>
          <w:highlight w:val="none"/>
          <w:lang w:val="en-US" w:eastAsia="zh-CN" w:bidi="zh-CN"/>
        </w:rPr>
        <w:t xml:space="preserve"> </w:t>
      </w:r>
      <w:r>
        <w:rPr>
          <w:rFonts w:hint="eastAsia" w:ascii="宋体" w:hAnsi="宋体" w:eastAsia="宋体" w:cs="宋体"/>
          <w:bCs w:val="0"/>
          <w:color w:val="auto"/>
          <w:spacing w:val="0"/>
          <w:w w:val="100"/>
          <w:kern w:val="0"/>
          <w:sz w:val="21"/>
          <w:szCs w:val="21"/>
          <w:highlight w:val="none"/>
          <w:lang w:val="zh-CN" w:eastAsia="zh-CN" w:bidi="zh-CN"/>
        </w:rPr>
        <w:t>合同（以下简称原合同），为加强双方阳光合作，保证职员职业安全，甲乙双方经协商签定本协议并作为双方共同遵守的阳光合作行为   准则。</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40" w:firstLineChars="200"/>
        <w:jc w:val="left"/>
        <w:textAlignment w:val="auto"/>
        <w:outlineLvl w:val="9"/>
        <w:rPr>
          <w:rFonts w:hint="eastAsia" w:ascii="宋体" w:hAnsi="宋体" w:eastAsia="宋体" w:cs="宋体"/>
          <w:bCs w:val="0"/>
          <w:color w:val="auto"/>
          <w:spacing w:val="0"/>
          <w:w w:val="100"/>
          <w:kern w:val="0"/>
          <w:sz w:val="22"/>
          <w:szCs w:val="22"/>
          <w:highlight w:val="none"/>
          <w:lang w:val="zh-CN" w:bidi="zh-CN"/>
        </w:rPr>
      </w:pPr>
      <w:r>
        <w:rPr>
          <w:rFonts w:hint="eastAsia" w:ascii="宋体" w:hAnsi="宋体" w:eastAsia="宋体" w:cs="宋体"/>
          <w:bCs w:val="0"/>
          <w:color w:val="auto"/>
          <w:spacing w:val="0"/>
          <w:w w:val="100"/>
          <w:kern w:val="0"/>
          <w:sz w:val="22"/>
          <w:szCs w:val="22"/>
          <w:highlight w:val="none"/>
          <w:lang w:val="zh-CN" w:bidi="zh-CN"/>
        </w:rPr>
        <w:t>一、 甲方责任</w:t>
      </w:r>
    </w:p>
    <w:p>
      <w:pPr>
        <w:keepNext w:val="0"/>
        <w:keepLines w:val="0"/>
        <w:pageBreakBefore w:val="0"/>
        <w:widowControl w:val="0"/>
        <w:numPr>
          <w:ilvl w:val="0"/>
          <w:numId w:val="20"/>
        </w:numPr>
        <w:tabs>
          <w:tab w:val="left" w:pos="2317"/>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甲方有责任向乙方介绍本单位有关采购管理通用原则和本协议的规定。</w:t>
      </w:r>
    </w:p>
    <w:p>
      <w:pPr>
        <w:keepNext w:val="0"/>
        <w:keepLines w:val="0"/>
        <w:pageBreakBefore w:val="0"/>
        <w:widowControl w:val="0"/>
        <w:numPr>
          <w:ilvl w:val="0"/>
          <w:numId w:val="20"/>
        </w:numPr>
        <w:tabs>
          <w:tab w:val="left" w:pos="2317"/>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甲方有责任对本单位相关人员进行阳光合作教育。</w:t>
      </w:r>
    </w:p>
    <w:p>
      <w:pPr>
        <w:keepNext w:val="0"/>
        <w:keepLines w:val="0"/>
        <w:pageBreakBefore w:val="0"/>
        <w:widowControl w:val="0"/>
        <w:numPr>
          <w:ilvl w:val="0"/>
          <w:numId w:val="20"/>
        </w:numPr>
        <w:tabs>
          <w:tab w:val="left" w:pos="2317"/>
        </w:tabs>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甲方人员应严格遵守本单位有关阳光合作管理的规定，不得接受乙方任何形式的回扣、实物、现金、有价证券、礼券等有价物品，不得参加乙方提供的旅游或其他可能影响职务行为公正履行的活动。</w:t>
      </w:r>
    </w:p>
    <w:p>
      <w:pPr>
        <w:keepNext w:val="0"/>
        <w:keepLines w:val="0"/>
        <w:pageBreakBefore w:val="0"/>
        <w:widowControl w:val="0"/>
        <w:numPr>
          <w:ilvl w:val="0"/>
          <w:numId w:val="20"/>
        </w:numPr>
        <w:tabs>
          <w:tab w:val="left" w:pos="2317"/>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甲方人员如违反阳光合作管理制度及本协议规定，甲方视情节轻重、影响大小给予行政及经济处罚。</w:t>
      </w:r>
    </w:p>
    <w:p>
      <w:pPr>
        <w:keepNext w:val="0"/>
        <w:keepLines w:val="0"/>
        <w:pageBreakBefore w:val="0"/>
        <w:widowControl w:val="0"/>
        <w:numPr>
          <w:ilvl w:val="0"/>
          <w:numId w:val="20"/>
        </w:numPr>
        <w:tabs>
          <w:tab w:val="left" w:pos="2419"/>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对于乙方举报甲方人员违反阳光合作规定的情况，甲方应及时进行调查，根据调查情况进行处理，并将调查结果向乙方反馈。</w:t>
      </w:r>
    </w:p>
    <w:p>
      <w:pPr>
        <w:keepNext w:val="0"/>
        <w:keepLines w:val="0"/>
        <w:pageBreakBefore w:val="0"/>
        <w:widowControl w:val="0"/>
        <w:numPr>
          <w:ilvl w:val="0"/>
          <w:numId w:val="20"/>
        </w:numPr>
        <w:tabs>
          <w:tab w:val="left" w:pos="2317"/>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接受举报的一方应为举报方保密，不得对举报方进行报复，对举报属实和严格遵守</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《阳光合作协议》的合作方，在同等条件下给予后续合作的优先权。</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40" w:firstLineChars="200"/>
        <w:jc w:val="left"/>
        <w:textAlignment w:val="auto"/>
        <w:outlineLvl w:val="9"/>
        <w:rPr>
          <w:rFonts w:hint="eastAsia" w:ascii="宋体" w:hAnsi="宋体" w:eastAsia="宋体" w:cs="宋体"/>
          <w:bCs w:val="0"/>
          <w:color w:val="auto"/>
          <w:spacing w:val="0"/>
          <w:w w:val="100"/>
          <w:kern w:val="0"/>
          <w:sz w:val="22"/>
          <w:szCs w:val="22"/>
          <w:highlight w:val="none"/>
          <w:lang w:val="zh-CN" w:bidi="zh-CN"/>
        </w:rPr>
      </w:pPr>
      <w:r>
        <w:rPr>
          <w:rFonts w:hint="eastAsia" w:ascii="宋体" w:hAnsi="宋体" w:eastAsia="宋体" w:cs="宋体"/>
          <w:bCs w:val="0"/>
          <w:color w:val="auto"/>
          <w:spacing w:val="0"/>
          <w:w w:val="100"/>
          <w:kern w:val="0"/>
          <w:sz w:val="22"/>
          <w:szCs w:val="22"/>
          <w:highlight w:val="none"/>
          <w:lang w:val="zh-CN" w:bidi="zh-CN"/>
        </w:rPr>
        <w:t>二、 乙方责任</w:t>
      </w:r>
    </w:p>
    <w:p>
      <w:pPr>
        <w:keepNext w:val="0"/>
        <w:keepLines w:val="0"/>
        <w:pageBreakBefore w:val="0"/>
        <w:widowControl w:val="0"/>
        <w:numPr>
          <w:ilvl w:val="0"/>
          <w:numId w:val="22"/>
        </w:numPr>
        <w:tabs>
          <w:tab w:val="left" w:pos="2317"/>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乙方应保证乙方人员了解甲方有关采购管理通用原则和及本协议的规定，并遵照执</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行。</w:t>
      </w:r>
    </w:p>
    <w:p>
      <w:pPr>
        <w:keepNext w:val="0"/>
        <w:keepLines w:val="0"/>
        <w:pageBreakBefore w:val="0"/>
        <w:widowControl w:val="0"/>
        <w:numPr>
          <w:ilvl w:val="0"/>
          <w:numId w:val="22"/>
        </w:numPr>
        <w:tabs>
          <w:tab w:val="left" w:pos="2317"/>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乙方不得以任何形式给予甲方人员回扣、赠送实物、现金、有价证券、礼券等有价物品或提供旅游等其他可能影响职务行为公正履行的活动（以下统称“财物”）。</w:t>
      </w:r>
    </w:p>
    <w:p>
      <w:pPr>
        <w:keepNext w:val="0"/>
        <w:keepLines w:val="0"/>
        <w:pageBreakBefore w:val="0"/>
        <w:widowControl w:val="0"/>
        <w:numPr>
          <w:ilvl w:val="0"/>
          <w:numId w:val="22"/>
        </w:numPr>
        <w:tabs>
          <w:tab w:val="left" w:pos="2317"/>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乙方有责任接受甲方对乙方在合作期间阳光合作管理执行情况的监督，并对甲方相关调查工作主动配合。</w:t>
      </w:r>
    </w:p>
    <w:p>
      <w:pPr>
        <w:keepNext w:val="0"/>
        <w:keepLines w:val="0"/>
        <w:pageBreakBefore w:val="0"/>
        <w:widowControl w:val="0"/>
        <w:numPr>
          <w:ilvl w:val="0"/>
          <w:numId w:val="22"/>
        </w:numPr>
        <w:tabs>
          <w:tab w:val="left" w:pos="2317"/>
        </w:tabs>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乙方有义务就甲方人员任何形式的索取或收受财物行为及时向甲方（直接联系人为东莞实业投资控股集团有限公司办公室）举报。如乙方或其人员向甲方人员给予财物，或甲方人员向乙方索取财物，乙方满足其要求并且未向甲方举报的，一经查实（包括但不限于被甲方核实属实，或者被司法机关或第三人核实属实的），甲方将在内部通报；乙方除应向甲方赔偿由此给甲方造成的损失外，乙方还应向甲方支付相当于原合同总价的 10%的违约金，并对乙方知情不报人员进行相应处罚；连续出现 2 次及以上类似情况或者如因乙方在合作期间贿赂甲方人员，被检察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 合格供应商。</w:t>
      </w:r>
    </w:p>
    <w:p>
      <w:pPr>
        <w:keepNext w:val="0"/>
        <w:keepLines w:val="0"/>
        <w:pageBreakBefore w:val="0"/>
        <w:widowControl w:val="0"/>
        <w:numPr>
          <w:ilvl w:val="0"/>
          <w:numId w:val="22"/>
        </w:numPr>
        <w:tabs>
          <w:tab w:val="left" w:pos="2419"/>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甲方接受乙方实名或匿名举报，保证为举报者的信息保密，常设举报部门及电话：  举报受理部门：东莞实业投资控股集团有限公司纪检监察室</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东实集团举报邮箱：</w:t>
      </w:r>
      <w:r>
        <w:rPr>
          <w:rFonts w:hint="eastAsia" w:ascii="宋体" w:hAnsi="宋体" w:eastAsia="宋体" w:cs="宋体"/>
          <w:bCs w:val="0"/>
          <w:color w:val="auto"/>
          <w:spacing w:val="0"/>
          <w:w w:val="100"/>
          <w:kern w:val="0"/>
          <w:sz w:val="21"/>
          <w:szCs w:val="21"/>
          <w:highlight w:val="none"/>
          <w:lang w:val="zh-CN" w:eastAsia="zh-CN" w:bidi="zh-CN"/>
        </w:rPr>
        <w:fldChar w:fldCharType="begin"/>
      </w:r>
      <w:r>
        <w:rPr>
          <w:rFonts w:hint="eastAsia" w:ascii="宋体" w:hAnsi="宋体" w:eastAsia="宋体" w:cs="宋体"/>
          <w:bCs w:val="0"/>
          <w:color w:val="auto"/>
          <w:spacing w:val="0"/>
          <w:w w:val="100"/>
          <w:kern w:val="0"/>
          <w:sz w:val="21"/>
          <w:szCs w:val="21"/>
          <w:highlight w:val="none"/>
          <w:lang w:val="zh-CN" w:eastAsia="zh-CN" w:bidi="zh-CN"/>
        </w:rPr>
        <w:instrText xml:space="preserve"> HYPERLINK "mailto:dgsyjjjc@163.com" \h </w:instrText>
      </w:r>
      <w:r>
        <w:rPr>
          <w:rFonts w:hint="eastAsia" w:ascii="宋体" w:hAnsi="宋体" w:eastAsia="宋体" w:cs="宋体"/>
          <w:bCs w:val="0"/>
          <w:color w:val="auto"/>
          <w:spacing w:val="0"/>
          <w:w w:val="100"/>
          <w:kern w:val="0"/>
          <w:sz w:val="21"/>
          <w:szCs w:val="21"/>
          <w:highlight w:val="none"/>
          <w:lang w:val="zh-CN" w:eastAsia="zh-CN" w:bidi="zh-CN"/>
        </w:rPr>
        <w:fldChar w:fldCharType="separate"/>
      </w:r>
      <w:r>
        <w:rPr>
          <w:rFonts w:hint="eastAsia" w:ascii="宋体" w:hAnsi="宋体" w:eastAsia="宋体" w:cs="宋体"/>
          <w:bCs w:val="0"/>
          <w:color w:val="auto"/>
          <w:spacing w:val="0"/>
          <w:w w:val="100"/>
          <w:kern w:val="0"/>
          <w:sz w:val="21"/>
          <w:szCs w:val="21"/>
          <w:highlight w:val="none"/>
          <w:lang w:val="zh-CN" w:eastAsia="zh-CN" w:bidi="zh-CN"/>
        </w:rPr>
        <w:t>dgsyjjjc@163.com</w:t>
      </w:r>
      <w:r>
        <w:rPr>
          <w:rFonts w:hint="eastAsia" w:ascii="宋体" w:hAnsi="宋体" w:eastAsia="宋体" w:cs="宋体"/>
          <w:bCs w:val="0"/>
          <w:color w:val="auto"/>
          <w:spacing w:val="0"/>
          <w:w w:val="100"/>
          <w:kern w:val="0"/>
          <w:sz w:val="21"/>
          <w:szCs w:val="21"/>
          <w:highlight w:val="none"/>
          <w:lang w:val="zh-CN" w:eastAsia="zh-CN" w:bidi="zh-CN"/>
        </w:rPr>
        <w:fldChar w:fldCharType="end"/>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东实集团举报电话：0769-28822305（周一至周五 9:00-12:00 和 14:00-18:00）</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邮寄地址：东莞市东城区八一路东莞市机关二号大院 9 号楼，东莞实业投资控股集团有限公司纪检监察室收，邮编 523000。</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40" w:firstLineChars="200"/>
        <w:jc w:val="left"/>
        <w:textAlignment w:val="auto"/>
        <w:outlineLvl w:val="9"/>
        <w:rPr>
          <w:rFonts w:hint="eastAsia" w:ascii="宋体" w:hAnsi="宋体" w:eastAsia="宋体" w:cs="宋体"/>
          <w:bCs w:val="0"/>
          <w:color w:val="auto"/>
          <w:spacing w:val="0"/>
          <w:w w:val="100"/>
          <w:kern w:val="0"/>
          <w:sz w:val="22"/>
          <w:szCs w:val="22"/>
          <w:highlight w:val="none"/>
          <w:lang w:val="zh-CN" w:bidi="zh-CN"/>
        </w:rPr>
      </w:pPr>
      <w:r>
        <w:rPr>
          <w:rFonts w:hint="eastAsia" w:ascii="宋体" w:hAnsi="宋体" w:eastAsia="宋体" w:cs="宋体"/>
          <w:bCs w:val="0"/>
          <w:color w:val="auto"/>
          <w:spacing w:val="0"/>
          <w:w w:val="100"/>
          <w:kern w:val="0"/>
          <w:sz w:val="22"/>
          <w:szCs w:val="22"/>
          <w:highlight w:val="none"/>
          <w:lang w:val="zh-CN" w:bidi="zh-CN"/>
        </w:rPr>
        <w:t>三、 其他</w:t>
      </w:r>
    </w:p>
    <w:p>
      <w:pPr>
        <w:keepNext w:val="0"/>
        <w:keepLines w:val="0"/>
        <w:pageBreakBefore w:val="0"/>
        <w:widowControl w:val="0"/>
        <w:numPr>
          <w:ilvl w:val="0"/>
          <w:numId w:val="23"/>
        </w:numPr>
        <w:tabs>
          <w:tab w:val="left" w:pos="2317"/>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本协议是原合同的补充协议，与原合同有同等法律效力。</w:t>
      </w:r>
    </w:p>
    <w:p>
      <w:pPr>
        <w:keepNext w:val="0"/>
        <w:keepLines w:val="0"/>
        <w:pageBreakBefore w:val="0"/>
        <w:widowControl w:val="0"/>
        <w:numPr>
          <w:ilvl w:val="0"/>
          <w:numId w:val="23"/>
        </w:numPr>
        <w:tabs>
          <w:tab w:val="left" w:pos="2317"/>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本协议一式</w:t>
      </w:r>
      <w:r>
        <w:rPr>
          <w:rFonts w:hint="eastAsia" w:ascii="宋体" w:hAnsi="宋体" w:eastAsia="宋体" w:cs="宋体"/>
          <w:bCs w:val="0"/>
          <w:color w:val="auto"/>
          <w:spacing w:val="0"/>
          <w:w w:val="100"/>
          <w:kern w:val="0"/>
          <w:sz w:val="21"/>
          <w:szCs w:val="22"/>
          <w:highlight w:val="none"/>
          <w:u w:val="single"/>
          <w:lang w:val="zh-CN" w:eastAsia="zh-CN" w:bidi="zh-CN"/>
        </w:rPr>
        <w:t>陆</w:t>
      </w:r>
      <w:r>
        <w:rPr>
          <w:rFonts w:hint="eastAsia" w:ascii="宋体" w:hAnsi="宋体" w:eastAsia="宋体" w:cs="宋体"/>
          <w:bCs w:val="0"/>
          <w:color w:val="auto"/>
          <w:spacing w:val="0"/>
          <w:w w:val="100"/>
          <w:kern w:val="0"/>
          <w:sz w:val="21"/>
          <w:szCs w:val="22"/>
          <w:highlight w:val="none"/>
          <w:lang w:val="zh-CN" w:eastAsia="zh-CN" w:bidi="zh-CN"/>
        </w:rPr>
        <w:t>份，甲方持有肆份，乙方持贰份，具有同等法律效力。</w:t>
      </w:r>
    </w:p>
    <w:p>
      <w:pPr>
        <w:keepNext w:val="0"/>
        <w:keepLines w:val="0"/>
        <w:pageBreakBefore w:val="0"/>
        <w:widowControl w:val="0"/>
        <w:numPr>
          <w:ilvl w:val="0"/>
          <w:numId w:val="23"/>
        </w:numPr>
        <w:tabs>
          <w:tab w:val="left" w:pos="2317"/>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本协议经双方签署后生效。</w:t>
      </w:r>
    </w:p>
    <w:p>
      <w:pPr>
        <w:keepNext w:val="0"/>
        <w:keepLines w:val="0"/>
        <w:pageBreakBefore w:val="0"/>
        <w:widowControl w:val="0"/>
        <w:tabs>
          <w:tab w:val="left" w:pos="6408"/>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甲方（公章）：</w:t>
      </w:r>
      <w:r>
        <w:rPr>
          <w:rFonts w:hint="eastAsia" w:ascii="宋体" w:hAnsi="宋体" w:eastAsia="宋体" w:cs="宋体"/>
          <w:bCs w:val="0"/>
          <w:color w:val="auto"/>
          <w:spacing w:val="0"/>
          <w:w w:val="100"/>
          <w:kern w:val="0"/>
          <w:sz w:val="21"/>
          <w:szCs w:val="21"/>
          <w:highlight w:val="none"/>
          <w:lang w:val="en-US" w:eastAsia="zh-CN" w:bidi="zh-CN"/>
        </w:rPr>
        <w:t xml:space="preserve">                    </w:t>
      </w:r>
      <w:r>
        <w:rPr>
          <w:rFonts w:hint="eastAsia" w:ascii="宋体" w:hAnsi="宋体" w:eastAsia="宋体" w:cs="宋体"/>
          <w:bCs w:val="0"/>
          <w:color w:val="auto"/>
          <w:spacing w:val="0"/>
          <w:w w:val="100"/>
          <w:kern w:val="0"/>
          <w:sz w:val="21"/>
          <w:szCs w:val="21"/>
          <w:highlight w:val="none"/>
          <w:lang w:val="zh-CN" w:eastAsia="zh-CN" w:bidi="zh-CN"/>
        </w:rPr>
        <w:t>乙方（公章）：</w:t>
      </w:r>
    </w:p>
    <w:p>
      <w:pPr>
        <w:keepNext w:val="0"/>
        <w:keepLines w:val="0"/>
        <w:pageBreakBefore w:val="0"/>
        <w:widowControl w:val="0"/>
        <w:tabs>
          <w:tab w:val="left" w:pos="6408"/>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法定代表人（授权代表）：</w:t>
      </w:r>
      <w:r>
        <w:rPr>
          <w:rFonts w:hint="eastAsia" w:ascii="宋体" w:hAnsi="宋体" w:eastAsia="宋体" w:cs="宋体"/>
          <w:bCs w:val="0"/>
          <w:color w:val="auto"/>
          <w:spacing w:val="0"/>
          <w:w w:val="100"/>
          <w:kern w:val="0"/>
          <w:sz w:val="21"/>
          <w:szCs w:val="21"/>
          <w:highlight w:val="none"/>
          <w:lang w:val="en-US" w:eastAsia="zh-CN" w:bidi="zh-CN"/>
        </w:rPr>
        <w:t xml:space="preserve">          </w:t>
      </w:r>
      <w:r>
        <w:rPr>
          <w:rFonts w:hint="eastAsia" w:ascii="宋体" w:hAnsi="宋体" w:eastAsia="宋体" w:cs="宋体"/>
          <w:bCs w:val="0"/>
          <w:color w:val="auto"/>
          <w:spacing w:val="0"/>
          <w:w w:val="100"/>
          <w:kern w:val="0"/>
          <w:sz w:val="21"/>
          <w:szCs w:val="21"/>
          <w:highlight w:val="none"/>
          <w:lang w:val="zh-CN" w:eastAsia="zh-CN" w:bidi="zh-CN"/>
        </w:rPr>
        <w:t>法定代表人（授权代表）：</w:t>
      </w:r>
    </w:p>
    <w:p>
      <w:pPr>
        <w:keepNext w:val="0"/>
        <w:keepLines w:val="0"/>
        <w:pageBreakBefore w:val="0"/>
        <w:widowControl w:val="0"/>
        <w:tabs>
          <w:tab w:val="left" w:pos="3994"/>
          <w:tab w:val="left" w:pos="4414"/>
          <w:tab w:val="left" w:pos="6408"/>
          <w:tab w:val="left" w:pos="8405"/>
          <w:tab w:val="left" w:pos="8928"/>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签约日期：</w:t>
      </w:r>
      <w:r>
        <w:rPr>
          <w:rFonts w:hint="eastAsia" w:ascii="宋体" w:hAnsi="宋体" w:eastAsia="宋体" w:cs="宋体"/>
          <w:bCs w:val="0"/>
          <w:color w:val="auto"/>
          <w:spacing w:val="0"/>
          <w:w w:val="100"/>
          <w:kern w:val="0"/>
          <w:sz w:val="21"/>
          <w:szCs w:val="21"/>
          <w:highlight w:val="none"/>
          <w:u w:val="single"/>
          <w:lang w:val="zh-CN" w:eastAsia="zh-CN" w:bidi="zh-CN"/>
        </w:rPr>
        <w:t xml:space="preserve"> 2020 年</w:t>
      </w:r>
      <w:r>
        <w:rPr>
          <w:rFonts w:hint="eastAsia" w:ascii="宋体" w:hAnsi="宋体" w:eastAsia="宋体" w:cs="宋体"/>
          <w:bCs w:val="0"/>
          <w:color w:val="auto"/>
          <w:spacing w:val="0"/>
          <w:w w:val="100"/>
          <w:kern w:val="0"/>
          <w:sz w:val="21"/>
          <w:szCs w:val="21"/>
          <w:highlight w:val="none"/>
          <w:u w:val="single"/>
          <w:lang w:val="en-US" w:eastAsia="zh-CN" w:bidi="zh-CN"/>
        </w:rPr>
        <w:t xml:space="preserve">   </w:t>
      </w:r>
      <w:r>
        <w:rPr>
          <w:rFonts w:hint="eastAsia" w:ascii="宋体" w:hAnsi="宋体" w:eastAsia="宋体" w:cs="宋体"/>
          <w:bCs w:val="0"/>
          <w:color w:val="auto"/>
          <w:spacing w:val="0"/>
          <w:w w:val="100"/>
          <w:kern w:val="0"/>
          <w:sz w:val="21"/>
          <w:szCs w:val="21"/>
          <w:highlight w:val="none"/>
          <w:u w:val="single"/>
          <w:lang w:val="zh-CN" w:eastAsia="zh-CN" w:bidi="zh-CN"/>
        </w:rPr>
        <w:t>月</w:t>
      </w:r>
      <w:r>
        <w:rPr>
          <w:rFonts w:hint="eastAsia" w:ascii="宋体" w:hAnsi="宋体" w:eastAsia="宋体" w:cs="宋体"/>
          <w:bCs w:val="0"/>
          <w:color w:val="auto"/>
          <w:spacing w:val="0"/>
          <w:w w:val="100"/>
          <w:kern w:val="0"/>
          <w:sz w:val="21"/>
          <w:szCs w:val="21"/>
          <w:highlight w:val="none"/>
          <w:u w:val="single"/>
          <w:lang w:val="en-US" w:eastAsia="zh-CN" w:bidi="zh-CN"/>
        </w:rPr>
        <w:t xml:space="preserve">  </w:t>
      </w:r>
      <w:r>
        <w:rPr>
          <w:rFonts w:hint="eastAsia" w:ascii="宋体" w:hAnsi="宋体" w:eastAsia="宋体" w:cs="宋体"/>
          <w:bCs w:val="0"/>
          <w:color w:val="auto"/>
          <w:spacing w:val="0"/>
          <w:w w:val="100"/>
          <w:kern w:val="0"/>
          <w:sz w:val="21"/>
          <w:szCs w:val="21"/>
          <w:highlight w:val="none"/>
          <w:u w:val="single"/>
          <w:lang w:val="zh-CN" w:eastAsia="zh-CN" w:bidi="zh-CN"/>
        </w:rPr>
        <w:t>日</w:t>
      </w:r>
      <w:r>
        <w:rPr>
          <w:rFonts w:hint="eastAsia" w:ascii="宋体" w:hAnsi="宋体" w:eastAsia="宋体" w:cs="宋体"/>
          <w:bCs w:val="0"/>
          <w:color w:val="auto"/>
          <w:spacing w:val="0"/>
          <w:w w:val="100"/>
          <w:kern w:val="0"/>
          <w:sz w:val="21"/>
          <w:szCs w:val="21"/>
          <w:highlight w:val="none"/>
          <w:lang w:val="zh-CN" w:eastAsia="zh-CN" w:bidi="zh-CN"/>
        </w:rPr>
        <w:tab/>
      </w:r>
      <w:r>
        <w:rPr>
          <w:rFonts w:hint="eastAsia" w:ascii="宋体" w:hAnsi="宋体" w:eastAsia="宋体" w:cs="宋体"/>
          <w:bCs w:val="0"/>
          <w:color w:val="auto"/>
          <w:spacing w:val="0"/>
          <w:w w:val="100"/>
          <w:kern w:val="0"/>
          <w:sz w:val="21"/>
          <w:szCs w:val="21"/>
          <w:highlight w:val="none"/>
          <w:lang w:val="zh-CN" w:eastAsia="zh-CN" w:bidi="zh-CN"/>
        </w:rPr>
        <w:t>签约日期：</w:t>
      </w:r>
      <w:r>
        <w:rPr>
          <w:rFonts w:hint="eastAsia" w:ascii="宋体" w:hAnsi="宋体" w:eastAsia="宋体" w:cs="宋体"/>
          <w:bCs w:val="0"/>
          <w:color w:val="auto"/>
          <w:spacing w:val="0"/>
          <w:w w:val="100"/>
          <w:kern w:val="0"/>
          <w:sz w:val="21"/>
          <w:szCs w:val="21"/>
          <w:highlight w:val="none"/>
          <w:u w:val="single"/>
          <w:lang w:val="zh-CN" w:eastAsia="zh-CN" w:bidi="zh-CN"/>
        </w:rPr>
        <w:t>2020 年</w:t>
      </w:r>
      <w:r>
        <w:rPr>
          <w:rFonts w:hint="eastAsia" w:ascii="宋体" w:hAnsi="宋体" w:eastAsia="宋体" w:cs="宋体"/>
          <w:bCs w:val="0"/>
          <w:color w:val="auto"/>
          <w:spacing w:val="0"/>
          <w:w w:val="100"/>
          <w:kern w:val="0"/>
          <w:sz w:val="21"/>
          <w:szCs w:val="21"/>
          <w:highlight w:val="none"/>
          <w:u w:val="single"/>
          <w:lang w:val="en-US" w:eastAsia="zh-CN" w:bidi="zh-CN"/>
        </w:rPr>
        <w:t xml:space="preserve">  </w:t>
      </w:r>
      <w:r>
        <w:rPr>
          <w:rFonts w:hint="eastAsia" w:ascii="宋体" w:hAnsi="宋体" w:eastAsia="宋体" w:cs="宋体"/>
          <w:bCs w:val="0"/>
          <w:color w:val="auto"/>
          <w:spacing w:val="0"/>
          <w:w w:val="100"/>
          <w:kern w:val="0"/>
          <w:sz w:val="21"/>
          <w:szCs w:val="21"/>
          <w:highlight w:val="none"/>
          <w:u w:val="single"/>
          <w:lang w:val="zh-CN" w:eastAsia="zh-CN" w:bidi="zh-CN"/>
        </w:rPr>
        <w:t>月</w:t>
      </w:r>
      <w:r>
        <w:rPr>
          <w:rFonts w:hint="eastAsia" w:ascii="宋体" w:hAnsi="宋体" w:eastAsia="宋体" w:cs="宋体"/>
          <w:bCs w:val="0"/>
          <w:color w:val="auto"/>
          <w:spacing w:val="0"/>
          <w:w w:val="100"/>
          <w:kern w:val="0"/>
          <w:sz w:val="21"/>
          <w:szCs w:val="21"/>
          <w:highlight w:val="none"/>
          <w:u w:val="single"/>
          <w:lang w:val="en-US" w:eastAsia="zh-CN" w:bidi="zh-CN"/>
        </w:rPr>
        <w:t xml:space="preserve">   </w:t>
      </w:r>
      <w:r>
        <w:rPr>
          <w:rFonts w:hint="eastAsia" w:ascii="宋体" w:hAnsi="宋体" w:eastAsia="宋体" w:cs="宋体"/>
          <w:bCs w:val="0"/>
          <w:color w:val="auto"/>
          <w:spacing w:val="0"/>
          <w:w w:val="100"/>
          <w:kern w:val="0"/>
          <w:sz w:val="21"/>
          <w:szCs w:val="21"/>
          <w:highlight w:val="none"/>
          <w:u w:val="single"/>
          <w:lang w:val="zh-CN" w:eastAsia="zh-CN" w:bidi="zh-CN"/>
        </w:rPr>
        <w:t>日</w:t>
      </w:r>
    </w:p>
    <w:p>
      <w:pPr>
        <w:adjustRightInd/>
        <w:spacing w:before="0" w:after="0" w:line="240" w:lineRule="auto"/>
        <w:ind w:left="0" w:right="0"/>
        <w:jc w:val="left"/>
        <w:rPr>
          <w:rFonts w:hint="eastAsia" w:ascii="宋体" w:hAnsi="宋体" w:eastAsia="宋体" w:cs="宋体"/>
          <w:bCs w:val="0"/>
          <w:color w:val="auto"/>
          <w:spacing w:val="0"/>
          <w:w w:val="100"/>
          <w:kern w:val="0"/>
          <w:sz w:val="22"/>
          <w:szCs w:val="22"/>
          <w:highlight w:val="none"/>
          <w:lang w:val="zh-CN" w:bidi="zh-CN"/>
        </w:rPr>
      </w:pPr>
      <w:r>
        <w:rPr>
          <w:rFonts w:hint="eastAsia" w:ascii="宋体" w:hAnsi="宋体" w:eastAsia="宋体" w:cs="宋体"/>
          <w:bCs w:val="0"/>
          <w:color w:val="auto"/>
          <w:spacing w:val="0"/>
          <w:w w:val="100"/>
          <w:kern w:val="0"/>
          <w:sz w:val="22"/>
          <w:szCs w:val="22"/>
          <w:highlight w:val="none"/>
          <w:lang w:val="zh-CN" w:bidi="zh-CN"/>
        </w:rPr>
        <w:br w:type="page"/>
      </w:r>
    </w:p>
    <w:p>
      <w:pPr>
        <w:keepNext w:val="0"/>
        <w:keepLines w:val="0"/>
        <w:pageBreakBefore w:val="0"/>
        <w:widowControl w:val="0"/>
        <w:kinsoku/>
        <w:wordWrap/>
        <w:overflowPunct/>
        <w:topLinePunct w:val="0"/>
        <w:autoSpaceDE w:val="0"/>
        <w:autoSpaceDN w:val="0"/>
        <w:bidi w:val="0"/>
        <w:adjustRightInd/>
        <w:spacing w:before="0" w:after="0" w:line="240" w:lineRule="auto"/>
        <w:ind w:left="0" w:leftChars="0" w:right="0" w:firstLine="0" w:firstLineChars="0"/>
        <w:jc w:val="left"/>
        <w:outlineLvl w:val="1"/>
        <w:rPr>
          <w:rFonts w:hint="eastAsia" w:ascii="宋体" w:hAnsi="宋体" w:eastAsia="宋体" w:cs="宋体"/>
          <w:bCs w:val="0"/>
          <w:color w:val="auto"/>
          <w:spacing w:val="0"/>
          <w:w w:val="100"/>
          <w:kern w:val="0"/>
          <w:sz w:val="24"/>
          <w:szCs w:val="24"/>
          <w:highlight w:val="none"/>
          <w:lang w:val="zh-CN" w:eastAsia="zh-CN" w:bidi="zh-CN"/>
        </w:rPr>
      </w:pPr>
      <w:r>
        <w:rPr>
          <w:rFonts w:hint="eastAsia" w:ascii="宋体" w:hAnsi="宋体" w:eastAsia="宋体" w:cs="宋体"/>
          <w:bCs w:val="0"/>
          <w:color w:val="auto"/>
          <w:spacing w:val="0"/>
          <w:w w:val="100"/>
          <w:kern w:val="0"/>
          <w:sz w:val="24"/>
          <w:szCs w:val="24"/>
          <w:highlight w:val="none"/>
          <w:lang w:val="zh-CN" w:eastAsia="zh-CN" w:bidi="zh-CN"/>
        </w:rPr>
        <w:t>附件二</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0" w:firstLineChars="0"/>
        <w:jc w:val="center"/>
        <w:textAlignment w:val="auto"/>
        <w:rPr>
          <w:rFonts w:hint="eastAsia" w:ascii="宋体" w:hAnsi="宋体" w:eastAsia="宋体" w:cs="宋体"/>
          <w:bCs w:val="0"/>
          <w:color w:val="auto"/>
          <w:spacing w:val="0"/>
          <w:w w:val="100"/>
          <w:kern w:val="0"/>
          <w:sz w:val="32"/>
          <w:szCs w:val="22"/>
          <w:highlight w:val="none"/>
          <w:lang w:val="zh-CN" w:bidi="zh-CN"/>
        </w:rPr>
      </w:pPr>
      <w:r>
        <w:rPr>
          <w:rFonts w:hint="eastAsia" w:ascii="宋体" w:hAnsi="宋体" w:eastAsia="宋体" w:cs="宋体"/>
          <w:bCs w:val="0"/>
          <w:color w:val="auto"/>
          <w:spacing w:val="0"/>
          <w:w w:val="100"/>
          <w:kern w:val="0"/>
          <w:sz w:val="32"/>
          <w:szCs w:val="22"/>
          <w:highlight w:val="none"/>
          <w:lang w:val="zh-CN" w:bidi="zh-CN"/>
        </w:rPr>
        <w:t>工 程 质 量 保 修 书</w:t>
      </w:r>
    </w:p>
    <w:p>
      <w:pPr>
        <w:keepNext w:val="0"/>
        <w:keepLines w:val="0"/>
        <w:pageBreakBefore w:val="0"/>
        <w:widowControl w:val="0"/>
        <w:tabs>
          <w:tab w:val="left" w:pos="6407"/>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发包人：（全称）</w:t>
      </w:r>
      <w:r>
        <w:rPr>
          <w:rFonts w:hint="eastAsia" w:ascii="宋体" w:hAnsi="宋体" w:eastAsia="宋体" w:cs="宋体"/>
          <w:bCs w:val="0"/>
          <w:color w:val="auto"/>
          <w:spacing w:val="0"/>
          <w:w w:val="100"/>
          <w:kern w:val="0"/>
          <w:sz w:val="21"/>
          <w:szCs w:val="21"/>
          <w:highlight w:val="none"/>
          <w:u w:val="single"/>
          <w:lang w:val="zh-CN" w:eastAsia="zh-CN" w:bidi="zh-CN"/>
        </w:rPr>
        <w:t>广东东实开能能源有限公司</w:t>
      </w:r>
      <w:r>
        <w:rPr>
          <w:rFonts w:hint="eastAsia" w:ascii="宋体" w:hAnsi="宋体" w:eastAsia="宋体" w:cs="宋体"/>
          <w:bCs w:val="0"/>
          <w:color w:val="auto"/>
          <w:spacing w:val="0"/>
          <w:w w:val="100"/>
          <w:kern w:val="0"/>
          <w:sz w:val="21"/>
          <w:szCs w:val="21"/>
          <w:highlight w:val="none"/>
          <w:u w:val="single"/>
          <w:lang w:val="zh-CN" w:eastAsia="zh-CN" w:bidi="zh-CN"/>
        </w:rPr>
        <w:tab/>
      </w:r>
    </w:p>
    <w:p>
      <w:pPr>
        <w:keepNext w:val="0"/>
        <w:keepLines w:val="0"/>
        <w:pageBreakBefore w:val="0"/>
        <w:widowControl w:val="0"/>
        <w:tabs>
          <w:tab w:val="left" w:pos="6145"/>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承包人：（全称）</w:t>
      </w:r>
      <w:r>
        <w:rPr>
          <w:rFonts w:hint="eastAsia" w:ascii="宋体" w:hAnsi="宋体" w:eastAsia="宋体" w:cs="宋体"/>
          <w:bCs w:val="0"/>
          <w:color w:val="auto"/>
          <w:spacing w:val="0"/>
          <w:w w:val="100"/>
          <w:kern w:val="0"/>
          <w:sz w:val="21"/>
          <w:szCs w:val="21"/>
          <w:highlight w:val="none"/>
          <w:u w:val="single"/>
          <w:lang w:val="zh-CN" w:eastAsia="zh-CN" w:bidi="zh-CN"/>
        </w:rPr>
        <w:t xml:space="preserve"> </w:t>
      </w:r>
      <w:r>
        <w:rPr>
          <w:rFonts w:hint="eastAsia" w:ascii="宋体" w:hAnsi="宋体" w:eastAsia="宋体" w:cs="宋体"/>
          <w:bCs w:val="0"/>
          <w:color w:val="auto"/>
          <w:spacing w:val="0"/>
          <w:w w:val="100"/>
          <w:kern w:val="0"/>
          <w:sz w:val="21"/>
          <w:szCs w:val="21"/>
          <w:highlight w:val="none"/>
          <w:u w:val="single"/>
          <w:lang w:val="zh-CN" w:eastAsia="zh-CN" w:bidi="zh-CN"/>
        </w:rPr>
        <w:tab/>
      </w:r>
      <w:r>
        <w:rPr>
          <w:rFonts w:hint="eastAsia" w:ascii="宋体" w:hAnsi="宋体" w:eastAsia="宋体" w:cs="宋体"/>
          <w:bCs w:val="0"/>
          <w:color w:val="auto"/>
          <w:spacing w:val="0"/>
          <w:w w:val="100"/>
          <w:kern w:val="0"/>
          <w:sz w:val="21"/>
          <w:szCs w:val="21"/>
          <w:highlight w:val="none"/>
          <w:u w:val="single"/>
          <w:lang w:val="zh-CN" w:eastAsia="zh-CN" w:bidi="zh-CN"/>
        </w:rPr>
        <w:tab/>
      </w:r>
    </w:p>
    <w:p>
      <w:pPr>
        <w:keepNext w:val="0"/>
        <w:keepLines w:val="0"/>
        <w:pageBreakBefore w:val="0"/>
        <w:widowControl w:val="0"/>
        <w:tabs>
          <w:tab w:val="left" w:pos="4954"/>
        </w:tabs>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为保证</w:t>
      </w:r>
      <w:r>
        <w:rPr>
          <w:rFonts w:hint="eastAsia" w:ascii="宋体" w:hAnsi="宋体" w:eastAsia="宋体" w:cs="宋体"/>
          <w:bCs w:val="0"/>
          <w:color w:val="auto"/>
          <w:spacing w:val="0"/>
          <w:w w:val="100"/>
          <w:kern w:val="0"/>
          <w:sz w:val="21"/>
          <w:szCs w:val="21"/>
          <w:highlight w:val="none"/>
          <w:u w:val="single"/>
          <w:lang w:val="zh-CN" w:eastAsia="zh-CN" w:bidi="zh-CN"/>
        </w:rPr>
        <w:t xml:space="preserve"> </w:t>
      </w:r>
      <w:r>
        <w:rPr>
          <w:rFonts w:hint="eastAsia" w:ascii="宋体" w:hAnsi="宋体" w:eastAsia="宋体" w:cs="宋体"/>
          <w:b w:val="0"/>
          <w:bCs w:val="0"/>
          <w:color w:val="auto"/>
          <w:spacing w:val="0"/>
          <w:w w:val="100"/>
          <w:kern w:val="0"/>
          <w:sz w:val="21"/>
          <w:szCs w:val="21"/>
          <w:highlight w:val="none"/>
          <w:u w:val="single"/>
          <w:lang w:val="zh-CN" w:eastAsia="zh-CN" w:bidi="zh-CN"/>
        </w:rPr>
        <w:t>莞番高速（寮步段）垃圾填埋场治理项目土地复垦工程</w:t>
      </w:r>
      <w:r>
        <w:rPr>
          <w:rFonts w:hint="eastAsia" w:ascii="宋体" w:hAnsi="宋体" w:eastAsia="宋体" w:cs="宋体"/>
          <w:bCs w:val="0"/>
          <w:color w:val="auto"/>
          <w:spacing w:val="0"/>
          <w:w w:val="100"/>
          <w:kern w:val="0"/>
          <w:sz w:val="21"/>
          <w:szCs w:val="21"/>
          <w:highlight w:val="none"/>
          <w:lang w:val="zh-CN" w:eastAsia="zh-CN" w:bidi="zh-CN"/>
        </w:rPr>
        <w:t>在合理使用期限内正常使用，发包人和承包人根据《中华人民共和国建筑法》、《建设工程质量管理条例》《房屋建筑工程质量保修办法》和《市政基础设施工程质量保修办法》，经协商一致，签订工程质量保修书。承包人在质量保修期内应按照有关规定及双方约定承担工程质量保修责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1． 质量保修范围</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质量保修范围包括</w:t>
      </w:r>
      <w:r>
        <w:rPr>
          <w:rFonts w:hint="eastAsia" w:ascii="宋体" w:hAnsi="宋体" w:eastAsia="宋体" w:cs="宋体"/>
          <w:bCs w:val="0"/>
          <w:color w:val="auto"/>
          <w:spacing w:val="0"/>
          <w:w w:val="100"/>
          <w:kern w:val="0"/>
          <w:sz w:val="21"/>
          <w:szCs w:val="21"/>
          <w:highlight w:val="none"/>
          <w:u w:val="single"/>
          <w:lang w:val="zh-CN" w:eastAsia="zh-CN" w:bidi="zh-CN"/>
        </w:rPr>
        <w:t>合同约定的所有工程内容</w:t>
      </w:r>
      <w:r>
        <w:rPr>
          <w:rFonts w:hint="eastAsia" w:ascii="宋体" w:hAnsi="宋体" w:eastAsia="宋体" w:cs="宋体"/>
          <w:bCs w:val="0"/>
          <w:color w:val="auto"/>
          <w:spacing w:val="0"/>
          <w:w w:val="100"/>
          <w:kern w:val="0"/>
          <w:sz w:val="21"/>
          <w:szCs w:val="21"/>
          <w:highlight w:val="none"/>
          <w:lang w:val="zh-CN" w:eastAsia="zh-CN" w:bidi="zh-CN"/>
        </w:rPr>
        <w:t>。具体质量保修范围，双方约定如下：</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
          <w:bCs w:val="0"/>
          <w:color w:val="auto"/>
          <w:spacing w:val="0"/>
          <w:w w:val="100"/>
          <w:kern w:val="0"/>
          <w:sz w:val="21"/>
          <w:szCs w:val="2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1、</w:t>
      </w:r>
      <w:r>
        <w:rPr>
          <w:rFonts w:hint="eastAsia" w:ascii="宋体" w:hAnsi="宋体" w:eastAsia="宋体" w:cs="宋体"/>
          <w:b/>
          <w:bCs w:val="0"/>
          <w:color w:val="auto"/>
          <w:spacing w:val="0"/>
          <w:w w:val="100"/>
          <w:kern w:val="0"/>
          <w:sz w:val="21"/>
          <w:szCs w:val="22"/>
          <w:highlight w:val="none"/>
          <w:u w:val="single"/>
          <w:lang w:val="zh-CN" w:bidi="zh-CN"/>
        </w:rPr>
        <w:t>由于承包人施工原因造成的工程质量问题由承包人负责保修及保修费用。</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2、质量保修期</w:t>
      </w:r>
    </w:p>
    <w:p>
      <w:pPr>
        <w:keepNext w:val="0"/>
        <w:keepLines w:val="0"/>
        <w:pageBreakBefore w:val="0"/>
        <w:widowControl w:val="0"/>
        <w:numPr>
          <w:ilvl w:val="1"/>
          <w:numId w:val="24"/>
        </w:numPr>
        <w:tabs>
          <w:tab w:val="left" w:pos="2368"/>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质量保修期从工程实际竣工之日算起。单项竣工验收的工程，按单项工程分别计算质量保修期。</w:t>
      </w:r>
    </w:p>
    <w:p>
      <w:pPr>
        <w:keepNext w:val="0"/>
        <w:keepLines w:val="0"/>
        <w:pageBreakBefore w:val="0"/>
        <w:widowControl w:val="0"/>
        <w:numPr>
          <w:ilvl w:val="1"/>
          <w:numId w:val="24"/>
        </w:numPr>
        <w:tabs>
          <w:tab w:val="left" w:pos="2368"/>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2"/>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双方根据《建设工程质量管理条例》及有关规定，约定本工程质量保修期如下：</w:t>
      </w:r>
      <w:r>
        <w:rPr>
          <w:rFonts w:hint="eastAsia" w:ascii="宋体" w:hAnsi="宋体" w:eastAsia="宋体" w:cs="宋体"/>
          <w:bCs w:val="0"/>
          <w:color w:val="auto"/>
          <w:spacing w:val="0"/>
          <w:w w:val="100"/>
          <w:kern w:val="0"/>
          <w:sz w:val="22"/>
          <w:szCs w:val="22"/>
          <w:highlight w:val="none"/>
          <w:lang w:val="zh-CN" w:eastAsia="zh-CN" w:bidi="zh-CN"/>
        </w:rPr>
        <w:t>1、 本合同约定的所有工程为</w:t>
      </w:r>
      <w:r>
        <w:rPr>
          <w:rFonts w:hint="eastAsia" w:ascii="宋体" w:hAnsi="宋体" w:eastAsia="宋体" w:cs="宋体"/>
          <w:bCs w:val="0"/>
          <w:color w:val="auto"/>
          <w:spacing w:val="0"/>
          <w:w w:val="100"/>
          <w:kern w:val="0"/>
          <w:sz w:val="22"/>
          <w:szCs w:val="22"/>
          <w:highlight w:val="none"/>
          <w:u w:val="single"/>
          <w:lang w:val="zh-CN" w:eastAsia="zh-CN" w:bidi="zh-CN"/>
        </w:rPr>
        <w:t xml:space="preserve"> </w:t>
      </w:r>
      <w:r>
        <w:rPr>
          <w:rFonts w:hint="eastAsia" w:ascii="宋体" w:hAnsi="宋体" w:eastAsia="宋体" w:cs="宋体"/>
          <w:b/>
          <w:bCs w:val="0"/>
          <w:color w:val="auto"/>
          <w:spacing w:val="0"/>
          <w:w w:val="100"/>
          <w:kern w:val="0"/>
          <w:sz w:val="22"/>
          <w:szCs w:val="22"/>
          <w:highlight w:val="none"/>
          <w:u w:val="single"/>
          <w:lang w:val="en-US" w:eastAsia="zh-CN" w:bidi="zh-CN"/>
        </w:rPr>
        <w:t xml:space="preserve">六个月      </w:t>
      </w:r>
      <w:r>
        <w:rPr>
          <w:rFonts w:hint="eastAsia" w:ascii="宋体" w:hAnsi="宋体" w:eastAsia="宋体" w:cs="宋体"/>
          <w:b/>
          <w:bCs w:val="0"/>
          <w:color w:val="auto"/>
          <w:spacing w:val="0"/>
          <w:w w:val="100"/>
          <w:kern w:val="0"/>
          <w:sz w:val="22"/>
          <w:szCs w:val="22"/>
          <w:highlight w:val="none"/>
          <w:u w:val="single"/>
          <w:lang w:val="zh-CN" w:eastAsia="zh-CN" w:bidi="zh-CN"/>
        </w:rPr>
        <w:tab/>
      </w:r>
      <w:r>
        <w:rPr>
          <w:rFonts w:hint="eastAsia" w:ascii="宋体" w:hAnsi="宋体" w:eastAsia="宋体" w:cs="宋体"/>
          <w:bCs w:val="0"/>
          <w:color w:val="auto"/>
          <w:spacing w:val="0"/>
          <w:w w:val="100"/>
          <w:kern w:val="0"/>
          <w:sz w:val="22"/>
          <w:szCs w:val="22"/>
          <w:highlight w:val="none"/>
          <w:lang w:val="zh-CN" w:eastAsia="zh-CN" w:bidi="zh-CN"/>
        </w:rPr>
        <w:t>；</w:t>
      </w:r>
    </w:p>
    <w:p>
      <w:pPr>
        <w:keepNext w:val="0"/>
        <w:keepLines w:val="0"/>
        <w:pageBreakBefore w:val="0"/>
        <w:widowControl w:val="0"/>
        <w:tabs>
          <w:tab w:val="left" w:pos="3888"/>
          <w:tab w:val="left" w:pos="5567"/>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2、 其他项目</w:t>
      </w:r>
      <w:r>
        <w:rPr>
          <w:rFonts w:hint="eastAsia" w:ascii="宋体" w:hAnsi="宋体" w:eastAsia="宋体" w:cs="宋体"/>
          <w:bCs w:val="0"/>
          <w:color w:val="auto"/>
          <w:spacing w:val="0"/>
          <w:w w:val="100"/>
          <w:kern w:val="0"/>
          <w:sz w:val="21"/>
          <w:szCs w:val="21"/>
          <w:highlight w:val="none"/>
          <w:u w:val="single"/>
          <w:lang w:val="zh-CN" w:eastAsia="zh-CN" w:bidi="zh-CN"/>
        </w:rPr>
        <w:t xml:space="preserve"> </w:t>
      </w:r>
      <w:r>
        <w:rPr>
          <w:rFonts w:hint="eastAsia" w:ascii="宋体" w:hAnsi="宋体" w:eastAsia="宋体" w:cs="宋体"/>
          <w:bCs w:val="0"/>
          <w:color w:val="auto"/>
          <w:spacing w:val="0"/>
          <w:w w:val="100"/>
          <w:kern w:val="0"/>
          <w:sz w:val="21"/>
          <w:szCs w:val="21"/>
          <w:highlight w:val="none"/>
          <w:u w:val="single"/>
          <w:lang w:val="zh-CN" w:eastAsia="zh-CN" w:bidi="zh-CN"/>
        </w:rPr>
        <w:tab/>
      </w:r>
      <w:r>
        <w:rPr>
          <w:rFonts w:hint="eastAsia" w:ascii="宋体" w:hAnsi="宋体" w:eastAsia="宋体" w:cs="宋体"/>
          <w:b/>
          <w:bCs w:val="0"/>
          <w:color w:val="auto"/>
          <w:spacing w:val="0"/>
          <w:w w:val="100"/>
          <w:kern w:val="0"/>
          <w:sz w:val="21"/>
          <w:szCs w:val="21"/>
          <w:highlight w:val="none"/>
          <w:u w:val="single"/>
          <w:lang w:val="zh-CN" w:eastAsia="zh-CN" w:bidi="zh-CN"/>
        </w:rPr>
        <w:t>无</w:t>
      </w:r>
      <w:r>
        <w:rPr>
          <w:rFonts w:hint="eastAsia" w:ascii="宋体" w:hAnsi="宋体" w:eastAsia="宋体" w:cs="宋体"/>
          <w:b/>
          <w:bCs w:val="0"/>
          <w:color w:val="auto"/>
          <w:spacing w:val="0"/>
          <w:w w:val="100"/>
          <w:kern w:val="0"/>
          <w:sz w:val="21"/>
          <w:szCs w:val="21"/>
          <w:highlight w:val="none"/>
          <w:u w:val="single"/>
          <w:lang w:val="zh-CN" w:eastAsia="zh-CN" w:bidi="zh-CN"/>
        </w:rPr>
        <w:tab/>
      </w:r>
      <w:r>
        <w:rPr>
          <w:rFonts w:hint="eastAsia" w:ascii="宋体" w:hAnsi="宋体" w:eastAsia="宋体" w:cs="宋体"/>
          <w:bCs w:val="0"/>
          <w:color w:val="auto"/>
          <w:spacing w:val="0"/>
          <w:w w:val="100"/>
          <w:kern w:val="0"/>
          <w:sz w:val="21"/>
          <w:szCs w:val="21"/>
          <w:highlight w:val="none"/>
          <w:lang w:val="zh-CN" w:eastAsia="zh-CN" w:bidi="zh-CN"/>
        </w:rPr>
        <w:t>。</w:t>
      </w:r>
    </w:p>
    <w:p>
      <w:pPr>
        <w:keepNext w:val="0"/>
        <w:keepLines w:val="0"/>
        <w:pageBreakBefore w:val="0"/>
        <w:widowControl w:val="0"/>
        <w:numPr>
          <w:ilvl w:val="0"/>
          <w:numId w:val="25"/>
        </w:numPr>
        <w:tabs>
          <w:tab w:val="left" w:pos="2480"/>
        </w:tabs>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质量保修责任</w:t>
      </w:r>
    </w:p>
    <w:p>
      <w:pPr>
        <w:keepNext w:val="0"/>
        <w:keepLines w:val="0"/>
        <w:pageBreakBefore w:val="0"/>
        <w:widowControl w:val="0"/>
        <w:numPr>
          <w:ilvl w:val="1"/>
          <w:numId w:val="25"/>
        </w:numPr>
        <w:tabs>
          <w:tab w:val="left" w:pos="2476"/>
        </w:tabs>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属于保修范围的项目，承包人应在接到通知后的 7 天内派人保修。承包人不在约定期限内派人保修，发包人可自行或指派第三方保修。</w:t>
      </w:r>
    </w:p>
    <w:p>
      <w:pPr>
        <w:keepNext w:val="0"/>
        <w:keepLines w:val="0"/>
        <w:pageBreakBefore w:val="0"/>
        <w:widowControl w:val="0"/>
        <w:numPr>
          <w:ilvl w:val="1"/>
          <w:numId w:val="25"/>
        </w:numPr>
        <w:tabs>
          <w:tab w:val="left" w:pos="2473"/>
        </w:tabs>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发生紧急抢修事故的，承包人在接到通知后，应立即到达事故现场抢修。</w:t>
      </w:r>
    </w:p>
    <w:p>
      <w:pPr>
        <w:keepNext w:val="0"/>
        <w:keepLines w:val="0"/>
        <w:pageBreakBefore w:val="0"/>
        <w:widowControl w:val="0"/>
        <w:numPr>
          <w:ilvl w:val="1"/>
          <w:numId w:val="25"/>
        </w:numPr>
        <w:tabs>
          <w:tab w:val="left" w:pos="2476"/>
        </w:tabs>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在国家规定的工程合理使用期限内，承包人应确保本合同工程的安全和质量。凡出现其质量问题，应立即报告当地建设行政主管部门，由设计单位提出保修方案，承包人应立即实施保修。</w:t>
      </w:r>
    </w:p>
    <w:p>
      <w:pPr>
        <w:keepNext w:val="0"/>
        <w:keepLines w:val="0"/>
        <w:pageBreakBefore w:val="0"/>
        <w:widowControl w:val="0"/>
        <w:numPr>
          <w:ilvl w:val="1"/>
          <w:numId w:val="25"/>
        </w:numPr>
        <w:tabs>
          <w:tab w:val="left" w:pos="2473"/>
        </w:tabs>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质量保修完成后，由发包人组织验收。</w:t>
      </w:r>
    </w:p>
    <w:p>
      <w:pPr>
        <w:keepNext w:val="0"/>
        <w:keepLines w:val="0"/>
        <w:pageBreakBefore w:val="0"/>
        <w:widowControl w:val="0"/>
        <w:numPr>
          <w:ilvl w:val="0"/>
          <w:numId w:val="25"/>
        </w:numPr>
        <w:tabs>
          <w:tab w:val="left" w:pos="2480"/>
        </w:tabs>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质量保修费用</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质量保修费用及相关的损害赔偿费，由造成质量缺陷的责任方承担。</w:t>
      </w:r>
    </w:p>
    <w:p>
      <w:pPr>
        <w:keepNext w:val="0"/>
        <w:keepLines w:val="0"/>
        <w:pageBreakBefore w:val="0"/>
        <w:widowControl w:val="0"/>
        <w:numPr>
          <w:ilvl w:val="0"/>
          <w:numId w:val="25"/>
        </w:numPr>
        <w:tabs>
          <w:tab w:val="left" w:pos="2316"/>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19"/>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质量保证金</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质量保证金的使用、约定和支付与本合同第九条第 2 点以及第十二条的规定一致。</w:t>
      </w:r>
    </w:p>
    <w:p>
      <w:pPr>
        <w:keepNext w:val="0"/>
        <w:keepLines w:val="0"/>
        <w:pageBreakBefore w:val="0"/>
        <w:widowControl w:val="0"/>
        <w:numPr>
          <w:ilvl w:val="0"/>
          <w:numId w:val="25"/>
        </w:numPr>
        <w:tabs>
          <w:tab w:val="left" w:pos="2376"/>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19"/>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其它</w:t>
      </w:r>
    </w:p>
    <w:p>
      <w:pPr>
        <w:keepNext w:val="0"/>
        <w:keepLines w:val="0"/>
        <w:pageBreakBefore w:val="0"/>
        <w:widowControl w:val="0"/>
        <w:numPr>
          <w:ilvl w:val="1"/>
          <w:numId w:val="25"/>
        </w:numPr>
        <w:tabs>
          <w:tab w:val="left" w:pos="2473"/>
        </w:tabs>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双方约定的其它工程质量保修事项：</w:t>
      </w:r>
      <w:r>
        <w:rPr>
          <w:rFonts w:hint="eastAsia" w:ascii="宋体" w:hAnsi="宋体" w:eastAsia="宋体" w:cs="宋体"/>
          <w:bCs w:val="0"/>
          <w:color w:val="auto"/>
          <w:spacing w:val="0"/>
          <w:w w:val="100"/>
          <w:kern w:val="0"/>
          <w:sz w:val="21"/>
          <w:szCs w:val="22"/>
          <w:highlight w:val="none"/>
          <w:u w:val="single"/>
          <w:lang w:val="zh-CN" w:eastAsia="zh-CN" w:bidi="zh-CN"/>
        </w:rPr>
        <w:t xml:space="preserve"> 无   </w:t>
      </w:r>
    </w:p>
    <w:p>
      <w:pPr>
        <w:keepNext w:val="0"/>
        <w:keepLines w:val="0"/>
        <w:pageBreakBefore w:val="0"/>
        <w:widowControl w:val="0"/>
        <w:numPr>
          <w:ilvl w:val="1"/>
          <w:numId w:val="25"/>
        </w:numPr>
        <w:tabs>
          <w:tab w:val="left" w:pos="2475"/>
          <w:tab w:val="left" w:pos="2476"/>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本工程质量保修书，由发包人承包人在工程竣工验收前签署，作为合同附件，其有效期限至保修期满。</w:t>
      </w:r>
    </w:p>
    <w:p>
      <w:pPr>
        <w:keepNext w:val="0"/>
        <w:keepLines w:val="0"/>
        <w:pageBreakBefore w:val="0"/>
        <w:widowControl w:val="0"/>
        <w:numPr>
          <w:ilvl w:val="1"/>
          <w:numId w:val="25"/>
        </w:numPr>
        <w:tabs>
          <w:tab w:val="left" w:pos="2264"/>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、属于保修范围和内容的项目。承包人应在接到修理通知之日后 7 天派人修理。承包人不在约定期限内派人修理，发包人可委托第三方修理，修理费从质量质保金内扣除。</w:t>
      </w:r>
    </w:p>
    <w:p>
      <w:pPr>
        <w:keepNext w:val="0"/>
        <w:keepLines w:val="0"/>
        <w:pageBreakBefore w:val="0"/>
        <w:widowControl w:val="0"/>
        <w:tabs>
          <w:tab w:val="left" w:pos="6199"/>
        </w:tabs>
        <w:kinsoku/>
        <w:wordWrap/>
        <w:overflowPunct/>
        <w:topLinePunct w:val="0"/>
        <w:autoSpaceDE w:val="0"/>
        <w:autoSpaceDN w:val="0"/>
        <w:bidi w:val="0"/>
        <w:adjustRightInd/>
        <w:spacing w:before="0" w:after="0" w:line="240"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发 包 人 （公章）：</w:t>
      </w:r>
      <w:r>
        <w:rPr>
          <w:rFonts w:hint="eastAsia" w:ascii="宋体" w:hAnsi="宋体" w:eastAsia="宋体" w:cs="宋体"/>
          <w:bCs w:val="0"/>
          <w:color w:val="auto"/>
          <w:spacing w:val="0"/>
          <w:w w:val="100"/>
          <w:kern w:val="0"/>
          <w:sz w:val="21"/>
          <w:szCs w:val="21"/>
          <w:highlight w:val="none"/>
          <w:lang w:val="zh-CN" w:eastAsia="zh-CN" w:bidi="zh-CN"/>
        </w:rPr>
        <w:tab/>
      </w:r>
      <w:r>
        <w:rPr>
          <w:rFonts w:hint="eastAsia" w:ascii="宋体" w:hAnsi="宋体" w:eastAsia="宋体" w:cs="宋体"/>
          <w:bCs w:val="0"/>
          <w:color w:val="auto"/>
          <w:spacing w:val="0"/>
          <w:w w:val="100"/>
          <w:kern w:val="0"/>
          <w:sz w:val="21"/>
          <w:szCs w:val="21"/>
          <w:highlight w:val="none"/>
          <w:lang w:val="zh-CN" w:eastAsia="zh-CN" w:bidi="zh-CN"/>
        </w:rPr>
        <w:t>承 包 人 （公章）：</w:t>
      </w:r>
    </w:p>
    <w:p>
      <w:pPr>
        <w:keepNext w:val="0"/>
        <w:keepLines w:val="0"/>
        <w:pageBreakBefore w:val="0"/>
        <w:widowControl w:val="0"/>
        <w:tabs>
          <w:tab w:val="left" w:pos="6199"/>
        </w:tabs>
        <w:kinsoku/>
        <w:wordWrap/>
        <w:overflowPunct/>
        <w:topLinePunct w:val="0"/>
        <w:autoSpaceDE w:val="0"/>
        <w:autoSpaceDN w:val="0"/>
        <w:bidi w:val="0"/>
        <w:adjustRightInd/>
        <w:spacing w:before="0" w:after="0" w:line="240"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法定代表人（或授权代表）：</w:t>
      </w:r>
      <w:r>
        <w:rPr>
          <w:rFonts w:hint="eastAsia" w:ascii="宋体" w:hAnsi="宋体" w:eastAsia="宋体" w:cs="宋体"/>
          <w:bCs w:val="0"/>
          <w:color w:val="auto"/>
          <w:spacing w:val="0"/>
          <w:w w:val="100"/>
          <w:kern w:val="0"/>
          <w:sz w:val="21"/>
          <w:szCs w:val="21"/>
          <w:highlight w:val="none"/>
          <w:lang w:val="zh-CN" w:eastAsia="zh-CN" w:bidi="zh-CN"/>
        </w:rPr>
        <w:tab/>
      </w:r>
      <w:r>
        <w:rPr>
          <w:rFonts w:hint="eastAsia" w:ascii="宋体" w:hAnsi="宋体" w:eastAsia="宋体" w:cs="宋体"/>
          <w:bCs w:val="0"/>
          <w:color w:val="auto"/>
          <w:spacing w:val="0"/>
          <w:w w:val="100"/>
          <w:kern w:val="0"/>
          <w:sz w:val="21"/>
          <w:szCs w:val="21"/>
          <w:highlight w:val="none"/>
          <w:lang w:val="zh-CN" w:eastAsia="zh-CN" w:bidi="zh-CN"/>
        </w:rPr>
        <w:t>法定代表人（或授权代表）：</w:t>
      </w:r>
    </w:p>
    <w:p>
      <w:pPr>
        <w:keepNext w:val="0"/>
        <w:keepLines w:val="0"/>
        <w:pageBreakBefore w:val="0"/>
        <w:widowControl w:val="0"/>
        <w:tabs>
          <w:tab w:val="left" w:pos="3154"/>
          <w:tab w:val="left" w:pos="3574"/>
          <w:tab w:val="left" w:pos="6094"/>
          <w:tab w:val="left" w:pos="7354"/>
        </w:tabs>
        <w:kinsoku/>
        <w:wordWrap/>
        <w:overflowPunct/>
        <w:topLinePunct w:val="0"/>
        <w:autoSpaceDE w:val="0"/>
        <w:autoSpaceDN w:val="0"/>
        <w:bidi w:val="0"/>
        <w:adjustRightInd/>
        <w:spacing w:before="0" w:after="0" w:line="240"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u w:val="single"/>
          <w:lang w:val="zh-CN" w:eastAsia="zh-CN" w:bidi="zh-CN"/>
        </w:rPr>
        <w:t>2020 年</w:t>
      </w:r>
      <w:r>
        <w:rPr>
          <w:rFonts w:hint="eastAsia" w:ascii="宋体" w:hAnsi="宋体" w:eastAsia="宋体" w:cs="宋体"/>
          <w:bCs w:val="0"/>
          <w:color w:val="auto"/>
          <w:spacing w:val="0"/>
          <w:w w:val="100"/>
          <w:kern w:val="0"/>
          <w:sz w:val="21"/>
          <w:szCs w:val="21"/>
          <w:highlight w:val="none"/>
          <w:u w:val="single"/>
          <w:lang w:val="en-US" w:eastAsia="zh-CN" w:bidi="zh-CN"/>
        </w:rPr>
        <w:t xml:space="preserve"> </w:t>
      </w:r>
      <w:r>
        <w:rPr>
          <w:rFonts w:hint="eastAsia" w:ascii="宋体" w:hAnsi="宋体" w:eastAsia="宋体" w:cs="宋体"/>
          <w:bCs w:val="0"/>
          <w:color w:val="auto"/>
          <w:spacing w:val="0"/>
          <w:w w:val="100"/>
          <w:kern w:val="0"/>
          <w:sz w:val="21"/>
          <w:szCs w:val="21"/>
          <w:highlight w:val="none"/>
          <w:u w:val="single"/>
          <w:lang w:val="zh-CN" w:eastAsia="zh-CN" w:bidi="zh-CN"/>
        </w:rPr>
        <w:tab/>
      </w:r>
      <w:r>
        <w:rPr>
          <w:rFonts w:hint="eastAsia" w:ascii="宋体" w:hAnsi="宋体" w:eastAsia="宋体" w:cs="宋体"/>
          <w:bCs w:val="0"/>
          <w:color w:val="auto"/>
          <w:spacing w:val="0"/>
          <w:w w:val="100"/>
          <w:kern w:val="0"/>
          <w:sz w:val="21"/>
          <w:szCs w:val="21"/>
          <w:highlight w:val="none"/>
          <w:u w:val="single"/>
          <w:lang w:val="zh-CN" w:eastAsia="zh-CN" w:bidi="zh-CN"/>
        </w:rPr>
        <w:t>月</w:t>
      </w:r>
      <w:r>
        <w:rPr>
          <w:rFonts w:hint="eastAsia" w:ascii="宋体" w:hAnsi="宋体" w:eastAsia="宋体" w:cs="宋体"/>
          <w:bCs w:val="0"/>
          <w:color w:val="auto"/>
          <w:spacing w:val="0"/>
          <w:w w:val="100"/>
          <w:kern w:val="0"/>
          <w:sz w:val="21"/>
          <w:szCs w:val="21"/>
          <w:highlight w:val="none"/>
          <w:u w:val="single"/>
          <w:lang w:val="en-US" w:eastAsia="zh-CN" w:bidi="zh-CN"/>
        </w:rPr>
        <w:t xml:space="preserve">   </w:t>
      </w:r>
      <w:r>
        <w:rPr>
          <w:rFonts w:hint="eastAsia" w:ascii="宋体" w:hAnsi="宋体" w:eastAsia="宋体" w:cs="宋体"/>
          <w:bCs w:val="0"/>
          <w:color w:val="auto"/>
          <w:spacing w:val="0"/>
          <w:w w:val="100"/>
          <w:kern w:val="0"/>
          <w:sz w:val="21"/>
          <w:szCs w:val="21"/>
          <w:highlight w:val="none"/>
          <w:u w:val="single"/>
          <w:lang w:val="zh-CN" w:eastAsia="zh-CN" w:bidi="zh-CN"/>
        </w:rPr>
        <w:t>日</w:t>
      </w:r>
      <w:r>
        <w:rPr>
          <w:rFonts w:hint="eastAsia" w:ascii="宋体" w:hAnsi="宋体" w:eastAsia="宋体" w:cs="宋体"/>
          <w:bCs w:val="0"/>
          <w:color w:val="auto"/>
          <w:spacing w:val="0"/>
          <w:w w:val="100"/>
          <w:kern w:val="0"/>
          <w:sz w:val="21"/>
          <w:szCs w:val="21"/>
          <w:highlight w:val="none"/>
          <w:lang w:val="zh-CN" w:eastAsia="zh-CN" w:bidi="zh-CN"/>
        </w:rPr>
        <w:tab/>
      </w:r>
      <w:r>
        <w:rPr>
          <w:rFonts w:hint="eastAsia" w:ascii="宋体" w:hAnsi="宋体" w:eastAsia="宋体" w:cs="宋体"/>
          <w:bCs w:val="0"/>
          <w:color w:val="auto"/>
          <w:spacing w:val="0"/>
          <w:w w:val="100"/>
          <w:kern w:val="0"/>
          <w:sz w:val="21"/>
          <w:szCs w:val="21"/>
          <w:highlight w:val="none"/>
          <w:u w:val="single"/>
          <w:lang w:val="zh-CN" w:eastAsia="zh-CN" w:bidi="zh-CN"/>
        </w:rPr>
        <w:t>2020 年</w:t>
      </w:r>
      <w:r>
        <w:rPr>
          <w:rFonts w:hint="eastAsia" w:ascii="宋体" w:hAnsi="宋体" w:eastAsia="宋体" w:cs="宋体"/>
          <w:bCs w:val="0"/>
          <w:color w:val="auto"/>
          <w:spacing w:val="0"/>
          <w:w w:val="100"/>
          <w:kern w:val="0"/>
          <w:sz w:val="21"/>
          <w:szCs w:val="21"/>
          <w:highlight w:val="none"/>
          <w:u w:val="single"/>
          <w:lang w:val="en-US" w:eastAsia="zh-CN" w:bidi="zh-CN"/>
        </w:rPr>
        <w:t xml:space="preserve">  </w:t>
      </w:r>
      <w:r>
        <w:rPr>
          <w:rFonts w:hint="eastAsia" w:ascii="宋体" w:hAnsi="宋体" w:eastAsia="宋体" w:cs="宋体"/>
          <w:bCs w:val="0"/>
          <w:color w:val="auto"/>
          <w:spacing w:val="0"/>
          <w:w w:val="100"/>
          <w:kern w:val="0"/>
          <w:sz w:val="21"/>
          <w:szCs w:val="21"/>
          <w:highlight w:val="none"/>
          <w:u w:val="single"/>
          <w:lang w:val="zh-CN" w:eastAsia="zh-CN" w:bidi="zh-CN"/>
        </w:rPr>
        <w:t>月</w:t>
      </w:r>
      <w:r>
        <w:rPr>
          <w:rFonts w:hint="eastAsia" w:ascii="宋体" w:hAnsi="宋体" w:eastAsia="宋体" w:cs="宋体"/>
          <w:bCs w:val="0"/>
          <w:color w:val="auto"/>
          <w:spacing w:val="0"/>
          <w:w w:val="100"/>
          <w:kern w:val="0"/>
          <w:sz w:val="21"/>
          <w:szCs w:val="21"/>
          <w:highlight w:val="none"/>
          <w:u w:val="single"/>
          <w:lang w:val="en-US" w:eastAsia="zh-CN" w:bidi="zh-CN"/>
        </w:rPr>
        <w:t xml:space="preserve">  </w:t>
      </w:r>
      <w:r>
        <w:rPr>
          <w:rFonts w:hint="eastAsia" w:ascii="宋体" w:hAnsi="宋体" w:eastAsia="宋体" w:cs="宋体"/>
          <w:bCs w:val="0"/>
          <w:color w:val="auto"/>
          <w:spacing w:val="0"/>
          <w:w w:val="100"/>
          <w:kern w:val="0"/>
          <w:sz w:val="21"/>
          <w:szCs w:val="21"/>
          <w:highlight w:val="none"/>
          <w:u w:val="single"/>
          <w:lang w:val="zh-CN" w:eastAsia="zh-CN" w:bidi="zh-CN"/>
        </w:rPr>
        <w:t>日</w:t>
      </w:r>
    </w:p>
    <w:p>
      <w:pPr>
        <w:keepNext w:val="0"/>
        <w:keepLines w:val="0"/>
        <w:pageBreakBefore w:val="0"/>
        <w:kinsoku/>
        <w:wordWrap/>
        <w:overflowPunct/>
        <w:topLinePunct w:val="0"/>
        <w:bidi w:val="0"/>
        <w:adjustRightInd/>
        <w:spacing w:before="0" w:after="0"/>
        <w:ind w:left="0" w:leftChars="0" w:right="0"/>
        <w:rPr>
          <w:rFonts w:hint="eastAsia" w:ascii="宋体" w:hAnsi="宋体" w:eastAsia="宋体" w:cs="宋体"/>
          <w:bCs w:val="0"/>
          <w:color w:val="auto"/>
          <w:spacing w:val="0"/>
          <w:w w:val="100"/>
          <w:kern w:val="0"/>
          <w:highlight w:val="none"/>
        </w:rPr>
        <w:sectPr>
          <w:footerReference r:id="rId10" w:type="default"/>
          <w:pgSz w:w="11910" w:h="16840"/>
          <w:pgMar w:top="1440" w:right="1080" w:bottom="1440" w:left="1080" w:header="0" w:footer="609" w:gutter="0"/>
          <w:pgNumType w:fmt="decimal"/>
          <w:cols w:space="720" w:num="1"/>
        </w:sect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firstLine="420" w:firstLineChars="200"/>
        <w:jc w:val="left"/>
        <w:textAlignment w:val="auto"/>
        <w:outlineLvl w:val="1"/>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附件三：</w:t>
      </w:r>
    </w:p>
    <w:p>
      <w:pPr>
        <w:keepNext w:val="0"/>
        <w:keepLines w:val="0"/>
        <w:pageBreakBefore w:val="0"/>
        <w:kinsoku/>
        <w:wordWrap/>
        <w:overflowPunct/>
        <w:topLinePunct w:val="0"/>
        <w:bidi w:val="0"/>
        <w:adjustRightInd/>
        <w:spacing w:before="0" w:after="0" w:line="240" w:lineRule="auto"/>
        <w:ind w:left="0" w:leftChars="0" w:right="0" w:firstLine="482" w:firstLineChars="200"/>
        <w:jc w:val="center"/>
        <w:rPr>
          <w:rFonts w:hint="eastAsia" w:ascii="宋体" w:hAnsi="宋体" w:eastAsia="宋体" w:cs="宋体"/>
          <w:b/>
          <w:bCs w:val="0"/>
          <w:color w:val="auto"/>
          <w:spacing w:val="0"/>
          <w:w w:val="100"/>
          <w:kern w:val="0"/>
          <w:sz w:val="24"/>
          <w:szCs w:val="22"/>
          <w:highlight w:val="none"/>
          <w:lang w:val="zh-CN" w:bidi="zh-CN"/>
        </w:rPr>
      </w:pPr>
      <w:r>
        <w:rPr>
          <w:rFonts w:hint="eastAsia" w:ascii="宋体" w:hAnsi="宋体" w:eastAsia="宋体" w:cs="宋体"/>
          <w:b/>
          <w:bCs w:val="0"/>
          <w:color w:val="auto"/>
          <w:spacing w:val="0"/>
          <w:w w:val="100"/>
          <w:kern w:val="0"/>
          <w:sz w:val="24"/>
          <w:szCs w:val="22"/>
          <w:highlight w:val="none"/>
          <w:lang w:val="zh-CN" w:bidi="zh-CN"/>
        </w:rPr>
        <w:t>安全文明生产管理细则</w:t>
      </w:r>
    </w:p>
    <w:tbl>
      <w:tblPr>
        <w:tblStyle w:val="52"/>
        <w:tblW w:w="9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44"/>
        <w:gridCol w:w="324"/>
        <w:gridCol w:w="7431"/>
        <w:gridCol w:w="11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0" w:type="auto"/>
            <w:vAlign w:val="center"/>
          </w:tcPr>
          <w:p>
            <w:pPr>
              <w:keepNext w:val="0"/>
              <w:keepLines w:val="0"/>
              <w:pageBreakBefore w:val="0"/>
              <w:widowControl w:val="0"/>
              <w:kinsoku/>
              <w:wordWrap/>
              <w:overflowPunct/>
              <w:topLinePunct w:val="0"/>
              <w:autoSpaceDE w:val="0"/>
              <w:autoSpaceDN w:val="0"/>
              <w:bidi w:val="0"/>
              <w:adjustRightInd/>
              <w:spacing w:before="0" w:after="0" w:line="321" w:lineRule="auto"/>
              <w:ind w:left="0" w:right="0"/>
              <w:jc w:val="center"/>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检查项目</w:t>
            </w:r>
          </w:p>
        </w:tc>
        <w:tc>
          <w:tcPr>
            <w:tcW w:w="0" w:type="auto"/>
            <w:vAlign w:val="center"/>
          </w:tcPr>
          <w:p>
            <w:pPr>
              <w:keepNext w:val="0"/>
              <w:keepLines w:val="0"/>
              <w:pageBreakBefore w:val="0"/>
              <w:widowControl w:val="0"/>
              <w:kinsoku/>
              <w:wordWrap/>
              <w:overflowPunct/>
              <w:topLinePunct w:val="0"/>
              <w:autoSpaceDE w:val="0"/>
              <w:autoSpaceDN w:val="0"/>
              <w:bidi w:val="0"/>
              <w:adjustRightInd/>
              <w:spacing w:before="0" w:after="0" w:line="240" w:lineRule="auto"/>
              <w:ind w:left="0" w:leftChars="0" w:right="0"/>
              <w:jc w:val="center"/>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编号</w:t>
            </w:r>
          </w:p>
        </w:tc>
        <w:tc>
          <w:tcPr>
            <w:tcW w:w="0" w:type="auto"/>
            <w:vAlign w:val="center"/>
          </w:tcPr>
          <w:p>
            <w:pPr>
              <w:keepNext w:val="0"/>
              <w:keepLines w:val="0"/>
              <w:pageBreakBefore w:val="0"/>
              <w:widowControl w:val="0"/>
              <w:kinsoku/>
              <w:wordWrap/>
              <w:overflowPunct/>
              <w:topLinePunct w:val="0"/>
              <w:autoSpaceDE w:val="0"/>
              <w:autoSpaceDN w:val="0"/>
              <w:bidi w:val="0"/>
              <w:adjustRightInd/>
              <w:spacing w:before="0" w:after="0" w:line="240" w:lineRule="auto"/>
              <w:ind w:left="0" w:leftChars="0" w:right="0"/>
              <w:jc w:val="center"/>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检查标准</w:t>
            </w:r>
          </w:p>
        </w:tc>
        <w:tc>
          <w:tcPr>
            <w:tcW w:w="0" w:type="auto"/>
            <w:vAlign w:val="center"/>
          </w:tcPr>
          <w:p>
            <w:pPr>
              <w:keepNext w:val="0"/>
              <w:keepLines w:val="0"/>
              <w:pageBreakBefore w:val="0"/>
              <w:widowControl w:val="0"/>
              <w:kinsoku/>
              <w:wordWrap/>
              <w:overflowPunct/>
              <w:topLinePunct w:val="0"/>
              <w:autoSpaceDE w:val="0"/>
              <w:autoSpaceDN w:val="0"/>
              <w:bidi w:val="0"/>
              <w:adjustRightInd/>
              <w:spacing w:before="0" w:after="0" w:line="321" w:lineRule="auto"/>
              <w:ind w:left="0" w:leftChars="0" w:right="0" w:hanging="2"/>
              <w:jc w:val="center"/>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罚款金额(元）/ 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0" w:hRule="atLeast"/>
        </w:trPr>
        <w:tc>
          <w:tcPr>
            <w:tcW w:w="0" w:type="auto"/>
            <w:vMerge w:val="restart"/>
            <w:vAlign w:val="center"/>
          </w:tcPr>
          <w:p>
            <w:pPr>
              <w:keepNext w:val="0"/>
              <w:keepLines w:val="0"/>
              <w:pageBreakBefore w:val="0"/>
              <w:widowControl w:val="0"/>
              <w:kinsoku/>
              <w:wordWrap/>
              <w:overflowPunct/>
              <w:topLinePunct w:val="0"/>
              <w:autoSpaceDE w:val="0"/>
              <w:autoSpaceDN w:val="0"/>
              <w:bidi w:val="0"/>
              <w:adjustRightInd/>
              <w:spacing w:before="0" w:after="0" w:line="240" w:lineRule="auto"/>
              <w:ind w:left="0" w:leftChars="0" w:right="0"/>
              <w:jc w:val="center"/>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
                <w:bCs w:val="0"/>
                <w:color w:val="auto"/>
                <w:spacing w:val="0"/>
                <w:w w:val="100"/>
                <w:kern w:val="0"/>
                <w:sz w:val="21"/>
                <w:szCs w:val="21"/>
                <w:highlight w:val="none"/>
                <w:lang w:val="zh-CN" w:eastAsia="zh-CN" w:bidi="zh-CN"/>
              </w:rPr>
              <w:t>施工用电</w:t>
            </w:r>
          </w:p>
        </w:tc>
        <w:tc>
          <w:tcPr>
            <w:tcW w:w="0" w:type="auto"/>
            <w:vAlign w:val="center"/>
          </w:tcPr>
          <w:p>
            <w:pPr>
              <w:keepNext w:val="0"/>
              <w:keepLines w:val="0"/>
              <w:pageBreakBefore w:val="0"/>
              <w:widowControl w:val="0"/>
              <w:kinsoku/>
              <w:wordWrap/>
              <w:overflowPunct/>
              <w:topLinePunct w:val="0"/>
              <w:autoSpaceDE w:val="0"/>
              <w:autoSpaceDN w:val="0"/>
              <w:bidi w:val="0"/>
              <w:adjustRightInd/>
              <w:spacing w:before="0" w:after="0" w:line="321" w:lineRule="auto"/>
              <w:ind w:left="0" w:leftChars="0" w:right="0"/>
              <w:jc w:val="center"/>
              <w:rPr>
                <w:rFonts w:hint="eastAsia" w:ascii="宋体" w:hAnsi="宋体" w:eastAsia="宋体" w:cs="宋体"/>
                <w:b/>
                <w:bCs w:val="0"/>
                <w:color w:val="auto"/>
                <w:spacing w:val="0"/>
                <w:w w:val="100"/>
                <w:kern w:val="0"/>
                <w:sz w:val="21"/>
                <w:szCs w:val="21"/>
                <w:highlight w:val="none"/>
                <w:lang w:val="en-US" w:eastAsia="zh-CN" w:bidi="zh-CN"/>
              </w:rPr>
            </w:pPr>
            <w:r>
              <w:rPr>
                <w:rFonts w:hint="eastAsia" w:ascii="宋体" w:hAnsi="宋体" w:eastAsia="宋体" w:cs="宋体"/>
                <w:b/>
                <w:bCs w:val="0"/>
                <w:color w:val="auto"/>
                <w:spacing w:val="0"/>
                <w:w w:val="100"/>
                <w:kern w:val="0"/>
                <w:sz w:val="21"/>
                <w:szCs w:val="21"/>
                <w:highlight w:val="none"/>
                <w:lang w:val="en-US" w:eastAsia="zh-CN" w:bidi="zh-CN"/>
              </w:rPr>
              <w:t>1</w:t>
            </w:r>
          </w:p>
        </w:tc>
        <w:tc>
          <w:tcPr>
            <w:tcW w:w="0" w:type="auto"/>
          </w:tcPr>
          <w:p>
            <w:pPr>
              <w:keepNext w:val="0"/>
              <w:keepLines w:val="0"/>
              <w:pageBreakBefore w:val="0"/>
              <w:widowControl w:val="0"/>
              <w:numPr>
                <w:ilvl w:val="0"/>
                <w:numId w:val="26"/>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外电线路与在建工程、脚手架、起重机、机械设备保持必要的安全距离；</w:t>
            </w:r>
          </w:p>
          <w:p>
            <w:pPr>
              <w:keepNext w:val="0"/>
              <w:keepLines w:val="0"/>
              <w:pageBreakBefore w:val="0"/>
              <w:widowControl w:val="0"/>
              <w:numPr>
                <w:ilvl w:val="0"/>
                <w:numId w:val="26"/>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防护设备未设置明显警示标志；</w:t>
            </w:r>
          </w:p>
          <w:p>
            <w:pPr>
              <w:keepNext w:val="0"/>
              <w:keepLines w:val="0"/>
              <w:pageBreakBefore w:val="0"/>
              <w:widowControl w:val="0"/>
              <w:numPr>
                <w:ilvl w:val="0"/>
                <w:numId w:val="26"/>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 xml:space="preserve">接地与接零保护必须采用 TN-S 供电系统，接地（包括防雷接地）电阻符合要求； </w:t>
            </w:r>
          </w:p>
          <w:p>
            <w:pPr>
              <w:keepNext w:val="0"/>
              <w:keepLines w:val="0"/>
              <w:pageBreakBefore w:val="0"/>
              <w:widowControl w:val="0"/>
              <w:numPr>
                <w:ilvl w:val="0"/>
                <w:numId w:val="26"/>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工作接地与重复接地的设置、安装不符合要求，接地材料不符合要求；5.施工起重机、提升机、升降机、脚手架防雷设施不符合规范要求；</w:t>
            </w:r>
          </w:p>
        </w:tc>
        <w:tc>
          <w:tcPr>
            <w:tcW w:w="0" w:type="auto"/>
            <w:vAlign w:val="center"/>
          </w:tcPr>
          <w:p>
            <w:pPr>
              <w:keepNext w:val="0"/>
              <w:keepLines w:val="0"/>
              <w:pageBreakBefore w:val="0"/>
              <w:widowControl w:val="0"/>
              <w:kinsoku/>
              <w:wordWrap/>
              <w:overflowPunct/>
              <w:topLinePunct w:val="0"/>
              <w:autoSpaceDE w:val="0"/>
              <w:autoSpaceDN w:val="0"/>
              <w:bidi w:val="0"/>
              <w:adjustRightInd/>
              <w:spacing w:before="0" w:after="0" w:line="240" w:lineRule="auto"/>
              <w:ind w:left="0" w:leftChars="0" w:right="0"/>
              <w:jc w:val="center"/>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0" w:hRule="atLeast"/>
        </w:trPr>
        <w:tc>
          <w:tcPr>
            <w:tcW w:w="0" w:type="auto"/>
            <w:vMerge w:val="continue"/>
            <w:vAlign w:val="center"/>
          </w:tcPr>
          <w:p>
            <w:pPr>
              <w:keepNext w:val="0"/>
              <w:keepLines w:val="0"/>
              <w:pageBreakBefore w:val="0"/>
              <w:kinsoku/>
              <w:wordWrap/>
              <w:overflowPunct/>
              <w:topLinePunct w:val="0"/>
              <w:bidi w:val="0"/>
              <w:adjustRightInd/>
              <w:spacing w:before="0" w:after="0" w:line="240" w:lineRule="auto"/>
              <w:ind w:left="0" w:leftChars="0" w:right="0"/>
              <w:jc w:val="center"/>
              <w:rPr>
                <w:rFonts w:hint="eastAsia" w:ascii="宋体" w:hAnsi="宋体" w:eastAsia="宋体" w:cs="宋体"/>
                <w:bCs w:val="0"/>
                <w:color w:val="auto"/>
                <w:spacing w:val="0"/>
                <w:w w:val="100"/>
                <w:kern w:val="0"/>
                <w:sz w:val="21"/>
                <w:szCs w:val="21"/>
                <w:highlight w:val="none"/>
                <w:lang w:val="zh-CN" w:bidi="zh-CN"/>
              </w:rPr>
            </w:pPr>
          </w:p>
        </w:tc>
        <w:tc>
          <w:tcPr>
            <w:tcW w:w="0" w:type="auto"/>
            <w:tcBorders>
              <w:top w:val="nil"/>
            </w:tcBorders>
            <w:vAlign w:val="center"/>
          </w:tcPr>
          <w:p>
            <w:pPr>
              <w:keepNext w:val="0"/>
              <w:keepLines w:val="0"/>
              <w:pageBreakBefore w:val="0"/>
              <w:kinsoku/>
              <w:wordWrap/>
              <w:overflowPunct/>
              <w:topLinePunct w:val="0"/>
              <w:bidi w:val="0"/>
              <w:adjustRightInd/>
              <w:spacing w:before="0" w:after="0" w:line="240" w:lineRule="auto"/>
              <w:ind w:left="0" w:leftChars="0" w:right="0"/>
              <w:jc w:val="center"/>
              <w:rPr>
                <w:rFonts w:hint="eastAsia" w:ascii="宋体" w:hAnsi="宋体" w:eastAsia="宋体" w:cs="宋体"/>
                <w:bCs w:val="0"/>
                <w:color w:val="auto"/>
                <w:spacing w:val="0"/>
                <w:w w:val="100"/>
                <w:kern w:val="0"/>
                <w:sz w:val="21"/>
                <w:szCs w:val="21"/>
                <w:highlight w:val="none"/>
                <w:lang w:val="en-US" w:eastAsia="zh-CN" w:bidi="zh-CN"/>
              </w:rPr>
            </w:pPr>
            <w:r>
              <w:rPr>
                <w:rFonts w:hint="eastAsia" w:ascii="宋体" w:hAnsi="宋体" w:eastAsia="宋体" w:cs="宋体"/>
                <w:bCs w:val="0"/>
                <w:color w:val="auto"/>
                <w:spacing w:val="0"/>
                <w:w w:val="100"/>
                <w:kern w:val="0"/>
                <w:sz w:val="21"/>
                <w:szCs w:val="21"/>
                <w:highlight w:val="none"/>
                <w:lang w:val="en-US" w:eastAsia="zh-CN" w:bidi="zh-CN"/>
              </w:rPr>
              <w:t>2</w:t>
            </w:r>
          </w:p>
        </w:tc>
        <w:tc>
          <w:tcPr>
            <w:tcW w:w="0" w:type="auto"/>
          </w:tcPr>
          <w:p>
            <w:pPr>
              <w:keepNext w:val="0"/>
              <w:keepLines w:val="0"/>
              <w:pageBreakBefore w:val="0"/>
              <w:widowControl w:val="0"/>
              <w:numPr>
                <w:ilvl w:val="0"/>
                <w:numId w:val="27"/>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配电线路架空电缆干线按要求采用埋地或架空设，严禁沿地面明设、随地拖拉或绑在脚手架上；</w:t>
            </w:r>
          </w:p>
          <w:p>
            <w:pPr>
              <w:keepNext w:val="0"/>
              <w:keepLines w:val="0"/>
              <w:pageBreakBefore w:val="0"/>
              <w:widowControl w:val="0"/>
              <w:numPr>
                <w:ilvl w:val="0"/>
                <w:numId w:val="27"/>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严禁使用老化、破皮电线、电缆；</w:t>
            </w:r>
          </w:p>
          <w:p>
            <w:pPr>
              <w:keepNext w:val="0"/>
              <w:keepLines w:val="0"/>
              <w:pageBreakBefore w:val="0"/>
              <w:widowControl w:val="0"/>
              <w:numPr>
                <w:ilvl w:val="0"/>
                <w:numId w:val="27"/>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配电箱与开关箱采用三级配电两级保护，配电箱采用“一机一闸漏”；</w:t>
            </w:r>
          </w:p>
          <w:p>
            <w:pPr>
              <w:keepNext w:val="0"/>
              <w:keepLines w:val="0"/>
              <w:pageBreakBefore w:val="0"/>
              <w:widowControl w:val="0"/>
              <w:numPr>
                <w:ilvl w:val="0"/>
                <w:numId w:val="27"/>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箱体结构与箱内电器设置符合规范，严禁配电箱乱接电线,严禁同一个开关电器控制两个及以上用电设备（含插座）；</w:t>
            </w:r>
          </w:p>
          <w:p>
            <w:pPr>
              <w:keepNext w:val="0"/>
              <w:keepLines w:val="0"/>
              <w:pageBreakBefore w:val="0"/>
              <w:widowControl w:val="0"/>
              <w:numPr>
                <w:ilvl w:val="0"/>
                <w:numId w:val="27"/>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特殊场地及手执照明灯使用 36V 及以下电源。</w:t>
            </w:r>
          </w:p>
        </w:tc>
        <w:tc>
          <w:tcPr>
            <w:tcW w:w="0" w:type="auto"/>
            <w:vAlign w:val="center"/>
          </w:tcPr>
          <w:p>
            <w:pPr>
              <w:keepNext w:val="0"/>
              <w:keepLines w:val="0"/>
              <w:pageBreakBefore w:val="0"/>
              <w:widowControl w:val="0"/>
              <w:kinsoku/>
              <w:wordWrap/>
              <w:overflowPunct/>
              <w:topLinePunct w:val="0"/>
              <w:autoSpaceDE w:val="0"/>
              <w:autoSpaceDN w:val="0"/>
              <w:bidi w:val="0"/>
              <w:adjustRightInd/>
              <w:spacing w:before="0" w:after="0" w:line="240" w:lineRule="auto"/>
              <w:ind w:left="0" w:leftChars="0" w:right="0"/>
              <w:jc w:val="center"/>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7" w:hRule="atLeast"/>
        </w:trPr>
        <w:tc>
          <w:tcPr>
            <w:tcW w:w="0" w:type="auto"/>
            <w:tcBorders>
              <w:top w:val="nil"/>
            </w:tcBorders>
            <w:vAlign w:val="center"/>
          </w:tcPr>
          <w:p>
            <w:pPr>
              <w:keepNext w:val="0"/>
              <w:keepLines w:val="0"/>
              <w:pageBreakBefore w:val="0"/>
              <w:kinsoku/>
              <w:wordWrap/>
              <w:overflowPunct/>
              <w:topLinePunct w:val="0"/>
              <w:bidi w:val="0"/>
              <w:adjustRightInd/>
              <w:spacing w:before="0" w:after="0" w:line="240" w:lineRule="auto"/>
              <w:ind w:left="0" w:leftChars="0" w:right="0"/>
              <w:jc w:val="center"/>
              <w:rPr>
                <w:rFonts w:hint="eastAsia" w:ascii="宋体" w:hAnsi="宋体" w:eastAsia="宋体" w:cs="宋体"/>
                <w:bCs w:val="0"/>
                <w:color w:val="auto"/>
                <w:spacing w:val="0"/>
                <w:w w:val="100"/>
                <w:kern w:val="0"/>
                <w:sz w:val="21"/>
                <w:szCs w:val="21"/>
                <w:highlight w:val="none"/>
                <w:lang w:val="zh-CN" w:bidi="zh-CN"/>
              </w:rPr>
            </w:pPr>
            <w:r>
              <w:rPr>
                <w:rFonts w:hint="eastAsia" w:ascii="宋体" w:hAnsi="宋体" w:eastAsia="宋体" w:cs="宋体"/>
                <w:b/>
                <w:bCs w:val="0"/>
                <w:color w:val="auto"/>
                <w:spacing w:val="0"/>
                <w:w w:val="100"/>
                <w:kern w:val="0"/>
                <w:sz w:val="21"/>
                <w:szCs w:val="21"/>
                <w:highlight w:val="none"/>
                <w:lang w:val="zh-CN" w:bidi="zh-CN"/>
              </w:rPr>
              <w:t>施工机械及机具</w:t>
            </w:r>
          </w:p>
        </w:tc>
        <w:tc>
          <w:tcPr>
            <w:tcW w:w="0" w:type="auto"/>
            <w:vAlign w:val="center"/>
          </w:tcPr>
          <w:p>
            <w:pPr>
              <w:keepNext w:val="0"/>
              <w:keepLines w:val="0"/>
              <w:pageBreakBefore w:val="0"/>
              <w:widowControl w:val="0"/>
              <w:kinsoku/>
              <w:wordWrap/>
              <w:overflowPunct/>
              <w:topLinePunct w:val="0"/>
              <w:autoSpaceDE w:val="0"/>
              <w:autoSpaceDN w:val="0"/>
              <w:bidi w:val="0"/>
              <w:adjustRightInd/>
              <w:spacing w:before="0" w:after="0" w:line="321" w:lineRule="auto"/>
              <w:ind w:left="0" w:leftChars="0" w:right="0"/>
              <w:jc w:val="center"/>
              <w:rPr>
                <w:rFonts w:hint="eastAsia" w:ascii="宋体" w:hAnsi="宋体" w:eastAsia="宋体" w:cs="宋体"/>
                <w:b/>
                <w:bCs w:val="0"/>
                <w:color w:val="auto"/>
                <w:spacing w:val="0"/>
                <w:w w:val="100"/>
                <w:kern w:val="0"/>
                <w:sz w:val="21"/>
                <w:szCs w:val="21"/>
                <w:highlight w:val="none"/>
                <w:lang w:val="en-US" w:eastAsia="zh-CN" w:bidi="zh-CN"/>
              </w:rPr>
            </w:pPr>
            <w:r>
              <w:rPr>
                <w:rFonts w:hint="eastAsia" w:ascii="宋体" w:hAnsi="宋体" w:eastAsia="宋体" w:cs="宋体"/>
                <w:b/>
                <w:bCs w:val="0"/>
                <w:color w:val="auto"/>
                <w:spacing w:val="0"/>
                <w:w w:val="100"/>
                <w:kern w:val="0"/>
                <w:sz w:val="21"/>
                <w:szCs w:val="21"/>
                <w:highlight w:val="none"/>
                <w:lang w:val="en-US" w:eastAsia="zh-CN" w:bidi="zh-CN"/>
              </w:rPr>
              <w:t>3</w:t>
            </w:r>
          </w:p>
        </w:tc>
        <w:tc>
          <w:tcPr>
            <w:tcW w:w="0" w:type="auto"/>
          </w:tcPr>
          <w:p>
            <w:pPr>
              <w:keepNext w:val="0"/>
              <w:keepLines w:val="0"/>
              <w:pageBreakBefore w:val="0"/>
              <w:widowControl w:val="0"/>
              <w:numPr>
                <w:ilvl w:val="0"/>
                <w:numId w:val="28"/>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垂直提升机械（包括塔吊）必须办理登记备案和验收合格后才能使用；</w:t>
            </w:r>
          </w:p>
          <w:p>
            <w:pPr>
              <w:keepNext w:val="0"/>
              <w:keepLines w:val="0"/>
              <w:pageBreakBefore w:val="0"/>
              <w:widowControl w:val="0"/>
              <w:numPr>
                <w:ilvl w:val="0"/>
                <w:numId w:val="28"/>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按规定时间进行安全检查和保养；</w:t>
            </w:r>
          </w:p>
          <w:p>
            <w:pPr>
              <w:keepNext w:val="0"/>
              <w:keepLines w:val="0"/>
              <w:pageBreakBefore w:val="0"/>
              <w:widowControl w:val="0"/>
              <w:numPr>
                <w:ilvl w:val="0"/>
                <w:numId w:val="28"/>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操作人员需持证上岗；</w:t>
            </w:r>
          </w:p>
          <w:p>
            <w:pPr>
              <w:keepNext w:val="0"/>
              <w:keepLines w:val="0"/>
              <w:pageBreakBefore w:val="0"/>
              <w:widowControl w:val="0"/>
              <w:numPr>
                <w:ilvl w:val="0"/>
                <w:numId w:val="28"/>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钢丝绳符合要求，无安全隐患；</w:t>
            </w:r>
          </w:p>
          <w:p>
            <w:pPr>
              <w:keepNext w:val="0"/>
              <w:keepLines w:val="0"/>
              <w:pageBreakBefore w:val="0"/>
              <w:widowControl w:val="0"/>
              <w:numPr>
                <w:ilvl w:val="0"/>
                <w:numId w:val="28"/>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起重设备的安装与拆卸必须由具备资质的专业公司施工，人员持作业上岗证；</w:t>
            </w:r>
          </w:p>
          <w:p>
            <w:pPr>
              <w:keepNext w:val="0"/>
              <w:keepLines w:val="0"/>
              <w:pageBreakBefore w:val="0"/>
              <w:widowControl w:val="0"/>
              <w:numPr>
                <w:ilvl w:val="0"/>
                <w:numId w:val="28"/>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塔吊的载荷限制、行程限位、保护限位装置处于有效状态；</w:t>
            </w:r>
          </w:p>
          <w:p>
            <w:pPr>
              <w:keepNext w:val="0"/>
              <w:keepLines w:val="0"/>
              <w:pageBreakBefore w:val="0"/>
              <w:widowControl w:val="0"/>
              <w:numPr>
                <w:ilvl w:val="0"/>
                <w:numId w:val="28"/>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施工升降机的限位装置、防坠安全器、超载保护装置正常有效，防护栏、防护棚、层门符合要求；</w:t>
            </w:r>
          </w:p>
          <w:p>
            <w:pPr>
              <w:keepNext w:val="0"/>
              <w:keepLines w:val="0"/>
              <w:pageBreakBefore w:val="0"/>
              <w:widowControl w:val="0"/>
              <w:numPr>
                <w:ilvl w:val="0"/>
                <w:numId w:val="28"/>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提升机扶墙架与建筑物的连接方式与角度以及扶墙架间距符合说明书要求。</w:t>
            </w:r>
          </w:p>
        </w:tc>
        <w:tc>
          <w:tcPr>
            <w:tcW w:w="0" w:type="auto"/>
            <w:vAlign w:val="center"/>
          </w:tcPr>
          <w:p>
            <w:pPr>
              <w:keepNext w:val="0"/>
              <w:keepLines w:val="0"/>
              <w:pageBreakBefore w:val="0"/>
              <w:widowControl w:val="0"/>
              <w:kinsoku/>
              <w:wordWrap/>
              <w:overflowPunct/>
              <w:topLinePunct w:val="0"/>
              <w:autoSpaceDE w:val="0"/>
              <w:autoSpaceDN w:val="0"/>
              <w:bidi w:val="0"/>
              <w:adjustRightInd/>
              <w:spacing w:before="0" w:after="0" w:line="240" w:lineRule="auto"/>
              <w:ind w:left="0" w:leftChars="0" w:right="0"/>
              <w:jc w:val="center"/>
              <w:rPr>
                <w:rFonts w:hint="eastAsia" w:ascii="宋体" w:hAnsi="宋体" w:eastAsia="宋体" w:cs="宋体"/>
                <w:bCs w:val="0"/>
                <w:color w:val="auto"/>
                <w:spacing w:val="0"/>
                <w:w w:val="100"/>
                <w:kern w:val="0"/>
                <w:sz w:val="21"/>
                <w:szCs w:val="21"/>
                <w:highlight w:val="none"/>
                <w:lang w:val="zh-CN" w:eastAsia="zh-CN" w:bidi="zh-CN"/>
              </w:rPr>
            </w:pPr>
            <w:r>
              <w:rPr>
                <w:rFonts w:hint="eastAsia" w:ascii="宋体" w:hAnsi="宋体" w:eastAsia="宋体" w:cs="宋体"/>
                <w:bCs w:val="0"/>
                <w:color w:val="auto"/>
                <w:spacing w:val="0"/>
                <w:w w:val="100"/>
                <w:kern w:val="0"/>
                <w:sz w:val="21"/>
                <w:szCs w:val="21"/>
                <w:highlight w:val="none"/>
                <w:lang w:val="zh-CN" w:eastAsia="zh-CN" w:bidi="zh-CN"/>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0" w:type="auto"/>
            <w:vMerge w:val="restart"/>
            <w:tcBorders>
              <w:top w:val="nil"/>
            </w:tcBorders>
            <w:vAlign w:val="center"/>
          </w:tcPr>
          <w:p>
            <w:pPr>
              <w:keepNext w:val="0"/>
              <w:keepLines w:val="0"/>
              <w:pageBreakBefore w:val="0"/>
              <w:widowControl w:val="0"/>
              <w:kinsoku/>
              <w:wordWrap/>
              <w:overflowPunct/>
              <w:topLinePunct w:val="0"/>
              <w:autoSpaceDE w:val="0"/>
              <w:autoSpaceDN w:val="0"/>
              <w:bidi w:val="0"/>
              <w:adjustRightInd/>
              <w:spacing w:before="0" w:after="0" w:line="240" w:lineRule="auto"/>
              <w:ind w:left="0" w:leftChars="0" w:right="0"/>
              <w:jc w:val="center"/>
              <w:rPr>
                <w:rFonts w:hint="eastAsia" w:ascii="宋体" w:hAnsi="宋体" w:eastAsia="宋体" w:cs="宋体"/>
                <w:bCs w:val="0"/>
                <w:color w:val="auto"/>
                <w:spacing w:val="0"/>
                <w:w w:val="100"/>
                <w:kern w:val="0"/>
                <w:sz w:val="20"/>
                <w:szCs w:val="22"/>
                <w:highlight w:val="none"/>
                <w:lang w:val="zh-CN" w:eastAsia="zh-CN" w:bidi="zh-CN"/>
              </w:rPr>
            </w:pPr>
            <w:r>
              <w:rPr>
                <w:rFonts w:hint="eastAsia" w:ascii="宋体" w:hAnsi="宋体" w:eastAsia="宋体" w:cs="宋体"/>
                <w:b/>
                <w:bCs w:val="0"/>
                <w:color w:val="auto"/>
                <w:spacing w:val="0"/>
                <w:w w:val="100"/>
                <w:kern w:val="0"/>
                <w:sz w:val="21"/>
                <w:szCs w:val="22"/>
                <w:highlight w:val="none"/>
                <w:lang w:val="zh-CN" w:eastAsia="zh-CN" w:bidi="zh-CN"/>
              </w:rPr>
              <w:t>高处作业</w:t>
            </w:r>
          </w:p>
        </w:tc>
        <w:tc>
          <w:tcPr>
            <w:tcW w:w="0" w:type="auto"/>
            <w:tcBorders>
              <w:top w:val="nil"/>
            </w:tcBorders>
            <w:vAlign w:val="center"/>
          </w:tcPr>
          <w:p>
            <w:pPr>
              <w:keepNext w:val="0"/>
              <w:keepLines w:val="0"/>
              <w:pageBreakBefore w:val="0"/>
              <w:widowControl w:val="0"/>
              <w:kinsoku/>
              <w:wordWrap/>
              <w:overflowPunct/>
              <w:topLinePunct w:val="0"/>
              <w:autoSpaceDE w:val="0"/>
              <w:autoSpaceDN w:val="0"/>
              <w:bidi w:val="0"/>
              <w:adjustRightInd/>
              <w:spacing w:before="0" w:after="0" w:line="240" w:lineRule="auto"/>
              <w:ind w:left="0" w:leftChars="0" w:right="0"/>
              <w:jc w:val="center"/>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4</w:t>
            </w:r>
          </w:p>
        </w:tc>
        <w:tc>
          <w:tcPr>
            <w:tcW w:w="0" w:type="auto"/>
          </w:tcPr>
          <w:p>
            <w:pPr>
              <w:keepNext w:val="0"/>
              <w:keepLines w:val="0"/>
              <w:pageBreakBefore w:val="0"/>
              <w:widowControl w:val="0"/>
              <w:numPr>
                <w:ilvl w:val="0"/>
                <w:numId w:val="29"/>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平刨、圆盘锯、钢筋加工机、电焊机、搅拌机、振捣器加设防护罩和漏电保护器；</w:t>
            </w:r>
          </w:p>
          <w:p>
            <w:pPr>
              <w:keepNext w:val="0"/>
              <w:keepLines w:val="0"/>
              <w:pageBreakBefore w:val="0"/>
              <w:widowControl w:val="0"/>
              <w:numPr>
                <w:ilvl w:val="0"/>
                <w:numId w:val="29"/>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手持电动工具等各类施工机械二次接线长度超过规定、老化、未进行穿管保护。</w:t>
            </w:r>
          </w:p>
        </w:tc>
        <w:tc>
          <w:tcPr>
            <w:tcW w:w="0" w:type="auto"/>
            <w:tcBorders>
              <w:top w:val="nil"/>
            </w:tcBorders>
            <w:vAlign w:val="center"/>
          </w:tcPr>
          <w:p>
            <w:pPr>
              <w:keepNext w:val="0"/>
              <w:keepLines w:val="0"/>
              <w:pageBreakBefore w:val="0"/>
              <w:widowControl w:val="0"/>
              <w:kinsoku/>
              <w:wordWrap/>
              <w:overflowPunct/>
              <w:topLinePunct w:val="0"/>
              <w:autoSpaceDE w:val="0"/>
              <w:autoSpaceDN w:val="0"/>
              <w:bidi w:val="0"/>
              <w:adjustRightInd/>
              <w:spacing w:before="0" w:after="0" w:line="240" w:lineRule="auto"/>
              <w:ind w:left="0" w:leftChars="0" w:right="0"/>
              <w:jc w:val="center"/>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0" w:type="auto"/>
            <w:vMerge w:val="continue"/>
            <w:vAlign w:val="center"/>
          </w:tcPr>
          <w:p>
            <w:pPr>
              <w:keepNext w:val="0"/>
              <w:keepLines w:val="0"/>
              <w:pageBreakBefore w:val="0"/>
              <w:kinsoku/>
              <w:wordWrap/>
              <w:overflowPunct/>
              <w:topLinePunct w:val="0"/>
              <w:bidi w:val="0"/>
              <w:adjustRightInd/>
              <w:spacing w:before="0" w:after="0" w:line="240" w:lineRule="auto"/>
              <w:ind w:left="0" w:leftChars="0" w:right="0"/>
              <w:jc w:val="center"/>
              <w:rPr>
                <w:rFonts w:hint="eastAsia" w:ascii="宋体" w:hAnsi="宋体" w:eastAsia="宋体" w:cs="宋体"/>
                <w:bCs w:val="0"/>
                <w:color w:val="auto"/>
                <w:spacing w:val="0"/>
                <w:w w:val="100"/>
                <w:kern w:val="0"/>
                <w:sz w:val="2"/>
                <w:szCs w:val="2"/>
                <w:highlight w:val="none"/>
                <w:lang w:val="zh-CN" w:bidi="zh-CN"/>
              </w:rPr>
            </w:pPr>
          </w:p>
        </w:tc>
        <w:tc>
          <w:tcPr>
            <w:tcW w:w="0" w:type="auto"/>
            <w:vAlign w:val="center"/>
          </w:tcPr>
          <w:p>
            <w:pPr>
              <w:keepNext w:val="0"/>
              <w:keepLines w:val="0"/>
              <w:pageBreakBefore w:val="0"/>
              <w:widowControl w:val="0"/>
              <w:kinsoku/>
              <w:wordWrap/>
              <w:overflowPunct/>
              <w:topLinePunct w:val="0"/>
              <w:autoSpaceDE w:val="0"/>
              <w:autoSpaceDN w:val="0"/>
              <w:bidi w:val="0"/>
              <w:adjustRightInd/>
              <w:spacing w:before="0" w:after="0" w:line="321" w:lineRule="auto"/>
              <w:ind w:left="0" w:leftChars="0" w:right="0"/>
              <w:jc w:val="center"/>
              <w:rPr>
                <w:rFonts w:hint="eastAsia" w:ascii="宋体" w:hAnsi="宋体" w:eastAsia="宋体" w:cs="宋体"/>
                <w:b/>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5</w:t>
            </w:r>
          </w:p>
        </w:tc>
        <w:tc>
          <w:tcPr>
            <w:tcW w:w="0" w:type="auto"/>
          </w:tcPr>
          <w:p>
            <w:pPr>
              <w:keepNext w:val="0"/>
              <w:keepLines w:val="0"/>
              <w:pageBreakBefore w:val="0"/>
              <w:widowControl w:val="0"/>
              <w:numPr>
                <w:ilvl w:val="0"/>
                <w:numId w:val="30"/>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施工人员未佩戴安全帽或安全帽不符合规范要求；</w:t>
            </w:r>
          </w:p>
          <w:p>
            <w:pPr>
              <w:keepNext w:val="0"/>
              <w:keepLines w:val="0"/>
              <w:pageBreakBefore w:val="0"/>
              <w:widowControl w:val="0"/>
              <w:numPr>
                <w:ilvl w:val="0"/>
                <w:numId w:val="30"/>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高空作业人员未系安全带或系挂不符合要求；</w:t>
            </w:r>
          </w:p>
          <w:p>
            <w:pPr>
              <w:keepNext w:val="0"/>
              <w:keepLines w:val="0"/>
              <w:pageBreakBefore w:val="0"/>
              <w:widowControl w:val="0"/>
              <w:numPr>
                <w:ilvl w:val="0"/>
                <w:numId w:val="30"/>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悬空作业未设置防护栏杆或其他安全措施；</w:t>
            </w:r>
          </w:p>
          <w:p>
            <w:pPr>
              <w:keepNext w:val="0"/>
              <w:keepLines w:val="0"/>
              <w:pageBreakBefore w:val="0"/>
              <w:widowControl w:val="0"/>
              <w:numPr>
                <w:ilvl w:val="0"/>
                <w:numId w:val="30"/>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攀登作业梯子质量合格，制作和使用规范；</w:t>
            </w:r>
          </w:p>
        </w:tc>
        <w:tc>
          <w:tcPr>
            <w:tcW w:w="0" w:type="auto"/>
            <w:vAlign w:val="center"/>
          </w:tcPr>
          <w:p>
            <w:pPr>
              <w:keepNext w:val="0"/>
              <w:keepLines w:val="0"/>
              <w:pageBreakBefore w:val="0"/>
              <w:widowControl w:val="0"/>
              <w:kinsoku/>
              <w:wordWrap/>
              <w:overflowPunct/>
              <w:topLinePunct w:val="0"/>
              <w:autoSpaceDE w:val="0"/>
              <w:autoSpaceDN w:val="0"/>
              <w:bidi w:val="0"/>
              <w:adjustRightInd/>
              <w:spacing w:before="0" w:after="0" w:line="240" w:lineRule="auto"/>
              <w:ind w:left="0" w:leftChars="0" w:right="0"/>
              <w:jc w:val="center"/>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trPr>
        <w:tc>
          <w:tcPr>
            <w:tcW w:w="0" w:type="auto"/>
            <w:vMerge w:val="continue"/>
            <w:vAlign w:val="center"/>
          </w:tcPr>
          <w:p>
            <w:pPr>
              <w:keepNext w:val="0"/>
              <w:keepLines w:val="0"/>
              <w:pageBreakBefore w:val="0"/>
              <w:kinsoku/>
              <w:wordWrap/>
              <w:overflowPunct/>
              <w:topLinePunct w:val="0"/>
              <w:bidi w:val="0"/>
              <w:adjustRightInd/>
              <w:spacing w:before="0" w:after="0" w:line="240" w:lineRule="auto"/>
              <w:ind w:left="0" w:leftChars="0" w:right="0"/>
              <w:jc w:val="center"/>
              <w:rPr>
                <w:rFonts w:hint="eastAsia" w:ascii="宋体" w:hAnsi="宋体" w:eastAsia="宋体" w:cs="宋体"/>
                <w:bCs w:val="0"/>
                <w:color w:val="auto"/>
                <w:spacing w:val="0"/>
                <w:w w:val="100"/>
                <w:kern w:val="0"/>
                <w:sz w:val="2"/>
                <w:szCs w:val="2"/>
                <w:highlight w:val="none"/>
                <w:lang w:val="zh-CN" w:bidi="zh-CN"/>
              </w:rPr>
            </w:pPr>
          </w:p>
        </w:tc>
        <w:tc>
          <w:tcPr>
            <w:tcW w:w="0" w:type="auto"/>
            <w:tcBorders>
              <w:top w:val="nil"/>
            </w:tcBorders>
            <w:vAlign w:val="center"/>
          </w:tcPr>
          <w:p>
            <w:pPr>
              <w:keepNext w:val="0"/>
              <w:keepLines w:val="0"/>
              <w:pageBreakBefore w:val="0"/>
              <w:kinsoku/>
              <w:wordWrap/>
              <w:overflowPunct/>
              <w:topLinePunct w:val="0"/>
              <w:bidi w:val="0"/>
              <w:adjustRightInd/>
              <w:spacing w:before="0" w:after="0" w:line="240" w:lineRule="auto"/>
              <w:ind w:left="0" w:leftChars="0" w:right="0"/>
              <w:jc w:val="center"/>
              <w:rPr>
                <w:rFonts w:hint="eastAsia" w:ascii="宋体" w:hAnsi="宋体" w:eastAsia="宋体" w:cs="宋体"/>
                <w:bCs w:val="0"/>
                <w:color w:val="auto"/>
                <w:spacing w:val="0"/>
                <w:w w:val="100"/>
                <w:kern w:val="0"/>
                <w:sz w:val="2"/>
                <w:szCs w:val="2"/>
                <w:highlight w:val="none"/>
                <w:lang w:val="en-US" w:eastAsia="zh-CN" w:bidi="zh-CN"/>
              </w:rPr>
            </w:pPr>
            <w:r>
              <w:rPr>
                <w:rFonts w:hint="eastAsia" w:ascii="宋体" w:hAnsi="宋体" w:eastAsia="宋体" w:cs="宋体"/>
                <w:bCs w:val="0"/>
                <w:color w:val="auto"/>
                <w:spacing w:val="0"/>
                <w:w w:val="100"/>
                <w:kern w:val="0"/>
                <w:sz w:val="2"/>
                <w:szCs w:val="2"/>
                <w:highlight w:val="none"/>
                <w:lang w:val="en-US" w:eastAsia="zh-CN" w:bidi="zh-CN"/>
              </w:rPr>
              <w:t>6</w:t>
            </w:r>
            <w:r>
              <w:rPr>
                <w:rFonts w:hint="eastAsia" w:ascii="宋体" w:hAnsi="宋体" w:eastAsia="宋体" w:cs="宋体"/>
                <w:bCs w:val="0"/>
                <w:color w:val="auto"/>
                <w:spacing w:val="0"/>
                <w:w w:val="100"/>
                <w:kern w:val="0"/>
                <w:sz w:val="21"/>
                <w:szCs w:val="22"/>
                <w:highlight w:val="none"/>
                <w:lang w:val="zh-CN" w:bidi="zh-CN"/>
              </w:rPr>
              <w:t>6</w:t>
            </w:r>
          </w:p>
        </w:tc>
        <w:tc>
          <w:tcPr>
            <w:tcW w:w="0" w:type="auto"/>
          </w:tcPr>
          <w:p>
            <w:pPr>
              <w:keepNext w:val="0"/>
              <w:keepLines w:val="0"/>
              <w:pageBreakBefore w:val="0"/>
              <w:widowControl w:val="0"/>
              <w:numPr>
                <w:ilvl w:val="0"/>
                <w:numId w:val="31"/>
              </w:numPr>
              <w:kinsoku/>
              <w:wordWrap/>
              <w:overflowPunct/>
              <w:topLinePunct w:val="0"/>
              <w:autoSpaceDE w:val="0"/>
              <w:autoSpaceDN w:val="0"/>
              <w:bidi w:val="0"/>
              <w:adjustRightInd/>
              <w:spacing w:before="0" w:after="0" w:line="321" w:lineRule="auto"/>
              <w:ind w:left="0" w:leftChars="0" w:right="0" w:firstLine="420" w:firstLineChars="200"/>
              <w:jc w:val="both"/>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防护设施强度和构造不符合规范；</w:t>
            </w:r>
          </w:p>
          <w:p>
            <w:pPr>
              <w:keepNext w:val="0"/>
              <w:keepLines w:val="0"/>
              <w:pageBreakBefore w:val="0"/>
              <w:widowControl w:val="0"/>
              <w:numPr>
                <w:ilvl w:val="0"/>
                <w:numId w:val="31"/>
              </w:numPr>
              <w:kinsoku/>
              <w:wordWrap/>
              <w:overflowPunct/>
              <w:topLinePunct w:val="0"/>
              <w:autoSpaceDE w:val="0"/>
              <w:autoSpaceDN w:val="0"/>
              <w:bidi w:val="0"/>
              <w:adjustRightInd/>
              <w:spacing w:before="0" w:after="0" w:line="321" w:lineRule="auto"/>
              <w:ind w:left="0" w:leftChars="0" w:right="0" w:firstLine="420" w:firstLineChars="200"/>
              <w:jc w:val="both"/>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楼梯口设置 1.2M 高防护栏杆和 30CM 高踢脚杆；</w:t>
            </w:r>
          </w:p>
          <w:p>
            <w:pPr>
              <w:keepNext w:val="0"/>
              <w:keepLines w:val="0"/>
              <w:pageBreakBefore w:val="0"/>
              <w:widowControl w:val="0"/>
              <w:numPr>
                <w:ilvl w:val="0"/>
                <w:numId w:val="31"/>
              </w:numPr>
              <w:kinsoku/>
              <w:wordWrap/>
              <w:overflowPunct/>
              <w:topLinePunct w:val="0"/>
              <w:autoSpaceDE w:val="0"/>
              <w:autoSpaceDN w:val="0"/>
              <w:bidi w:val="0"/>
              <w:adjustRightInd/>
              <w:spacing w:before="0" w:after="0" w:line="321" w:lineRule="auto"/>
              <w:ind w:left="0" w:leftChars="0" w:right="0" w:firstLine="420" w:firstLineChars="200"/>
              <w:jc w:val="both"/>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阳台、楼板、屋面设置 1.2M 和 0.6M 两道水平杆；4.电梯井口设置 1.5M 防护栏杆；</w:t>
            </w:r>
          </w:p>
          <w:p>
            <w:pPr>
              <w:keepNext w:val="0"/>
              <w:keepLines w:val="0"/>
              <w:pageBreakBefore w:val="0"/>
              <w:widowControl w:val="0"/>
              <w:numPr>
                <w:ilvl w:val="0"/>
                <w:numId w:val="31"/>
              </w:numPr>
              <w:kinsoku/>
              <w:wordWrap/>
              <w:overflowPunct/>
              <w:topLinePunct w:val="0"/>
              <w:autoSpaceDE w:val="0"/>
              <w:autoSpaceDN w:val="0"/>
              <w:bidi w:val="0"/>
              <w:adjustRightInd/>
              <w:spacing w:before="0" w:after="0" w:line="321" w:lineRule="auto"/>
              <w:ind w:left="0" w:leftChars="0" w:right="0" w:firstLine="420" w:firstLineChars="200"/>
              <w:jc w:val="both"/>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电梯井内自二层楼面起不超过两层（不超过 10M）设置硬质安全防护；</w:t>
            </w:r>
          </w:p>
          <w:p>
            <w:pPr>
              <w:keepNext w:val="0"/>
              <w:keepLines w:val="0"/>
              <w:pageBreakBefore w:val="0"/>
              <w:widowControl w:val="0"/>
              <w:numPr>
                <w:ilvl w:val="0"/>
                <w:numId w:val="31"/>
              </w:numPr>
              <w:kinsoku/>
              <w:wordWrap/>
              <w:overflowPunct/>
              <w:topLinePunct w:val="0"/>
              <w:autoSpaceDE w:val="0"/>
              <w:autoSpaceDN w:val="0"/>
              <w:bidi w:val="0"/>
              <w:adjustRightInd/>
              <w:spacing w:before="0" w:after="0" w:line="321" w:lineRule="auto"/>
              <w:ind w:left="0" w:leftChars="0" w:right="0" w:firstLine="420" w:firstLineChars="200"/>
              <w:jc w:val="both"/>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预留洞口及坑井边按要求设置有效的防护；</w:t>
            </w:r>
          </w:p>
        </w:tc>
        <w:tc>
          <w:tcPr>
            <w:tcW w:w="0" w:type="auto"/>
            <w:vAlign w:val="center"/>
          </w:tcPr>
          <w:p>
            <w:pPr>
              <w:keepNext w:val="0"/>
              <w:keepLines w:val="0"/>
              <w:pageBreakBefore w:val="0"/>
              <w:widowControl w:val="0"/>
              <w:kinsoku/>
              <w:wordWrap/>
              <w:overflowPunct/>
              <w:topLinePunct w:val="0"/>
              <w:autoSpaceDE w:val="0"/>
              <w:autoSpaceDN w:val="0"/>
              <w:bidi w:val="0"/>
              <w:adjustRightInd/>
              <w:spacing w:before="0" w:after="0" w:line="240" w:lineRule="auto"/>
              <w:ind w:left="0" w:leftChars="0" w:right="0"/>
              <w:jc w:val="center"/>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trPr>
        <w:tc>
          <w:tcPr>
            <w:tcW w:w="0" w:type="auto"/>
            <w:vMerge w:val="continue"/>
            <w:vAlign w:val="center"/>
          </w:tcPr>
          <w:p>
            <w:pPr>
              <w:keepNext w:val="0"/>
              <w:keepLines w:val="0"/>
              <w:pageBreakBefore w:val="0"/>
              <w:kinsoku/>
              <w:wordWrap/>
              <w:overflowPunct/>
              <w:topLinePunct w:val="0"/>
              <w:bidi w:val="0"/>
              <w:adjustRightInd/>
              <w:spacing w:before="0" w:after="0" w:line="240" w:lineRule="auto"/>
              <w:ind w:left="0" w:leftChars="0" w:right="0"/>
              <w:jc w:val="center"/>
              <w:rPr>
                <w:rFonts w:hint="eastAsia" w:ascii="宋体" w:hAnsi="宋体" w:eastAsia="宋体" w:cs="宋体"/>
                <w:bCs w:val="0"/>
                <w:color w:val="auto"/>
                <w:spacing w:val="0"/>
                <w:w w:val="100"/>
                <w:kern w:val="0"/>
                <w:sz w:val="2"/>
                <w:szCs w:val="2"/>
                <w:highlight w:val="none"/>
                <w:lang w:val="zh-CN" w:bidi="zh-CN"/>
              </w:rPr>
            </w:pPr>
          </w:p>
        </w:tc>
        <w:tc>
          <w:tcPr>
            <w:tcW w:w="0" w:type="auto"/>
            <w:tcBorders>
              <w:top w:val="nil"/>
            </w:tcBorders>
            <w:vAlign w:val="center"/>
          </w:tcPr>
          <w:p>
            <w:pPr>
              <w:keepNext w:val="0"/>
              <w:keepLines w:val="0"/>
              <w:pageBreakBefore w:val="0"/>
              <w:widowControl w:val="0"/>
              <w:kinsoku/>
              <w:wordWrap/>
              <w:overflowPunct/>
              <w:topLinePunct w:val="0"/>
              <w:autoSpaceDE w:val="0"/>
              <w:autoSpaceDN w:val="0"/>
              <w:bidi w:val="0"/>
              <w:adjustRightInd/>
              <w:spacing w:before="0" w:after="0" w:line="240" w:lineRule="auto"/>
              <w:ind w:left="0" w:leftChars="0" w:right="0" w:rightChars="0"/>
              <w:jc w:val="center"/>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7</w:t>
            </w:r>
          </w:p>
        </w:tc>
        <w:tc>
          <w:tcPr>
            <w:tcW w:w="0" w:type="auto"/>
          </w:tcPr>
          <w:p>
            <w:pPr>
              <w:keepNext w:val="0"/>
              <w:keepLines w:val="0"/>
              <w:pageBreakBefore w:val="0"/>
              <w:widowControl w:val="0"/>
              <w:numPr>
                <w:ilvl w:val="0"/>
                <w:numId w:val="32"/>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防护棚两侧未封闭或防护不牢固；</w:t>
            </w:r>
          </w:p>
          <w:p>
            <w:pPr>
              <w:keepNext w:val="0"/>
              <w:keepLines w:val="0"/>
              <w:pageBreakBefore w:val="0"/>
              <w:widowControl w:val="0"/>
              <w:numPr>
                <w:ilvl w:val="0"/>
                <w:numId w:val="32"/>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建筑物超过 24m 防护棚未采用双层防护；</w:t>
            </w:r>
          </w:p>
          <w:p>
            <w:pPr>
              <w:keepNext w:val="0"/>
              <w:keepLines w:val="0"/>
              <w:pageBreakBefore w:val="0"/>
              <w:widowControl w:val="0"/>
              <w:numPr>
                <w:ilvl w:val="0"/>
                <w:numId w:val="32"/>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悬挑平台下部支撑系统或上部拉结点设置在建筑物结构上；</w:t>
            </w:r>
          </w:p>
          <w:p>
            <w:pPr>
              <w:keepNext w:val="0"/>
              <w:keepLines w:val="0"/>
              <w:pageBreakBefore w:val="0"/>
              <w:widowControl w:val="0"/>
              <w:numPr>
                <w:ilvl w:val="0"/>
                <w:numId w:val="32"/>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斜拉杆或钢丝绳按要求在两侧各设置两道；</w:t>
            </w:r>
          </w:p>
          <w:p>
            <w:pPr>
              <w:keepNext w:val="0"/>
              <w:keepLines w:val="0"/>
              <w:pageBreakBefore w:val="0"/>
              <w:widowControl w:val="0"/>
              <w:numPr>
                <w:ilvl w:val="0"/>
                <w:numId w:val="32"/>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按要求设置固定防护栏杆或挡脚板，平台和建筑结构之间铺设严密；</w:t>
            </w:r>
          </w:p>
          <w:p>
            <w:pPr>
              <w:keepNext w:val="0"/>
              <w:keepLines w:val="0"/>
              <w:pageBreakBefore w:val="0"/>
              <w:widowControl w:val="0"/>
              <w:numPr>
                <w:ilvl w:val="0"/>
                <w:numId w:val="32"/>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未在平台明显处设置核准限定牌。</w:t>
            </w:r>
          </w:p>
        </w:tc>
        <w:tc>
          <w:tcPr>
            <w:tcW w:w="0" w:type="auto"/>
            <w:vAlign w:val="center"/>
          </w:tcPr>
          <w:p>
            <w:pPr>
              <w:keepNext w:val="0"/>
              <w:keepLines w:val="0"/>
              <w:pageBreakBefore w:val="0"/>
              <w:widowControl w:val="0"/>
              <w:kinsoku/>
              <w:wordWrap/>
              <w:overflowPunct/>
              <w:topLinePunct w:val="0"/>
              <w:autoSpaceDE w:val="0"/>
              <w:autoSpaceDN w:val="0"/>
              <w:bidi w:val="0"/>
              <w:adjustRightInd/>
              <w:spacing w:before="0" w:after="0" w:line="240" w:lineRule="auto"/>
              <w:ind w:left="0" w:leftChars="0" w:right="0"/>
              <w:jc w:val="center"/>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0" w:type="auto"/>
            <w:vMerge w:val="restart"/>
            <w:tcBorders>
              <w:top w:val="nil"/>
            </w:tcBorders>
            <w:vAlign w:val="center"/>
          </w:tcPr>
          <w:p>
            <w:pPr>
              <w:keepNext w:val="0"/>
              <w:keepLines w:val="0"/>
              <w:pageBreakBefore w:val="0"/>
              <w:kinsoku/>
              <w:wordWrap/>
              <w:overflowPunct/>
              <w:topLinePunct w:val="0"/>
              <w:bidi w:val="0"/>
              <w:adjustRightInd/>
              <w:spacing w:before="0" w:after="0" w:line="240" w:lineRule="auto"/>
              <w:ind w:left="0" w:leftChars="0" w:right="0"/>
              <w:jc w:val="center"/>
              <w:rPr>
                <w:rFonts w:hint="eastAsia" w:ascii="宋体" w:hAnsi="宋体" w:eastAsia="宋体" w:cs="宋体"/>
                <w:bCs w:val="0"/>
                <w:color w:val="auto"/>
                <w:spacing w:val="0"/>
                <w:w w:val="100"/>
                <w:kern w:val="0"/>
                <w:sz w:val="2"/>
                <w:szCs w:val="2"/>
                <w:highlight w:val="none"/>
                <w:lang w:val="zh-CN" w:bidi="zh-CN"/>
              </w:rPr>
            </w:pPr>
            <w:r>
              <w:rPr>
                <w:rFonts w:hint="eastAsia" w:ascii="宋体" w:hAnsi="宋体" w:eastAsia="宋体" w:cs="宋体"/>
                <w:b/>
                <w:bCs w:val="0"/>
                <w:color w:val="auto"/>
                <w:spacing w:val="0"/>
                <w:w w:val="100"/>
                <w:kern w:val="0"/>
                <w:sz w:val="21"/>
                <w:szCs w:val="22"/>
                <w:highlight w:val="none"/>
                <w:lang w:val="zh-CN" w:bidi="zh-CN"/>
              </w:rPr>
              <w:t>安全生产</w:t>
            </w:r>
          </w:p>
        </w:tc>
        <w:tc>
          <w:tcPr>
            <w:tcW w:w="0" w:type="auto"/>
            <w:vAlign w:val="center"/>
          </w:tcPr>
          <w:p>
            <w:pPr>
              <w:keepNext w:val="0"/>
              <w:keepLines w:val="0"/>
              <w:pageBreakBefore w:val="0"/>
              <w:widowControl w:val="0"/>
              <w:kinsoku/>
              <w:wordWrap/>
              <w:overflowPunct/>
              <w:topLinePunct w:val="0"/>
              <w:autoSpaceDE w:val="0"/>
              <w:autoSpaceDN w:val="0"/>
              <w:bidi w:val="0"/>
              <w:adjustRightInd/>
              <w:spacing w:before="0" w:after="0" w:line="321" w:lineRule="auto"/>
              <w:ind w:left="0" w:leftChars="0" w:right="0"/>
              <w:jc w:val="center"/>
              <w:rPr>
                <w:rFonts w:hint="eastAsia" w:ascii="宋体" w:hAnsi="宋体" w:eastAsia="宋体" w:cs="宋体"/>
                <w:b/>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8</w:t>
            </w:r>
          </w:p>
        </w:tc>
        <w:tc>
          <w:tcPr>
            <w:tcW w:w="0" w:type="auto"/>
          </w:tcPr>
          <w:p>
            <w:pPr>
              <w:keepNext w:val="0"/>
              <w:keepLines w:val="0"/>
              <w:pageBreakBefore w:val="0"/>
              <w:widowControl w:val="0"/>
              <w:numPr>
                <w:ilvl w:val="0"/>
                <w:numId w:val="33"/>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进入现场人员必须佩戴安全帽；</w:t>
            </w:r>
          </w:p>
          <w:p>
            <w:pPr>
              <w:keepNext w:val="0"/>
              <w:keepLines w:val="0"/>
              <w:pageBreakBefore w:val="0"/>
              <w:widowControl w:val="0"/>
              <w:numPr>
                <w:ilvl w:val="0"/>
                <w:numId w:val="33"/>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禁止高空抛物；</w:t>
            </w:r>
          </w:p>
          <w:p>
            <w:pPr>
              <w:keepNext w:val="0"/>
              <w:keepLines w:val="0"/>
              <w:pageBreakBefore w:val="0"/>
              <w:widowControl w:val="0"/>
              <w:numPr>
                <w:ilvl w:val="0"/>
                <w:numId w:val="33"/>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在建工程 内不得住人；</w:t>
            </w:r>
          </w:p>
          <w:p>
            <w:pPr>
              <w:keepNext w:val="0"/>
              <w:keepLines w:val="0"/>
              <w:pageBreakBefore w:val="0"/>
              <w:widowControl w:val="0"/>
              <w:numPr>
                <w:ilvl w:val="0"/>
                <w:numId w:val="33"/>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施工用火、电焊须注意周围包括下部的易燃品保护;</w:t>
            </w:r>
          </w:p>
          <w:p>
            <w:pPr>
              <w:keepNext w:val="0"/>
              <w:keepLines w:val="0"/>
              <w:pageBreakBefore w:val="0"/>
              <w:widowControl w:val="0"/>
              <w:numPr>
                <w:ilvl w:val="0"/>
                <w:numId w:val="33"/>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未经批准不得明火作业。</w:t>
            </w:r>
          </w:p>
        </w:tc>
        <w:tc>
          <w:tcPr>
            <w:tcW w:w="0" w:type="auto"/>
            <w:vAlign w:val="center"/>
          </w:tcPr>
          <w:p>
            <w:pPr>
              <w:keepNext w:val="0"/>
              <w:keepLines w:val="0"/>
              <w:pageBreakBefore w:val="0"/>
              <w:widowControl w:val="0"/>
              <w:kinsoku/>
              <w:wordWrap/>
              <w:overflowPunct/>
              <w:topLinePunct w:val="0"/>
              <w:autoSpaceDE w:val="0"/>
              <w:autoSpaceDN w:val="0"/>
              <w:bidi w:val="0"/>
              <w:adjustRightInd/>
              <w:spacing w:before="0" w:after="0" w:line="240" w:lineRule="auto"/>
              <w:ind w:left="0" w:leftChars="0" w:right="0"/>
              <w:jc w:val="center"/>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0" w:type="auto"/>
            <w:vMerge w:val="continue"/>
            <w:vAlign w:val="center"/>
          </w:tcPr>
          <w:p>
            <w:pPr>
              <w:keepNext w:val="0"/>
              <w:keepLines w:val="0"/>
              <w:pageBreakBefore w:val="0"/>
              <w:kinsoku/>
              <w:wordWrap/>
              <w:overflowPunct/>
              <w:topLinePunct w:val="0"/>
              <w:bidi w:val="0"/>
              <w:adjustRightInd/>
              <w:spacing w:before="0" w:after="0" w:line="240" w:lineRule="auto"/>
              <w:ind w:left="0" w:leftChars="0" w:right="0"/>
              <w:jc w:val="center"/>
              <w:rPr>
                <w:rFonts w:hint="eastAsia" w:ascii="宋体" w:hAnsi="宋体" w:eastAsia="宋体" w:cs="宋体"/>
                <w:bCs w:val="0"/>
                <w:color w:val="auto"/>
                <w:spacing w:val="0"/>
                <w:w w:val="100"/>
                <w:kern w:val="0"/>
                <w:sz w:val="2"/>
                <w:szCs w:val="2"/>
                <w:highlight w:val="none"/>
                <w:lang w:val="zh-CN" w:bidi="zh-CN"/>
              </w:rPr>
            </w:pPr>
          </w:p>
        </w:tc>
        <w:tc>
          <w:tcPr>
            <w:tcW w:w="0" w:type="auto"/>
            <w:tcBorders>
              <w:top w:val="nil"/>
            </w:tcBorders>
            <w:vAlign w:val="center"/>
          </w:tcPr>
          <w:p>
            <w:pPr>
              <w:keepNext w:val="0"/>
              <w:keepLines w:val="0"/>
              <w:pageBreakBefore w:val="0"/>
              <w:kinsoku/>
              <w:wordWrap/>
              <w:overflowPunct/>
              <w:topLinePunct w:val="0"/>
              <w:bidi w:val="0"/>
              <w:adjustRightInd/>
              <w:spacing w:before="0" w:after="0" w:line="240" w:lineRule="auto"/>
              <w:ind w:left="0" w:leftChars="0" w:right="0"/>
              <w:jc w:val="center"/>
              <w:rPr>
                <w:rFonts w:hint="eastAsia" w:ascii="宋体" w:hAnsi="宋体" w:eastAsia="宋体" w:cs="宋体"/>
                <w:bCs w:val="0"/>
                <w:color w:val="auto"/>
                <w:spacing w:val="0"/>
                <w:w w:val="100"/>
                <w:kern w:val="0"/>
                <w:sz w:val="2"/>
                <w:szCs w:val="2"/>
                <w:highlight w:val="none"/>
                <w:lang w:val="zh-CN" w:bidi="zh-CN"/>
              </w:rPr>
            </w:pPr>
            <w:r>
              <w:rPr>
                <w:rFonts w:hint="eastAsia" w:ascii="宋体" w:hAnsi="宋体" w:eastAsia="宋体" w:cs="宋体"/>
                <w:bCs w:val="0"/>
                <w:color w:val="auto"/>
                <w:spacing w:val="0"/>
                <w:w w:val="100"/>
                <w:kern w:val="0"/>
                <w:sz w:val="21"/>
                <w:szCs w:val="22"/>
                <w:highlight w:val="none"/>
                <w:lang w:val="zh-CN" w:bidi="zh-CN"/>
              </w:rPr>
              <w:t>9</w:t>
            </w:r>
          </w:p>
        </w:tc>
        <w:tc>
          <w:tcPr>
            <w:tcW w:w="0" w:type="auto"/>
          </w:tcPr>
          <w:p>
            <w:pPr>
              <w:keepNext w:val="0"/>
              <w:keepLines w:val="0"/>
              <w:pageBreakBefore w:val="0"/>
              <w:widowControl w:val="0"/>
              <w:numPr>
                <w:ilvl w:val="0"/>
                <w:numId w:val="34"/>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制定消防安全生产管理制度和措施；</w:t>
            </w:r>
          </w:p>
          <w:p>
            <w:pPr>
              <w:keepNext w:val="0"/>
              <w:keepLines w:val="0"/>
              <w:pageBreakBefore w:val="0"/>
              <w:widowControl w:val="0"/>
              <w:numPr>
                <w:ilvl w:val="0"/>
                <w:numId w:val="34"/>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消防通道畅通；</w:t>
            </w:r>
          </w:p>
          <w:p>
            <w:pPr>
              <w:keepNext w:val="0"/>
              <w:keepLines w:val="0"/>
              <w:pageBreakBefore w:val="0"/>
              <w:widowControl w:val="0"/>
              <w:numPr>
                <w:ilvl w:val="0"/>
                <w:numId w:val="34"/>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易燃 材料分开堆放管理；</w:t>
            </w:r>
          </w:p>
          <w:p>
            <w:pPr>
              <w:keepNext w:val="0"/>
              <w:keepLines w:val="0"/>
              <w:pageBreakBefore w:val="0"/>
              <w:widowControl w:val="0"/>
              <w:numPr>
                <w:ilvl w:val="0"/>
                <w:numId w:val="34"/>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消防水源设置合理；</w:t>
            </w:r>
          </w:p>
          <w:p>
            <w:pPr>
              <w:keepNext w:val="0"/>
              <w:keepLines w:val="0"/>
              <w:pageBreakBefore w:val="0"/>
              <w:widowControl w:val="0"/>
              <w:numPr>
                <w:ilvl w:val="0"/>
                <w:numId w:val="34"/>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消防器材布置不合理或灭火器材失效；</w:t>
            </w:r>
          </w:p>
        </w:tc>
        <w:tc>
          <w:tcPr>
            <w:tcW w:w="0" w:type="auto"/>
            <w:vAlign w:val="center"/>
          </w:tcPr>
          <w:p>
            <w:pPr>
              <w:keepNext w:val="0"/>
              <w:keepLines w:val="0"/>
              <w:pageBreakBefore w:val="0"/>
              <w:widowControl w:val="0"/>
              <w:kinsoku/>
              <w:wordWrap/>
              <w:overflowPunct/>
              <w:topLinePunct w:val="0"/>
              <w:autoSpaceDE w:val="0"/>
              <w:autoSpaceDN w:val="0"/>
              <w:bidi w:val="0"/>
              <w:adjustRightInd/>
              <w:spacing w:before="0" w:after="0" w:line="240" w:lineRule="auto"/>
              <w:ind w:left="0" w:leftChars="0" w:right="0"/>
              <w:jc w:val="center"/>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0" w:type="auto"/>
            <w:vMerge w:val="restart"/>
            <w:tcBorders>
              <w:top w:val="nil"/>
            </w:tcBorders>
            <w:vAlign w:val="center"/>
          </w:tcPr>
          <w:p>
            <w:pPr>
              <w:keepNext w:val="0"/>
              <w:keepLines w:val="0"/>
              <w:pageBreakBefore w:val="0"/>
              <w:kinsoku/>
              <w:wordWrap/>
              <w:overflowPunct/>
              <w:topLinePunct w:val="0"/>
              <w:bidi w:val="0"/>
              <w:adjustRightInd/>
              <w:spacing w:before="0" w:after="0" w:line="240" w:lineRule="auto"/>
              <w:ind w:left="0" w:leftChars="0" w:right="0"/>
              <w:jc w:val="center"/>
              <w:rPr>
                <w:rFonts w:hint="eastAsia" w:ascii="宋体" w:hAnsi="宋体" w:eastAsia="宋体" w:cs="宋体"/>
                <w:bCs w:val="0"/>
                <w:color w:val="auto"/>
                <w:spacing w:val="0"/>
                <w:w w:val="100"/>
                <w:kern w:val="0"/>
                <w:sz w:val="2"/>
                <w:szCs w:val="2"/>
                <w:highlight w:val="none"/>
                <w:lang w:val="zh-CN" w:bidi="zh-CN"/>
              </w:rPr>
            </w:pPr>
            <w:r>
              <w:rPr>
                <w:rFonts w:hint="eastAsia" w:ascii="宋体" w:hAnsi="宋体" w:eastAsia="宋体" w:cs="宋体"/>
                <w:b/>
                <w:bCs w:val="0"/>
                <w:color w:val="auto"/>
                <w:spacing w:val="0"/>
                <w:w w:val="100"/>
                <w:kern w:val="0"/>
                <w:sz w:val="21"/>
                <w:szCs w:val="22"/>
                <w:highlight w:val="none"/>
                <w:lang w:val="zh-CN" w:bidi="zh-CN"/>
              </w:rPr>
              <w:t>文明施工</w:t>
            </w:r>
          </w:p>
        </w:tc>
        <w:tc>
          <w:tcPr>
            <w:tcW w:w="0" w:type="auto"/>
            <w:vAlign w:val="center"/>
          </w:tcPr>
          <w:p>
            <w:pPr>
              <w:keepNext w:val="0"/>
              <w:keepLines w:val="0"/>
              <w:pageBreakBefore w:val="0"/>
              <w:widowControl w:val="0"/>
              <w:kinsoku/>
              <w:wordWrap/>
              <w:overflowPunct/>
              <w:topLinePunct w:val="0"/>
              <w:autoSpaceDE w:val="0"/>
              <w:autoSpaceDN w:val="0"/>
              <w:bidi w:val="0"/>
              <w:adjustRightInd/>
              <w:spacing w:before="0" w:after="0" w:line="321" w:lineRule="auto"/>
              <w:ind w:left="0" w:leftChars="0" w:right="0"/>
              <w:jc w:val="center"/>
              <w:rPr>
                <w:rFonts w:hint="eastAsia" w:ascii="宋体" w:hAnsi="宋体" w:eastAsia="宋体" w:cs="宋体"/>
                <w:b/>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10</w:t>
            </w:r>
          </w:p>
        </w:tc>
        <w:tc>
          <w:tcPr>
            <w:tcW w:w="0" w:type="auto"/>
          </w:tcPr>
          <w:p>
            <w:pPr>
              <w:keepNext w:val="0"/>
              <w:keepLines w:val="0"/>
              <w:pageBreakBefore w:val="0"/>
              <w:widowControl w:val="0"/>
              <w:numPr>
                <w:ilvl w:val="0"/>
                <w:numId w:val="35"/>
              </w:numPr>
              <w:kinsoku/>
              <w:wordWrap/>
              <w:overflowPunct/>
              <w:topLinePunct w:val="0"/>
              <w:autoSpaceDE w:val="0"/>
              <w:autoSpaceDN w:val="0"/>
              <w:bidi w:val="0"/>
              <w:adjustRightInd/>
              <w:spacing w:before="0" w:after="0" w:line="240"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围挡按要求设置（1.8m/2.5m)；</w:t>
            </w:r>
          </w:p>
          <w:p>
            <w:pPr>
              <w:keepNext w:val="0"/>
              <w:keepLines w:val="0"/>
              <w:pageBreakBefore w:val="0"/>
              <w:widowControl w:val="0"/>
              <w:numPr>
                <w:ilvl w:val="0"/>
                <w:numId w:val="35"/>
              </w:numPr>
              <w:kinsoku/>
              <w:wordWrap/>
              <w:overflowPunct/>
              <w:topLinePunct w:val="0"/>
              <w:autoSpaceDE w:val="0"/>
              <w:autoSpaceDN w:val="0"/>
              <w:bidi w:val="0"/>
              <w:adjustRightInd/>
              <w:spacing w:before="0" w:after="0" w:line="240"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进口处设置大门、门卫室；</w:t>
            </w:r>
          </w:p>
          <w:p>
            <w:pPr>
              <w:keepNext w:val="0"/>
              <w:keepLines w:val="0"/>
              <w:pageBreakBefore w:val="0"/>
              <w:widowControl w:val="0"/>
              <w:numPr>
                <w:ilvl w:val="0"/>
                <w:numId w:val="35"/>
              </w:numPr>
              <w:kinsoku/>
              <w:wordWrap/>
              <w:overflowPunct/>
              <w:topLinePunct w:val="0"/>
              <w:autoSpaceDE w:val="0"/>
              <w:autoSpaceDN w:val="0"/>
              <w:bidi w:val="0"/>
              <w:adjustRightInd/>
              <w:spacing w:before="0" w:after="0" w:line="240"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现场按要求设置“五牌一图”；</w:t>
            </w:r>
          </w:p>
          <w:p>
            <w:pPr>
              <w:keepNext w:val="0"/>
              <w:keepLines w:val="0"/>
              <w:pageBreakBefore w:val="0"/>
              <w:widowControl w:val="0"/>
              <w:numPr>
                <w:ilvl w:val="0"/>
                <w:numId w:val="35"/>
              </w:numPr>
              <w:kinsoku/>
              <w:wordWrap/>
              <w:overflowPunct/>
              <w:topLinePunct w:val="0"/>
              <w:autoSpaceDE w:val="0"/>
              <w:autoSpaceDN w:val="0"/>
              <w:bidi w:val="0"/>
              <w:adjustRightInd/>
              <w:spacing w:before="0" w:after="0" w:line="240"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危险源公示牌、楼栋号标识 牌；</w:t>
            </w:r>
          </w:p>
          <w:p>
            <w:pPr>
              <w:keepNext w:val="0"/>
              <w:keepLines w:val="0"/>
              <w:pageBreakBefore w:val="0"/>
              <w:widowControl w:val="0"/>
              <w:numPr>
                <w:ilvl w:val="0"/>
                <w:numId w:val="35"/>
              </w:numPr>
              <w:kinsoku/>
              <w:wordWrap/>
              <w:overflowPunct/>
              <w:topLinePunct w:val="0"/>
              <w:autoSpaceDE w:val="0"/>
              <w:autoSpaceDN w:val="0"/>
              <w:bidi w:val="0"/>
              <w:adjustRightInd/>
              <w:spacing w:before="0" w:after="0" w:line="240"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现场办公、生活区、施工区分离；。</w:t>
            </w:r>
          </w:p>
        </w:tc>
        <w:tc>
          <w:tcPr>
            <w:tcW w:w="0" w:type="auto"/>
            <w:vAlign w:val="center"/>
          </w:tcPr>
          <w:p>
            <w:pPr>
              <w:keepNext w:val="0"/>
              <w:keepLines w:val="0"/>
              <w:pageBreakBefore w:val="0"/>
              <w:widowControl w:val="0"/>
              <w:kinsoku/>
              <w:wordWrap/>
              <w:overflowPunct/>
              <w:topLinePunct w:val="0"/>
              <w:autoSpaceDE w:val="0"/>
              <w:autoSpaceDN w:val="0"/>
              <w:bidi w:val="0"/>
              <w:adjustRightInd/>
              <w:spacing w:before="0" w:after="0" w:line="240" w:lineRule="auto"/>
              <w:ind w:left="0" w:leftChars="0" w:right="0"/>
              <w:jc w:val="center"/>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0" w:type="auto"/>
            <w:vMerge w:val="continue"/>
            <w:vAlign w:val="center"/>
          </w:tcPr>
          <w:p>
            <w:pPr>
              <w:keepNext w:val="0"/>
              <w:keepLines w:val="0"/>
              <w:pageBreakBefore w:val="0"/>
              <w:kinsoku/>
              <w:wordWrap/>
              <w:overflowPunct/>
              <w:topLinePunct w:val="0"/>
              <w:bidi w:val="0"/>
              <w:adjustRightInd/>
              <w:spacing w:before="0" w:after="0" w:line="240" w:lineRule="auto"/>
              <w:ind w:left="0" w:leftChars="0" w:right="0"/>
              <w:jc w:val="center"/>
              <w:rPr>
                <w:rFonts w:hint="eastAsia" w:ascii="宋体" w:hAnsi="宋体" w:eastAsia="宋体" w:cs="宋体"/>
                <w:bCs w:val="0"/>
                <w:color w:val="auto"/>
                <w:spacing w:val="0"/>
                <w:w w:val="100"/>
                <w:kern w:val="0"/>
                <w:sz w:val="2"/>
                <w:szCs w:val="2"/>
                <w:highlight w:val="none"/>
                <w:lang w:val="zh-CN" w:bidi="zh-CN"/>
              </w:rPr>
            </w:pPr>
          </w:p>
        </w:tc>
        <w:tc>
          <w:tcPr>
            <w:tcW w:w="0" w:type="auto"/>
            <w:tcBorders>
              <w:top w:val="nil"/>
            </w:tcBorders>
            <w:vAlign w:val="center"/>
          </w:tcPr>
          <w:p>
            <w:pPr>
              <w:keepNext w:val="0"/>
              <w:keepLines w:val="0"/>
              <w:pageBreakBefore w:val="0"/>
              <w:kinsoku/>
              <w:wordWrap/>
              <w:overflowPunct/>
              <w:topLinePunct w:val="0"/>
              <w:bidi w:val="0"/>
              <w:adjustRightInd/>
              <w:spacing w:before="0" w:after="0" w:line="240" w:lineRule="auto"/>
              <w:ind w:left="0" w:leftChars="0" w:right="0"/>
              <w:jc w:val="center"/>
              <w:rPr>
                <w:rFonts w:hint="eastAsia" w:ascii="宋体" w:hAnsi="宋体" w:eastAsia="宋体" w:cs="宋体"/>
                <w:bCs w:val="0"/>
                <w:color w:val="auto"/>
                <w:spacing w:val="0"/>
                <w:w w:val="100"/>
                <w:kern w:val="0"/>
                <w:sz w:val="2"/>
                <w:szCs w:val="2"/>
                <w:highlight w:val="none"/>
                <w:lang w:val="en-US" w:eastAsia="zh-CN" w:bidi="zh-CN"/>
              </w:rPr>
            </w:pPr>
            <w:r>
              <w:rPr>
                <w:rFonts w:hint="eastAsia" w:ascii="宋体" w:hAnsi="宋体" w:eastAsia="宋体" w:cs="宋体"/>
                <w:bCs w:val="0"/>
                <w:color w:val="auto"/>
                <w:spacing w:val="0"/>
                <w:w w:val="100"/>
                <w:kern w:val="0"/>
                <w:sz w:val="21"/>
                <w:szCs w:val="22"/>
                <w:highlight w:val="none"/>
                <w:lang w:val="zh-CN" w:bidi="zh-CN"/>
              </w:rPr>
              <w:t>1</w:t>
            </w:r>
            <w:r>
              <w:rPr>
                <w:rFonts w:hint="eastAsia" w:ascii="宋体" w:hAnsi="宋体" w:eastAsia="宋体" w:cs="宋体"/>
                <w:bCs w:val="0"/>
                <w:color w:val="auto"/>
                <w:spacing w:val="0"/>
                <w:w w:val="100"/>
                <w:kern w:val="0"/>
                <w:sz w:val="21"/>
                <w:szCs w:val="22"/>
                <w:highlight w:val="none"/>
                <w:lang w:val="en-US" w:eastAsia="zh-CN" w:bidi="zh-CN"/>
              </w:rPr>
              <w:t>1</w:t>
            </w:r>
          </w:p>
        </w:tc>
        <w:tc>
          <w:tcPr>
            <w:tcW w:w="0" w:type="auto"/>
          </w:tcPr>
          <w:p>
            <w:pPr>
              <w:keepNext w:val="0"/>
              <w:keepLines w:val="0"/>
              <w:pageBreakBefore w:val="0"/>
              <w:widowControl w:val="0"/>
              <w:numPr>
                <w:ilvl w:val="0"/>
                <w:numId w:val="36"/>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场内道路和平整，无积水、无污水、无粉尘；</w:t>
            </w:r>
          </w:p>
          <w:p>
            <w:pPr>
              <w:keepNext w:val="0"/>
              <w:keepLines w:val="0"/>
              <w:pageBreakBefore w:val="0"/>
              <w:widowControl w:val="0"/>
              <w:numPr>
                <w:ilvl w:val="0"/>
                <w:numId w:val="36"/>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成品、半成品、材料按要求堆放整齐；</w:t>
            </w:r>
          </w:p>
          <w:p>
            <w:pPr>
              <w:keepNext w:val="0"/>
              <w:keepLines w:val="0"/>
              <w:pageBreakBefore w:val="0"/>
              <w:widowControl w:val="0"/>
              <w:numPr>
                <w:ilvl w:val="0"/>
                <w:numId w:val="36"/>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搞好环境卫生、定点存放垃圾，施药除“四害”</w:t>
            </w:r>
          </w:p>
          <w:p>
            <w:pPr>
              <w:keepNext w:val="0"/>
              <w:keepLines w:val="0"/>
              <w:pageBreakBefore w:val="0"/>
              <w:widowControl w:val="0"/>
              <w:numPr>
                <w:ilvl w:val="0"/>
                <w:numId w:val="36"/>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材料区按总平面布置并硬化；</w:t>
            </w:r>
          </w:p>
          <w:p>
            <w:pPr>
              <w:keepNext w:val="0"/>
              <w:keepLines w:val="0"/>
              <w:pageBreakBefore w:val="0"/>
              <w:widowControl w:val="0"/>
              <w:numPr>
                <w:ilvl w:val="0"/>
                <w:numId w:val="36"/>
              </w:numPr>
              <w:kinsoku/>
              <w:wordWrap/>
              <w:overflowPunct/>
              <w:topLinePunct w:val="0"/>
              <w:autoSpaceDE w:val="0"/>
              <w:autoSpaceDN w:val="0"/>
              <w:bidi w:val="0"/>
              <w:adjustRightInd/>
              <w:spacing w:before="0" w:after="0" w:line="321" w:lineRule="auto"/>
              <w:ind w:left="0" w:leftChars="0" w:right="0" w:firstLine="420" w:firstLineChars="200"/>
              <w:jc w:val="left"/>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易爆品分类贮藏在专用仓库。</w:t>
            </w:r>
          </w:p>
        </w:tc>
        <w:tc>
          <w:tcPr>
            <w:tcW w:w="0" w:type="auto"/>
            <w:vAlign w:val="center"/>
          </w:tcPr>
          <w:p>
            <w:pPr>
              <w:keepNext w:val="0"/>
              <w:keepLines w:val="0"/>
              <w:pageBreakBefore w:val="0"/>
              <w:widowControl w:val="0"/>
              <w:kinsoku/>
              <w:wordWrap/>
              <w:overflowPunct/>
              <w:topLinePunct w:val="0"/>
              <w:autoSpaceDE w:val="0"/>
              <w:autoSpaceDN w:val="0"/>
              <w:bidi w:val="0"/>
              <w:adjustRightInd/>
              <w:spacing w:before="0" w:after="0" w:line="240" w:lineRule="auto"/>
              <w:ind w:left="0" w:leftChars="0" w:right="0"/>
              <w:jc w:val="center"/>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500</w:t>
            </w:r>
          </w:p>
        </w:tc>
      </w:tr>
    </w:tbl>
    <w:p>
      <w:pPr>
        <w:keepNext w:val="0"/>
        <w:keepLines w:val="0"/>
        <w:pageBreakBefore w:val="0"/>
        <w:kinsoku/>
        <w:wordWrap/>
        <w:overflowPunct/>
        <w:topLinePunct w:val="0"/>
        <w:bidi w:val="0"/>
        <w:adjustRightInd/>
        <w:spacing w:before="0" w:after="0"/>
        <w:ind w:left="0" w:leftChars="0" w:right="0"/>
        <w:jc w:val="center"/>
        <w:rPr>
          <w:rFonts w:hint="eastAsia" w:ascii="宋体" w:hAnsi="宋体" w:eastAsia="宋体" w:cs="宋体"/>
          <w:bCs w:val="0"/>
          <w:color w:val="auto"/>
          <w:spacing w:val="0"/>
          <w:w w:val="100"/>
          <w:kern w:val="0"/>
          <w:sz w:val="21"/>
          <w:highlight w:val="none"/>
        </w:rPr>
        <w:sectPr>
          <w:pgSz w:w="11910" w:h="16840"/>
          <w:pgMar w:top="1440" w:right="1080" w:bottom="1440" w:left="1080" w:header="0" w:footer="609" w:gutter="0"/>
          <w:pgNumType w:fmt="decimal"/>
          <w:cols w:space="720" w:num="1"/>
        </w:sectPr>
      </w:pPr>
    </w:p>
    <w:p>
      <w:pPr>
        <w:keepNext w:val="0"/>
        <w:keepLines w:val="0"/>
        <w:pageBreakBefore w:val="0"/>
        <w:widowControl w:val="0"/>
        <w:kinsoku/>
        <w:wordWrap/>
        <w:overflowPunct/>
        <w:topLinePunct w:val="0"/>
        <w:autoSpaceDE w:val="0"/>
        <w:autoSpaceDN w:val="0"/>
        <w:bidi w:val="0"/>
        <w:adjustRightInd/>
        <w:spacing w:before="0" w:after="0" w:line="240" w:lineRule="auto"/>
        <w:ind w:left="0" w:leftChars="0" w:right="0" w:firstLine="480" w:firstLineChars="200"/>
        <w:jc w:val="left"/>
        <w:outlineLvl w:val="1"/>
        <w:rPr>
          <w:rFonts w:hint="eastAsia" w:ascii="宋体" w:hAnsi="宋体" w:eastAsia="宋体" w:cs="宋体"/>
          <w:bCs w:val="0"/>
          <w:color w:val="auto"/>
          <w:spacing w:val="0"/>
          <w:w w:val="100"/>
          <w:kern w:val="0"/>
          <w:sz w:val="24"/>
          <w:szCs w:val="24"/>
          <w:highlight w:val="none"/>
          <w:lang w:val="zh-CN" w:eastAsia="zh-CN" w:bidi="zh-CN"/>
        </w:rPr>
      </w:pPr>
      <w:r>
        <w:rPr>
          <w:rFonts w:hint="eastAsia" w:ascii="宋体" w:hAnsi="宋体" w:eastAsia="宋体" w:cs="宋体"/>
          <w:bCs w:val="0"/>
          <w:color w:val="auto"/>
          <w:spacing w:val="0"/>
          <w:w w:val="100"/>
          <w:kern w:val="0"/>
          <w:sz w:val="24"/>
          <w:szCs w:val="24"/>
          <w:highlight w:val="none"/>
          <w:lang w:val="zh-CN" w:eastAsia="zh-CN" w:bidi="zh-CN"/>
        </w:rPr>
        <w:t>附件四：</w:t>
      </w:r>
    </w:p>
    <w:p>
      <w:pPr>
        <w:keepNext w:val="0"/>
        <w:keepLines w:val="0"/>
        <w:pageBreakBefore w:val="0"/>
        <w:widowControl w:val="0"/>
        <w:kinsoku/>
        <w:wordWrap/>
        <w:overflowPunct/>
        <w:topLinePunct w:val="0"/>
        <w:autoSpaceDE w:val="0"/>
        <w:autoSpaceDN w:val="0"/>
        <w:bidi w:val="0"/>
        <w:adjustRightInd/>
        <w:spacing w:before="0" w:after="0" w:line="240" w:lineRule="auto"/>
        <w:ind w:left="0" w:leftChars="0" w:right="0" w:firstLine="422" w:firstLineChars="200"/>
        <w:jc w:val="center"/>
        <w:outlineLvl w:val="2"/>
        <w:rPr>
          <w:rFonts w:hint="eastAsia" w:ascii="宋体" w:hAnsi="宋体" w:eastAsia="宋体" w:cs="宋体"/>
          <w:b/>
          <w:bCs w:val="0"/>
          <w:color w:val="auto"/>
          <w:spacing w:val="0"/>
          <w:w w:val="100"/>
          <w:kern w:val="0"/>
          <w:sz w:val="21"/>
          <w:szCs w:val="21"/>
          <w:highlight w:val="none"/>
          <w:lang w:val="zh-CN" w:eastAsia="zh-CN" w:bidi="zh-CN"/>
        </w:rPr>
      </w:pPr>
      <w:r>
        <w:rPr>
          <w:rFonts w:hint="eastAsia" w:ascii="宋体" w:hAnsi="宋体" w:eastAsia="宋体" w:cs="宋体"/>
          <w:b/>
          <w:bCs w:val="0"/>
          <w:color w:val="auto"/>
          <w:spacing w:val="0"/>
          <w:w w:val="100"/>
          <w:kern w:val="0"/>
          <w:sz w:val="21"/>
          <w:szCs w:val="21"/>
          <w:highlight w:val="none"/>
          <w:lang w:val="zh-CN" w:eastAsia="zh-CN" w:bidi="zh-CN"/>
        </w:rPr>
        <w:t>施工单位日常行为管理条例</w:t>
      </w:r>
    </w:p>
    <w:p>
      <w:pPr>
        <w:keepNext w:val="0"/>
        <w:keepLines w:val="0"/>
        <w:pageBreakBefore w:val="0"/>
        <w:widowControl w:val="0"/>
        <w:numPr>
          <w:ilvl w:val="0"/>
          <w:numId w:val="37"/>
        </w:numPr>
        <w:tabs>
          <w:tab w:val="left" w:pos="2420"/>
        </w:tabs>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项目负责人定期不定时参加甲方组织召开的各类会议，包括：合同的会、每日碰头会、进度质量安全专题协调会、现场工作会等。如果不能参加，应提前 2 小时向甲方负责人请假，若未及时请假无故缺席会议，第一次处以警告，后续有故缺席，每次予以 500 元处罚。</w:t>
      </w:r>
    </w:p>
    <w:p>
      <w:pPr>
        <w:keepNext w:val="0"/>
        <w:keepLines w:val="0"/>
        <w:pageBreakBefore w:val="0"/>
        <w:widowControl w:val="0"/>
        <w:numPr>
          <w:ilvl w:val="0"/>
          <w:numId w:val="37"/>
        </w:numPr>
        <w:tabs>
          <w:tab w:val="left" w:pos="2419"/>
          <w:tab w:val="left" w:pos="2420"/>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项目开工 2 天前，乙方应将拟投入于本项目的管理人员报甲方确认，无故不上报， 每迟一天处以 1000 元经济处罚；拟更换本项目负责人，应于更换前 7 天以书面形式报甲方确认，在甲方未明确下私自更换项目负责人的，每次视情况处罚。</w:t>
      </w:r>
    </w:p>
    <w:p>
      <w:pPr>
        <w:keepNext w:val="0"/>
        <w:keepLines w:val="0"/>
        <w:pageBreakBefore w:val="0"/>
        <w:widowControl w:val="0"/>
        <w:numPr>
          <w:ilvl w:val="0"/>
          <w:numId w:val="37"/>
        </w:numPr>
        <w:tabs>
          <w:tab w:val="left" w:pos="2420"/>
        </w:tabs>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项目负责人应在施工期间常驻项目。遇节假日、公司事宜等事项需离开项目时，应  以书面形式提前告知甲方现场负责人，并经同意后方能离开项目现场。若未及时告知，第一 次处以警告，若乙方有再次发生这种问题，每次予以 500 元处罚。</w:t>
      </w:r>
    </w:p>
    <w:p>
      <w:pPr>
        <w:keepNext w:val="0"/>
        <w:keepLines w:val="0"/>
        <w:pageBreakBefore w:val="0"/>
        <w:widowControl w:val="0"/>
        <w:numPr>
          <w:ilvl w:val="0"/>
          <w:numId w:val="37"/>
        </w:numPr>
        <w:tabs>
          <w:tab w:val="left" w:pos="2420"/>
        </w:tabs>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项目应每周组织专项的安全、质量巡查，并以书面形式报甲方项目部。累计 2 次及以上未上报巡查报告每次按情况罚款予以 500 元处罚。</w:t>
      </w:r>
    </w:p>
    <w:p>
      <w:pPr>
        <w:keepNext w:val="0"/>
        <w:keepLines w:val="0"/>
        <w:pageBreakBefore w:val="0"/>
        <w:widowControl w:val="0"/>
        <w:numPr>
          <w:ilvl w:val="0"/>
          <w:numId w:val="37"/>
        </w:numPr>
        <w:tabs>
          <w:tab w:val="left" w:pos="2419"/>
          <w:tab w:val="left" w:pos="2420"/>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bCs w:val="0"/>
          <w:color w:val="auto"/>
          <w:spacing w:val="0"/>
          <w:w w:val="100"/>
          <w:kern w:val="0"/>
          <w:sz w:val="21"/>
          <w:szCs w:val="22"/>
          <w:highlight w:val="none"/>
          <w:lang w:val="zh-CN" w:eastAsia="zh-CN" w:bidi="zh-CN"/>
        </w:rPr>
      </w:pPr>
      <w:r>
        <w:rPr>
          <w:rFonts w:hint="eastAsia" w:ascii="宋体" w:hAnsi="宋体" w:eastAsia="宋体" w:cs="宋体"/>
          <w:bCs w:val="0"/>
          <w:color w:val="auto"/>
          <w:spacing w:val="0"/>
          <w:w w:val="100"/>
          <w:kern w:val="0"/>
          <w:sz w:val="21"/>
          <w:szCs w:val="22"/>
          <w:highlight w:val="none"/>
          <w:lang w:val="zh-CN" w:eastAsia="zh-CN" w:bidi="zh-CN"/>
        </w:rPr>
        <w:t>遇节假日，重大危害性天气等情况时，乙方应安排相应值班人员在项目现场值班并监督到位，经甲方项目部确认后方能离开值班岗位。因值班不到位原因，给项目带来损失的，对值班人员每次予以 1000 元处罚。</w:t>
      </w:r>
    </w:p>
    <w:p>
      <w:pPr>
        <w:keepNext w:val="0"/>
        <w:keepLines w:val="0"/>
        <w:pageBreakBefore w:val="0"/>
        <w:kinsoku/>
        <w:wordWrap/>
        <w:overflowPunct/>
        <w:topLinePunct w:val="0"/>
        <w:bidi w:val="0"/>
        <w:adjustRightInd/>
        <w:spacing w:before="0" w:after="0" w:line="482" w:lineRule="auto"/>
        <w:ind w:left="0" w:leftChars="0" w:right="0"/>
        <w:jc w:val="left"/>
        <w:rPr>
          <w:rFonts w:hint="eastAsia" w:ascii="宋体" w:hAnsi="宋体" w:eastAsia="宋体" w:cs="宋体"/>
          <w:bCs w:val="0"/>
          <w:color w:val="auto"/>
          <w:spacing w:val="0"/>
          <w:w w:val="100"/>
          <w:kern w:val="0"/>
          <w:sz w:val="21"/>
          <w:highlight w:val="none"/>
        </w:rPr>
        <w:sectPr>
          <w:pgSz w:w="11910" w:h="16840"/>
          <w:pgMar w:top="1440" w:right="1080" w:bottom="1440" w:left="1080" w:header="0" w:footer="609" w:gutter="0"/>
          <w:pgNumType w:fmt="decimal"/>
          <w:cols w:space="720" w:num="1"/>
        </w:sectPr>
      </w:pPr>
    </w:p>
    <w:p>
      <w:pPr>
        <w:keepNext w:val="0"/>
        <w:keepLines w:val="0"/>
        <w:pageBreakBefore w:val="0"/>
        <w:widowControl w:val="0"/>
        <w:kinsoku/>
        <w:wordWrap/>
        <w:overflowPunct/>
        <w:topLinePunct w:val="0"/>
        <w:autoSpaceDE w:val="0"/>
        <w:autoSpaceDN w:val="0"/>
        <w:bidi w:val="0"/>
        <w:adjustRightInd/>
        <w:spacing w:before="0" w:after="0" w:line="240" w:lineRule="auto"/>
        <w:ind w:left="0" w:leftChars="0" w:right="0" w:firstLine="480" w:firstLineChars="200"/>
        <w:jc w:val="left"/>
        <w:outlineLvl w:val="1"/>
        <w:rPr>
          <w:rFonts w:hint="eastAsia" w:ascii="宋体" w:hAnsi="宋体" w:eastAsia="宋体" w:cs="宋体"/>
          <w:bCs w:val="0"/>
          <w:color w:val="auto"/>
          <w:spacing w:val="0"/>
          <w:w w:val="100"/>
          <w:kern w:val="0"/>
          <w:sz w:val="24"/>
          <w:szCs w:val="24"/>
          <w:highlight w:val="none"/>
          <w:lang w:val="en-US" w:eastAsia="zh-CN" w:bidi="zh-CN"/>
        </w:rPr>
      </w:pPr>
      <w:r>
        <w:rPr>
          <w:rFonts w:hint="eastAsia" w:ascii="宋体" w:hAnsi="宋体" w:eastAsia="宋体" w:cs="宋体"/>
          <w:bCs w:val="0"/>
          <w:color w:val="auto"/>
          <w:spacing w:val="0"/>
          <w:w w:val="100"/>
          <w:kern w:val="0"/>
          <w:sz w:val="24"/>
          <w:szCs w:val="24"/>
          <w:highlight w:val="none"/>
          <w:lang w:val="zh-CN" w:eastAsia="zh-CN" w:bidi="zh-CN"/>
        </w:rPr>
        <w:t>附件</w:t>
      </w:r>
      <w:r>
        <w:rPr>
          <w:rFonts w:hint="eastAsia" w:ascii="宋体" w:hAnsi="宋体" w:eastAsia="宋体" w:cs="宋体"/>
          <w:bCs w:val="0"/>
          <w:color w:val="auto"/>
          <w:spacing w:val="0"/>
          <w:w w:val="100"/>
          <w:kern w:val="0"/>
          <w:sz w:val="24"/>
          <w:szCs w:val="24"/>
          <w:highlight w:val="none"/>
          <w:lang w:val="en-US" w:eastAsia="zh-CN" w:bidi="zh-CN"/>
        </w:rPr>
        <w:t>五</w:t>
      </w:r>
      <w:r>
        <w:rPr>
          <w:rFonts w:hint="eastAsia" w:ascii="宋体" w:hAnsi="宋体" w:eastAsia="宋体" w:cs="宋体"/>
          <w:bCs w:val="0"/>
          <w:color w:val="auto"/>
          <w:spacing w:val="0"/>
          <w:w w:val="100"/>
          <w:kern w:val="0"/>
          <w:sz w:val="24"/>
          <w:szCs w:val="24"/>
          <w:highlight w:val="none"/>
          <w:lang w:val="zh-CN" w:eastAsia="zh-CN" w:bidi="zh-CN"/>
        </w:rPr>
        <w:t>：</w:t>
      </w:r>
      <w:r>
        <w:rPr>
          <w:rFonts w:hint="eastAsia" w:ascii="宋体" w:hAnsi="宋体" w:eastAsia="宋体" w:cs="宋体"/>
          <w:bCs w:val="0"/>
          <w:color w:val="auto"/>
          <w:spacing w:val="0"/>
          <w:w w:val="100"/>
          <w:kern w:val="0"/>
          <w:sz w:val="24"/>
          <w:szCs w:val="24"/>
          <w:highlight w:val="none"/>
          <w:lang w:val="en-US" w:eastAsia="zh-CN" w:bidi="zh-CN"/>
        </w:rPr>
        <w:t>工程量清单</w:t>
      </w:r>
    </w:p>
    <w:tbl>
      <w:tblPr>
        <w:tblStyle w:val="52"/>
        <w:tblW w:w="101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4"/>
        <w:gridCol w:w="1220"/>
        <w:gridCol w:w="1067"/>
        <w:gridCol w:w="1819"/>
        <w:gridCol w:w="906"/>
        <w:gridCol w:w="1222"/>
        <w:gridCol w:w="1013"/>
        <w:gridCol w:w="1356"/>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7690" w:type="dxa"/>
            <w:gridSpan w:val="9"/>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b/>
                <w:i w:val="0"/>
                <w:color w:val="auto"/>
                <w:sz w:val="20"/>
                <w:szCs w:val="20"/>
                <w:highlight w:val="none"/>
                <w:u w:val="none"/>
                <w:lang w:val="zh-CN" w:bidi="zh-CN"/>
              </w:rPr>
            </w:pPr>
            <w:r>
              <w:rPr>
                <w:rFonts w:hint="eastAsia" w:ascii="宋体" w:hAnsi="宋体" w:eastAsia="宋体" w:cs="宋体"/>
                <w:b/>
                <w:i w:val="0"/>
                <w:color w:val="auto"/>
                <w:kern w:val="0"/>
                <w:sz w:val="20"/>
                <w:szCs w:val="20"/>
                <w:highlight w:val="none"/>
                <w:u w:val="none"/>
                <w:lang w:val="en-US" w:eastAsia="zh-CN" w:bidi="ar"/>
              </w:rPr>
              <w:t>一、工程名称：莞番高速（寮步段）垃圾填埋场治理项目大岭山镇地块临时用地土地复垦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序号</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项目编码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项目名称</w:t>
            </w:r>
          </w:p>
        </w:tc>
        <w:tc>
          <w:tcPr>
            <w:tcW w:w="184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项目特征描述</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计量单位</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预估工程量</w:t>
            </w:r>
          </w:p>
        </w:tc>
        <w:tc>
          <w:tcPr>
            <w:tcW w:w="2410" w:type="dxa"/>
            <w:gridSpan w:val="3"/>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综合单价</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综合合价</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490" w:type="dxa"/>
            <w:tcBorders>
              <w:top w:val="nil"/>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1</w:t>
            </w:r>
          </w:p>
        </w:tc>
        <w:tc>
          <w:tcPr>
            <w:tcW w:w="1100" w:type="dxa"/>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040201021001</w:t>
            </w:r>
          </w:p>
        </w:tc>
        <w:tc>
          <w:tcPr>
            <w:tcW w:w="1080" w:type="dxa"/>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防渗膜清除</w:t>
            </w:r>
          </w:p>
        </w:tc>
        <w:tc>
          <w:tcPr>
            <w:tcW w:w="1840" w:type="dxa"/>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1.清除材料:防渗HDPE膜</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2.垃圾外运距离:5km以内</w:t>
            </w:r>
          </w:p>
        </w:tc>
        <w:tc>
          <w:tcPr>
            <w:tcW w:w="920" w:type="dxa"/>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m2</w:t>
            </w:r>
          </w:p>
        </w:tc>
        <w:tc>
          <w:tcPr>
            <w:tcW w:w="1230" w:type="dxa"/>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28861</w:t>
            </w:r>
          </w:p>
        </w:tc>
        <w:tc>
          <w:tcPr>
            <w:tcW w:w="1030" w:type="dxa"/>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right"/>
              <w:rPr>
                <w:rFonts w:hint="eastAsia" w:ascii="宋体" w:hAnsi="宋体" w:eastAsia="宋体" w:cs="宋体"/>
                <w:i w:val="0"/>
                <w:color w:val="auto"/>
                <w:sz w:val="20"/>
                <w:szCs w:val="20"/>
                <w:highlight w:val="none"/>
                <w:u w:val="none"/>
                <w:lang w:val="zh-CN" w:bidi="zh-CN"/>
              </w:rPr>
            </w:pPr>
          </w:p>
        </w:tc>
        <w:tc>
          <w:tcPr>
            <w:tcW w:w="1380" w:type="dxa"/>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right"/>
              <w:rPr>
                <w:rFonts w:hint="eastAsia" w:ascii="宋体" w:hAnsi="宋体" w:eastAsia="宋体" w:cs="宋体"/>
                <w:i w:val="0"/>
                <w:color w:val="auto"/>
                <w:sz w:val="20"/>
                <w:szCs w:val="20"/>
                <w:highlight w:val="none"/>
                <w:u w:val="none"/>
                <w:lang w:val="zh-CN" w:bidi="zh-CN"/>
              </w:rPr>
            </w:pPr>
          </w:p>
        </w:tc>
        <w:tc>
          <w:tcPr>
            <w:tcW w:w="1080" w:type="dxa"/>
            <w:tcBorders>
              <w:top w:val="nil"/>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adjustRightInd/>
              <w:spacing w:before="0" w:after="0" w:line="240" w:lineRule="auto"/>
              <w:ind w:left="0" w:right="0"/>
              <w:jc w:val="right"/>
              <w:rPr>
                <w:rFonts w:hint="eastAsia" w:ascii="宋体" w:hAnsi="宋体" w:eastAsia="宋体" w:cs="宋体"/>
                <w:i w:val="0"/>
                <w:color w:val="auto"/>
                <w:sz w:val="20"/>
                <w:szCs w:val="20"/>
                <w:highlight w:val="none"/>
                <w:u w:val="none"/>
                <w:lang w:val="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490" w:type="dxa"/>
            <w:tcBorders>
              <w:top w:val="single" w:color="000000" w:sz="4" w:space="0"/>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040101001002</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土方场内运输</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1.土壤类别:一、二类土</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2.场内运距:200m 内</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m3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79186.8</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right"/>
              <w:rPr>
                <w:rFonts w:hint="eastAsia" w:ascii="宋体" w:hAnsi="宋体" w:eastAsia="宋体" w:cs="宋体"/>
                <w:i w:val="0"/>
                <w:color w:val="auto"/>
                <w:sz w:val="20"/>
                <w:szCs w:val="20"/>
                <w:highlight w:val="none"/>
                <w:u w:val="none"/>
                <w:lang w:val="zh-CN" w:bidi="zh-CN"/>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right"/>
              <w:rPr>
                <w:rFonts w:hint="eastAsia" w:ascii="宋体" w:hAnsi="宋体" w:eastAsia="宋体" w:cs="宋体"/>
                <w:i w:val="0"/>
                <w:color w:val="auto"/>
                <w:sz w:val="20"/>
                <w:szCs w:val="20"/>
                <w:highlight w:val="none"/>
                <w:u w:val="none"/>
                <w:lang w:val="zh-CN" w:bidi="zh-CN"/>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adjustRightInd/>
              <w:spacing w:before="0" w:after="0" w:line="240" w:lineRule="auto"/>
              <w:ind w:left="0" w:right="0"/>
              <w:jc w:val="right"/>
              <w:rPr>
                <w:rFonts w:hint="eastAsia" w:ascii="宋体" w:hAnsi="宋体" w:eastAsia="宋体" w:cs="宋体"/>
                <w:i w:val="0"/>
                <w:color w:val="auto"/>
                <w:sz w:val="20"/>
                <w:szCs w:val="20"/>
                <w:highlight w:val="none"/>
                <w:u w:val="none"/>
                <w:lang w:val="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00" w:hRule="atLeast"/>
        </w:trPr>
        <w:tc>
          <w:tcPr>
            <w:tcW w:w="490" w:type="dxa"/>
            <w:tcBorders>
              <w:top w:val="single" w:color="000000" w:sz="4" w:space="0"/>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040103001001</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外运土回填压实</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1.密实度要求:压路机压实</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2.填方材料品种:外运素土</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3.填方来源、运距:附近2km内取土</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m3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11385.3</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right"/>
              <w:rPr>
                <w:rFonts w:hint="eastAsia" w:ascii="宋体" w:hAnsi="宋体" w:eastAsia="宋体" w:cs="宋体"/>
                <w:i w:val="0"/>
                <w:color w:val="auto"/>
                <w:sz w:val="20"/>
                <w:szCs w:val="20"/>
                <w:highlight w:val="none"/>
                <w:u w:val="none"/>
                <w:lang w:val="zh-CN" w:bidi="zh-CN"/>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right"/>
              <w:rPr>
                <w:rFonts w:hint="eastAsia" w:ascii="宋体" w:hAnsi="宋体" w:eastAsia="宋体" w:cs="宋体"/>
                <w:i w:val="0"/>
                <w:color w:val="auto"/>
                <w:sz w:val="20"/>
                <w:szCs w:val="20"/>
                <w:highlight w:val="none"/>
                <w:u w:val="none"/>
                <w:lang w:val="zh-CN" w:bidi="zh-CN"/>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adjustRightInd/>
              <w:spacing w:before="0" w:after="0" w:line="240" w:lineRule="auto"/>
              <w:ind w:left="0" w:right="0"/>
              <w:jc w:val="right"/>
              <w:rPr>
                <w:rFonts w:hint="eastAsia" w:ascii="宋体" w:hAnsi="宋体" w:eastAsia="宋体" w:cs="宋体"/>
                <w:i w:val="0"/>
                <w:color w:val="auto"/>
                <w:sz w:val="20"/>
                <w:szCs w:val="20"/>
                <w:highlight w:val="none"/>
                <w:u w:val="none"/>
                <w:lang w:val="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490" w:type="dxa"/>
            <w:tcBorders>
              <w:top w:val="single" w:color="000000" w:sz="4" w:space="0"/>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040201022001</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排灌土沟</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1.断面尺寸:上口80cm、底部40cm、高40cm</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2.土沟成型</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398</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right"/>
              <w:rPr>
                <w:rFonts w:hint="eastAsia" w:ascii="宋体" w:hAnsi="宋体" w:eastAsia="宋体" w:cs="宋体"/>
                <w:i w:val="0"/>
                <w:color w:val="auto"/>
                <w:sz w:val="20"/>
                <w:szCs w:val="20"/>
                <w:highlight w:val="none"/>
                <w:u w:val="none"/>
                <w:lang w:val="zh-CN" w:bidi="zh-CN"/>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right"/>
              <w:rPr>
                <w:rFonts w:hint="eastAsia" w:ascii="宋体" w:hAnsi="宋体" w:eastAsia="宋体" w:cs="宋体"/>
                <w:i w:val="0"/>
                <w:color w:val="auto"/>
                <w:sz w:val="20"/>
                <w:szCs w:val="20"/>
                <w:highlight w:val="none"/>
                <w:u w:val="none"/>
                <w:lang w:val="zh-CN" w:bidi="zh-CN"/>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adjustRightInd/>
              <w:spacing w:before="0" w:after="0" w:line="240" w:lineRule="auto"/>
              <w:ind w:left="0" w:right="0"/>
              <w:jc w:val="right"/>
              <w:rPr>
                <w:rFonts w:hint="eastAsia" w:ascii="宋体" w:hAnsi="宋体" w:eastAsia="宋体" w:cs="宋体"/>
                <w:i w:val="0"/>
                <w:color w:val="auto"/>
                <w:sz w:val="20"/>
                <w:szCs w:val="20"/>
                <w:highlight w:val="none"/>
                <w:u w:val="none"/>
                <w:lang w:val="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490" w:type="dxa"/>
            <w:tcBorders>
              <w:top w:val="single" w:color="000000" w:sz="4" w:space="0"/>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040202001001</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路床(槽)整形</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left"/>
              <w:rPr>
                <w:rFonts w:hint="eastAsia" w:ascii="宋体" w:hAnsi="宋体" w:eastAsia="宋体" w:cs="宋体"/>
                <w:i w:val="0"/>
                <w:color w:val="auto"/>
                <w:sz w:val="20"/>
                <w:szCs w:val="20"/>
                <w:highlight w:val="none"/>
                <w:u w:val="none"/>
                <w:lang w:val="zh-CN" w:bidi="zh-CN"/>
              </w:rPr>
            </w:pP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1313.4</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right"/>
              <w:rPr>
                <w:rFonts w:hint="eastAsia" w:ascii="宋体" w:hAnsi="宋体" w:eastAsia="宋体" w:cs="宋体"/>
                <w:i w:val="0"/>
                <w:color w:val="auto"/>
                <w:sz w:val="20"/>
                <w:szCs w:val="20"/>
                <w:highlight w:val="none"/>
                <w:u w:val="none"/>
                <w:lang w:val="zh-CN" w:bidi="zh-CN"/>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right"/>
              <w:rPr>
                <w:rFonts w:hint="eastAsia" w:ascii="宋体" w:hAnsi="宋体" w:eastAsia="宋体" w:cs="宋体"/>
                <w:i w:val="0"/>
                <w:color w:val="auto"/>
                <w:sz w:val="20"/>
                <w:szCs w:val="20"/>
                <w:highlight w:val="none"/>
                <w:u w:val="none"/>
                <w:lang w:val="zh-CN" w:bidi="zh-CN"/>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adjustRightInd/>
              <w:spacing w:before="0" w:after="0" w:line="240" w:lineRule="auto"/>
              <w:ind w:left="0" w:right="0"/>
              <w:jc w:val="right"/>
              <w:rPr>
                <w:rFonts w:hint="eastAsia" w:ascii="宋体" w:hAnsi="宋体" w:eastAsia="宋体" w:cs="宋体"/>
                <w:i w:val="0"/>
                <w:color w:val="auto"/>
                <w:sz w:val="20"/>
                <w:szCs w:val="20"/>
                <w:highlight w:val="none"/>
                <w:u w:val="none"/>
                <w:lang w:val="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90" w:type="dxa"/>
            <w:tcBorders>
              <w:top w:val="single" w:color="000000" w:sz="4" w:space="0"/>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040202011001</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级配碎石路面</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1.石料规格:20~40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2.厚度:30cm</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1313.4</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right"/>
              <w:rPr>
                <w:rFonts w:hint="eastAsia" w:ascii="宋体" w:hAnsi="宋体" w:eastAsia="宋体" w:cs="宋体"/>
                <w:i w:val="0"/>
                <w:color w:val="auto"/>
                <w:sz w:val="20"/>
                <w:szCs w:val="20"/>
                <w:highlight w:val="none"/>
                <w:u w:val="none"/>
                <w:lang w:val="zh-CN" w:bidi="zh-CN"/>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right"/>
              <w:rPr>
                <w:rFonts w:hint="eastAsia" w:ascii="宋体" w:hAnsi="宋体" w:eastAsia="宋体" w:cs="宋体"/>
                <w:i w:val="0"/>
                <w:color w:val="auto"/>
                <w:sz w:val="20"/>
                <w:szCs w:val="20"/>
                <w:highlight w:val="none"/>
                <w:u w:val="none"/>
                <w:lang w:val="zh-CN" w:bidi="zh-CN"/>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adjustRightInd/>
              <w:spacing w:before="0" w:after="0" w:line="240" w:lineRule="auto"/>
              <w:ind w:left="0" w:right="0"/>
              <w:jc w:val="right"/>
              <w:rPr>
                <w:rFonts w:hint="eastAsia" w:ascii="宋体" w:hAnsi="宋体" w:eastAsia="宋体" w:cs="宋体"/>
                <w:i w:val="0"/>
                <w:color w:val="auto"/>
                <w:sz w:val="20"/>
                <w:szCs w:val="20"/>
                <w:highlight w:val="none"/>
                <w:u w:val="none"/>
                <w:lang w:val="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80" w:hRule="atLeast"/>
        </w:trPr>
        <w:tc>
          <w:tcPr>
            <w:tcW w:w="490" w:type="dxa"/>
            <w:tcBorders>
              <w:top w:val="single" w:color="000000" w:sz="4" w:space="0"/>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040501001001</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新建涵管</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1.垫层、基础材质及厚度:砂砾石垫层150厚</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2.管座材质:C25砼</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3.规格:Φ600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4.接口方式:水泥砂浆接口</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5.铺设深度:2m</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20</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right"/>
              <w:rPr>
                <w:rFonts w:hint="eastAsia" w:ascii="宋体" w:hAnsi="宋体" w:eastAsia="宋体" w:cs="宋体"/>
                <w:i w:val="0"/>
                <w:color w:val="auto"/>
                <w:sz w:val="20"/>
                <w:szCs w:val="20"/>
                <w:highlight w:val="none"/>
                <w:u w:val="none"/>
                <w:lang w:val="zh-CN" w:bidi="zh-CN"/>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right"/>
              <w:rPr>
                <w:rFonts w:hint="eastAsia" w:ascii="宋体" w:hAnsi="宋体" w:eastAsia="宋体" w:cs="宋体"/>
                <w:i w:val="0"/>
                <w:color w:val="auto"/>
                <w:sz w:val="20"/>
                <w:szCs w:val="20"/>
                <w:highlight w:val="none"/>
                <w:u w:val="none"/>
                <w:lang w:val="zh-CN" w:bidi="zh-CN"/>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adjustRightInd/>
              <w:spacing w:before="0" w:after="0" w:line="240" w:lineRule="auto"/>
              <w:ind w:left="0" w:right="0"/>
              <w:jc w:val="right"/>
              <w:rPr>
                <w:rFonts w:hint="eastAsia" w:ascii="宋体" w:hAnsi="宋体" w:eastAsia="宋体" w:cs="宋体"/>
                <w:i w:val="0"/>
                <w:color w:val="auto"/>
                <w:sz w:val="20"/>
                <w:szCs w:val="20"/>
                <w:highlight w:val="none"/>
                <w:u w:val="none"/>
                <w:lang w:val="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490" w:type="dxa"/>
            <w:tcBorders>
              <w:top w:val="single" w:color="000000" w:sz="4" w:space="0"/>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8</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050102006001</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种植甘薯苗</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1.单位长度株数:20cm</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2.植物种类:甘薯苗</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株</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114948</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right"/>
              <w:rPr>
                <w:rFonts w:hint="eastAsia" w:ascii="宋体" w:hAnsi="宋体" w:eastAsia="宋体" w:cs="宋体"/>
                <w:i w:val="0"/>
                <w:color w:val="auto"/>
                <w:sz w:val="20"/>
                <w:szCs w:val="20"/>
                <w:highlight w:val="none"/>
                <w:u w:val="none"/>
                <w:lang w:val="zh-CN" w:bidi="zh-CN"/>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right"/>
              <w:rPr>
                <w:rFonts w:hint="eastAsia" w:ascii="宋体" w:hAnsi="宋体" w:eastAsia="宋体" w:cs="宋体"/>
                <w:i w:val="0"/>
                <w:color w:val="auto"/>
                <w:sz w:val="20"/>
                <w:szCs w:val="20"/>
                <w:highlight w:val="none"/>
                <w:u w:val="none"/>
                <w:lang w:val="zh-CN" w:bidi="zh-CN"/>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adjustRightInd/>
              <w:spacing w:before="0" w:after="0" w:line="240" w:lineRule="auto"/>
              <w:ind w:left="0" w:right="0"/>
              <w:jc w:val="right"/>
              <w:rPr>
                <w:rFonts w:hint="eastAsia" w:ascii="宋体" w:hAnsi="宋体" w:eastAsia="宋体" w:cs="宋体"/>
                <w:i w:val="0"/>
                <w:color w:val="auto"/>
                <w:sz w:val="20"/>
                <w:szCs w:val="20"/>
                <w:highlight w:val="none"/>
                <w:u w:val="none"/>
                <w:lang w:val="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660" w:type="dxa"/>
            <w:gridSpan w:val="7"/>
            <w:tcBorders>
              <w:top w:val="single" w:color="000000" w:sz="4" w:space="0"/>
              <w:left w:val="single" w:color="000000" w:sz="8" w:space="0"/>
              <w:bottom w:val="single" w:color="000000" w:sz="8" w:space="0"/>
              <w:right w:val="nil"/>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合   计(价格含9%增值税专用发票）</w:t>
            </w:r>
          </w:p>
        </w:tc>
        <w:tc>
          <w:tcPr>
            <w:tcW w:w="1380" w:type="dxa"/>
            <w:tcBorders>
              <w:top w:val="single" w:color="000000" w:sz="4" w:space="0"/>
              <w:left w:val="single" w:color="000000" w:sz="4" w:space="0"/>
              <w:bottom w:val="single" w:color="000000" w:sz="8"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right"/>
              <w:rPr>
                <w:rFonts w:hint="eastAsia" w:ascii="宋体" w:hAnsi="宋体" w:eastAsia="宋体" w:cs="宋体"/>
                <w:i w:val="0"/>
                <w:color w:val="auto"/>
                <w:sz w:val="20"/>
                <w:szCs w:val="20"/>
                <w:highlight w:val="none"/>
                <w:u w:val="none"/>
                <w:lang w:val="zh-CN" w:bidi="zh-CN"/>
              </w:rPr>
            </w:pPr>
          </w:p>
        </w:tc>
        <w:tc>
          <w:tcPr>
            <w:tcW w:w="1080" w:type="dxa"/>
            <w:tcBorders>
              <w:top w:val="single" w:color="000000" w:sz="4" w:space="0"/>
              <w:left w:val="single" w:color="000000" w:sz="4" w:space="0"/>
              <w:bottom w:val="single" w:color="000000" w:sz="8" w:space="0"/>
              <w:right w:val="single" w:color="000000" w:sz="8" w:space="0"/>
            </w:tcBorders>
            <w:shd w:val="clear" w:color="FFFFFF" w:fill="FFFFFF"/>
            <w:tcMar>
              <w:top w:w="10" w:type="dxa"/>
              <w:left w:w="10" w:type="dxa"/>
              <w:right w:w="10" w:type="dxa"/>
            </w:tcMar>
            <w:vAlign w:val="center"/>
          </w:tcPr>
          <w:p>
            <w:pPr>
              <w:adjustRightInd/>
              <w:spacing w:before="0" w:after="0" w:line="240" w:lineRule="auto"/>
              <w:ind w:left="0" w:right="0"/>
              <w:jc w:val="right"/>
              <w:rPr>
                <w:rFonts w:hint="eastAsia" w:ascii="宋体" w:hAnsi="宋体" w:eastAsia="宋体" w:cs="宋体"/>
                <w:i w:val="0"/>
                <w:color w:val="auto"/>
                <w:sz w:val="20"/>
                <w:szCs w:val="20"/>
                <w:highlight w:val="none"/>
                <w:u w:val="none"/>
                <w:lang w:val="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690" w:type="dxa"/>
            <w:gridSpan w:val="9"/>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b/>
                <w:i w:val="0"/>
                <w:color w:val="auto"/>
                <w:sz w:val="20"/>
                <w:szCs w:val="20"/>
                <w:highlight w:val="none"/>
                <w:u w:val="none"/>
                <w:lang w:val="zh-CN" w:bidi="zh-CN"/>
              </w:rPr>
            </w:pPr>
            <w:r>
              <w:rPr>
                <w:rFonts w:hint="eastAsia" w:ascii="宋体" w:hAnsi="宋体" w:eastAsia="宋体" w:cs="宋体"/>
                <w:b/>
                <w:i w:val="0"/>
                <w:color w:val="auto"/>
                <w:kern w:val="0"/>
                <w:sz w:val="20"/>
                <w:szCs w:val="20"/>
                <w:highlight w:val="none"/>
                <w:u w:val="none"/>
                <w:lang w:val="en-US" w:eastAsia="zh-CN" w:bidi="ar"/>
              </w:rPr>
              <w:t>二、工程名称：莞番高速（寮步段）垃圾填埋场治理项目寮步镇地块二临时用地土地复垦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90" w:type="dxa"/>
            <w:vMerge w:val="restart"/>
            <w:tcBorders>
              <w:top w:val="nil"/>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序号</w:t>
            </w:r>
          </w:p>
        </w:tc>
        <w:tc>
          <w:tcPr>
            <w:tcW w:w="1100" w:type="dxa"/>
            <w:vMerge w:val="restart"/>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项目编码</w:t>
            </w:r>
          </w:p>
        </w:tc>
        <w:tc>
          <w:tcPr>
            <w:tcW w:w="1080" w:type="dxa"/>
            <w:vMerge w:val="restart"/>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项目名称</w:t>
            </w:r>
          </w:p>
        </w:tc>
        <w:tc>
          <w:tcPr>
            <w:tcW w:w="1840" w:type="dxa"/>
            <w:vMerge w:val="restart"/>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项目特征描述</w:t>
            </w:r>
          </w:p>
        </w:tc>
        <w:tc>
          <w:tcPr>
            <w:tcW w:w="920" w:type="dxa"/>
            <w:vMerge w:val="restart"/>
            <w:tcBorders>
              <w:top w:val="nil"/>
              <w:left w:val="single" w:color="000000" w:sz="4" w:space="0"/>
              <w:bottom w:val="single" w:color="000000" w:sz="4" w:space="0"/>
              <w:right w:val="nil"/>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计量单位</w:t>
            </w:r>
          </w:p>
        </w:tc>
        <w:tc>
          <w:tcPr>
            <w:tcW w:w="1230" w:type="dxa"/>
            <w:vMerge w:val="restart"/>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工程量</w:t>
            </w:r>
          </w:p>
        </w:tc>
        <w:tc>
          <w:tcPr>
            <w:tcW w:w="2410" w:type="dxa"/>
            <w:gridSpan w:val="3"/>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90" w:type="dxa"/>
            <w:vMerge w:val="continue"/>
            <w:tcBorders>
              <w:top w:val="nil"/>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10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08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84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920" w:type="dxa"/>
            <w:vMerge w:val="continue"/>
            <w:tcBorders>
              <w:top w:val="nil"/>
              <w:left w:val="single" w:color="000000" w:sz="4" w:space="0"/>
              <w:bottom w:val="single" w:color="000000" w:sz="4" w:space="0"/>
              <w:right w:val="nil"/>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23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03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综合单价</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综合合价</w:t>
            </w:r>
          </w:p>
        </w:tc>
        <w:tc>
          <w:tcPr>
            <w:tcW w:w="1080" w:type="dxa"/>
            <w:vMerge w:val="restart"/>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90" w:type="dxa"/>
            <w:vMerge w:val="continue"/>
            <w:tcBorders>
              <w:top w:val="nil"/>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10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08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84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920" w:type="dxa"/>
            <w:vMerge w:val="continue"/>
            <w:tcBorders>
              <w:top w:val="nil"/>
              <w:left w:val="single" w:color="000000" w:sz="4" w:space="0"/>
              <w:bottom w:val="single" w:color="000000" w:sz="4" w:space="0"/>
              <w:right w:val="nil"/>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23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080" w:type="dxa"/>
            <w:vMerge w:val="continue"/>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0" w:hRule="atLeast"/>
        </w:trPr>
        <w:tc>
          <w:tcPr>
            <w:tcW w:w="490" w:type="dxa"/>
            <w:tcBorders>
              <w:top w:val="single" w:color="000000" w:sz="4" w:space="0"/>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040201021002</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防渗膜清除</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1.清除材料:防渗HDPE膜</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2.垃圾外运距离:5km以内</w:t>
            </w:r>
          </w:p>
        </w:tc>
        <w:tc>
          <w:tcPr>
            <w:tcW w:w="920" w:type="dxa"/>
            <w:tcBorders>
              <w:top w:val="single" w:color="000000" w:sz="4" w:space="0"/>
              <w:left w:val="single" w:color="000000" w:sz="4" w:space="0"/>
              <w:bottom w:val="single" w:color="000000" w:sz="4" w:space="0"/>
              <w:right w:val="nil"/>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6077</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490" w:type="dxa"/>
            <w:tcBorders>
              <w:top w:val="single" w:color="000000" w:sz="4" w:space="0"/>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040101001005</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土方场内运输</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1.土壤类别:一、二类土</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2.场内运距:200m 内</w:t>
            </w:r>
          </w:p>
        </w:tc>
        <w:tc>
          <w:tcPr>
            <w:tcW w:w="920" w:type="dxa"/>
            <w:tcBorders>
              <w:top w:val="single" w:color="000000" w:sz="4" w:space="0"/>
              <w:left w:val="single" w:color="000000" w:sz="4" w:space="0"/>
              <w:bottom w:val="single" w:color="000000" w:sz="4" w:space="0"/>
              <w:right w:val="nil"/>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m3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104.1</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0" w:hRule="atLeast"/>
        </w:trPr>
        <w:tc>
          <w:tcPr>
            <w:tcW w:w="490" w:type="dxa"/>
            <w:tcBorders>
              <w:top w:val="single" w:color="000000" w:sz="4" w:space="0"/>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040103001002</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外运土回填压实</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1.密实度要求:压路机压实</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2.填方材料品种:外运素土</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3.填方来源、运距:附近1km内取土</w:t>
            </w:r>
          </w:p>
        </w:tc>
        <w:tc>
          <w:tcPr>
            <w:tcW w:w="920" w:type="dxa"/>
            <w:tcBorders>
              <w:top w:val="single" w:color="000000" w:sz="4" w:space="0"/>
              <w:left w:val="single" w:color="000000" w:sz="4" w:space="0"/>
              <w:bottom w:val="single" w:color="000000" w:sz="4" w:space="0"/>
              <w:right w:val="nil"/>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m3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16572.53</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00" w:hRule="atLeast"/>
        </w:trPr>
        <w:tc>
          <w:tcPr>
            <w:tcW w:w="490" w:type="dxa"/>
            <w:tcBorders>
              <w:top w:val="single" w:color="000000" w:sz="4" w:space="0"/>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040201022002</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排灌土沟</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1.断面尺寸:上口80cm、底部40cm、高40cm</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2.土沟成型</w:t>
            </w:r>
          </w:p>
        </w:tc>
        <w:tc>
          <w:tcPr>
            <w:tcW w:w="920" w:type="dxa"/>
            <w:tcBorders>
              <w:top w:val="single" w:color="000000" w:sz="4" w:space="0"/>
              <w:left w:val="single" w:color="000000" w:sz="4" w:space="0"/>
              <w:bottom w:val="single" w:color="000000" w:sz="4" w:space="0"/>
              <w:right w:val="nil"/>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640</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00" w:hRule="atLeast"/>
        </w:trPr>
        <w:tc>
          <w:tcPr>
            <w:tcW w:w="490" w:type="dxa"/>
            <w:tcBorders>
              <w:top w:val="single" w:color="000000" w:sz="4" w:space="0"/>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050102006003</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种植甘薯苗</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1.单位长度株数:20cm</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2.植物种类:甘薯苗</w:t>
            </w:r>
          </w:p>
        </w:tc>
        <w:tc>
          <w:tcPr>
            <w:tcW w:w="920" w:type="dxa"/>
            <w:tcBorders>
              <w:top w:val="single" w:color="000000" w:sz="4" w:space="0"/>
              <w:left w:val="single" w:color="000000" w:sz="4" w:space="0"/>
              <w:bottom w:val="single" w:color="000000" w:sz="4" w:space="0"/>
              <w:right w:val="nil"/>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株</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24308</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6660" w:type="dxa"/>
            <w:gridSpan w:val="7"/>
            <w:tcBorders>
              <w:top w:val="single" w:color="000000" w:sz="4" w:space="0"/>
              <w:left w:val="single" w:color="000000" w:sz="8" w:space="0"/>
              <w:bottom w:val="single" w:color="000000" w:sz="8"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合   计（价格含9%增值税专用发票）</w:t>
            </w:r>
          </w:p>
        </w:tc>
        <w:tc>
          <w:tcPr>
            <w:tcW w:w="1380" w:type="dxa"/>
            <w:tcBorders>
              <w:top w:val="single" w:color="000000" w:sz="4" w:space="0"/>
              <w:left w:val="single" w:color="000000" w:sz="4" w:space="0"/>
              <w:bottom w:val="single" w:color="000000" w:sz="8"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right"/>
              <w:rPr>
                <w:rFonts w:hint="eastAsia" w:ascii="宋体" w:hAnsi="宋体" w:eastAsia="宋体" w:cs="宋体"/>
                <w:i w:val="0"/>
                <w:color w:val="auto"/>
                <w:sz w:val="20"/>
                <w:szCs w:val="20"/>
                <w:highlight w:val="none"/>
                <w:u w:val="none"/>
                <w:lang w:val="zh-CN" w:bidi="zh-CN"/>
              </w:rPr>
            </w:pPr>
          </w:p>
        </w:tc>
        <w:tc>
          <w:tcPr>
            <w:tcW w:w="1080" w:type="dxa"/>
            <w:tcBorders>
              <w:top w:val="single" w:color="000000" w:sz="4" w:space="0"/>
              <w:left w:val="single" w:color="000000" w:sz="4" w:space="0"/>
              <w:bottom w:val="single" w:color="000000" w:sz="8" w:space="0"/>
              <w:right w:val="single" w:color="000000" w:sz="8" w:space="0"/>
            </w:tcBorders>
            <w:shd w:val="clear" w:color="FFFFFF" w:fill="FFFFFF"/>
            <w:tcMar>
              <w:top w:w="10" w:type="dxa"/>
              <w:left w:w="10" w:type="dxa"/>
              <w:right w:w="10" w:type="dxa"/>
            </w:tcMar>
            <w:vAlign w:val="center"/>
          </w:tcPr>
          <w:p>
            <w:pPr>
              <w:adjustRightInd/>
              <w:spacing w:before="0" w:after="0" w:line="240" w:lineRule="auto"/>
              <w:ind w:left="0" w:right="0"/>
              <w:jc w:val="right"/>
              <w:rPr>
                <w:rFonts w:hint="eastAsia" w:ascii="宋体" w:hAnsi="宋体" w:eastAsia="宋体" w:cs="宋体"/>
                <w:i w:val="0"/>
                <w:color w:val="auto"/>
                <w:sz w:val="20"/>
                <w:szCs w:val="20"/>
                <w:highlight w:val="none"/>
                <w:u w:val="none"/>
                <w:lang w:val="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690" w:type="dxa"/>
            <w:gridSpan w:val="9"/>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b/>
                <w:i w:val="0"/>
                <w:color w:val="auto"/>
                <w:sz w:val="20"/>
                <w:szCs w:val="20"/>
                <w:highlight w:val="none"/>
                <w:u w:val="none"/>
                <w:lang w:val="zh-CN" w:bidi="zh-CN"/>
              </w:rPr>
            </w:pPr>
            <w:r>
              <w:rPr>
                <w:rFonts w:hint="eastAsia" w:ascii="宋体" w:hAnsi="宋体" w:eastAsia="宋体" w:cs="宋体"/>
                <w:b/>
                <w:i w:val="0"/>
                <w:color w:val="auto"/>
                <w:kern w:val="0"/>
                <w:sz w:val="20"/>
                <w:szCs w:val="20"/>
                <w:highlight w:val="none"/>
                <w:u w:val="none"/>
                <w:lang w:val="en-US" w:eastAsia="zh-CN" w:bidi="ar"/>
              </w:rPr>
              <w:t>三、工程名称：莞番高速（寮步段）垃圾填埋场治理项目寮步镇地块一临时用地土地复垦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90" w:type="dxa"/>
            <w:vMerge w:val="restart"/>
            <w:tcBorders>
              <w:top w:val="nil"/>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序号</w:t>
            </w:r>
          </w:p>
        </w:tc>
        <w:tc>
          <w:tcPr>
            <w:tcW w:w="1100" w:type="dxa"/>
            <w:vMerge w:val="restart"/>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项目编码</w:t>
            </w:r>
          </w:p>
        </w:tc>
        <w:tc>
          <w:tcPr>
            <w:tcW w:w="1080" w:type="dxa"/>
            <w:vMerge w:val="restart"/>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项目名称</w:t>
            </w:r>
          </w:p>
        </w:tc>
        <w:tc>
          <w:tcPr>
            <w:tcW w:w="1840" w:type="dxa"/>
            <w:vMerge w:val="restart"/>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项目特征描述</w:t>
            </w:r>
          </w:p>
        </w:tc>
        <w:tc>
          <w:tcPr>
            <w:tcW w:w="920" w:type="dxa"/>
            <w:vMerge w:val="restart"/>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计量单位</w:t>
            </w:r>
          </w:p>
        </w:tc>
        <w:tc>
          <w:tcPr>
            <w:tcW w:w="1230" w:type="dxa"/>
            <w:vMerge w:val="restart"/>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工程量</w:t>
            </w:r>
          </w:p>
        </w:tc>
        <w:tc>
          <w:tcPr>
            <w:tcW w:w="2410" w:type="dxa"/>
            <w:gridSpan w:val="3"/>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90" w:type="dxa"/>
            <w:vMerge w:val="continue"/>
            <w:tcBorders>
              <w:top w:val="nil"/>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10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08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84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92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23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03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综合单价</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综合合价</w:t>
            </w:r>
          </w:p>
        </w:tc>
        <w:tc>
          <w:tcPr>
            <w:tcW w:w="1080" w:type="dxa"/>
            <w:vMerge w:val="restart"/>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90" w:type="dxa"/>
            <w:vMerge w:val="continue"/>
            <w:tcBorders>
              <w:top w:val="nil"/>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10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08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84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92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23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080" w:type="dxa"/>
            <w:vMerge w:val="continue"/>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0" w:hRule="atLeast"/>
        </w:trPr>
        <w:tc>
          <w:tcPr>
            <w:tcW w:w="490" w:type="dxa"/>
            <w:tcBorders>
              <w:top w:val="single" w:color="000000" w:sz="4" w:space="0"/>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040201021002</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防渗膜清除</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1.清除材料:防渗HDPE膜</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2.垃圾外运距离:5km以内</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9130</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90" w:type="dxa"/>
            <w:tcBorders>
              <w:top w:val="single" w:color="000000" w:sz="4" w:space="0"/>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040701001001</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土地平整</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1.机械平整场地</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9130</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490" w:type="dxa"/>
            <w:tcBorders>
              <w:top w:val="single" w:color="000000" w:sz="4" w:space="0"/>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040201022001</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排灌土沟</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1.断面尺寸:上口80cm、底部40cm、高40cm</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2.土沟成型</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825</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0" w:hRule="atLeast"/>
        </w:trPr>
        <w:tc>
          <w:tcPr>
            <w:tcW w:w="490" w:type="dxa"/>
            <w:tcBorders>
              <w:top w:val="single" w:color="000000" w:sz="4" w:space="0"/>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050102006003</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种植甘薯苗</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left"/>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1.单位长度株数:20cm</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2.植物种类:甘薯苗</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株</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36520</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adjustRightInd/>
              <w:spacing w:before="0" w:after="0" w:line="240" w:lineRule="auto"/>
              <w:ind w:left="0" w:right="0"/>
              <w:jc w:val="center"/>
              <w:rPr>
                <w:rFonts w:hint="eastAsia" w:ascii="宋体" w:hAnsi="宋体" w:eastAsia="宋体" w:cs="宋体"/>
                <w:i w:val="0"/>
                <w:color w:val="auto"/>
                <w:sz w:val="20"/>
                <w:szCs w:val="20"/>
                <w:highlight w:val="none"/>
                <w:u w:val="none"/>
                <w:lang w:val="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6660" w:type="dxa"/>
            <w:gridSpan w:val="7"/>
            <w:tcBorders>
              <w:top w:val="single" w:color="000000" w:sz="4" w:space="0"/>
              <w:left w:val="single" w:color="000000" w:sz="8" w:space="0"/>
              <w:bottom w:val="nil"/>
              <w:right w:val="single" w:color="000000" w:sz="4" w:space="0"/>
            </w:tcBorders>
            <w:shd w:val="clear" w:color="FFFFFF" w:fill="FFFFFF"/>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i w:val="0"/>
                <w:color w:val="auto"/>
                <w:sz w:val="20"/>
                <w:szCs w:val="20"/>
                <w:highlight w:val="none"/>
                <w:u w:val="none"/>
                <w:lang w:val="zh-CN" w:bidi="zh-CN"/>
              </w:rPr>
            </w:pPr>
            <w:r>
              <w:rPr>
                <w:rFonts w:hint="eastAsia" w:ascii="宋体" w:hAnsi="宋体" w:eastAsia="宋体" w:cs="宋体"/>
                <w:i w:val="0"/>
                <w:color w:val="auto"/>
                <w:kern w:val="0"/>
                <w:sz w:val="20"/>
                <w:szCs w:val="20"/>
                <w:highlight w:val="none"/>
                <w:u w:val="none"/>
                <w:lang w:val="en-US" w:eastAsia="zh-CN" w:bidi="ar"/>
              </w:rPr>
              <w:t>合   计（价格含9%增值税专票）</w:t>
            </w:r>
          </w:p>
        </w:tc>
        <w:tc>
          <w:tcPr>
            <w:tcW w:w="1380" w:type="dxa"/>
            <w:tcBorders>
              <w:top w:val="single" w:color="000000" w:sz="4" w:space="0"/>
              <w:left w:val="single" w:color="000000" w:sz="4" w:space="0"/>
              <w:bottom w:val="nil"/>
              <w:right w:val="single" w:color="000000" w:sz="4" w:space="0"/>
            </w:tcBorders>
            <w:shd w:val="clear" w:color="FFFFFF" w:fill="FFFFFF"/>
            <w:tcMar>
              <w:top w:w="10" w:type="dxa"/>
              <w:left w:w="10" w:type="dxa"/>
              <w:right w:w="10" w:type="dxa"/>
            </w:tcMar>
            <w:vAlign w:val="center"/>
          </w:tcPr>
          <w:p>
            <w:pPr>
              <w:adjustRightInd/>
              <w:spacing w:before="0" w:after="0" w:line="240" w:lineRule="auto"/>
              <w:ind w:left="0" w:right="0"/>
              <w:jc w:val="right"/>
              <w:rPr>
                <w:rFonts w:hint="eastAsia" w:ascii="宋体" w:hAnsi="宋体" w:eastAsia="宋体" w:cs="宋体"/>
                <w:i w:val="0"/>
                <w:color w:val="auto"/>
                <w:sz w:val="20"/>
                <w:szCs w:val="20"/>
                <w:highlight w:val="none"/>
                <w:u w:val="none"/>
                <w:lang w:val="zh-CN" w:bidi="zh-CN"/>
              </w:rPr>
            </w:pPr>
          </w:p>
        </w:tc>
        <w:tc>
          <w:tcPr>
            <w:tcW w:w="1080" w:type="dxa"/>
            <w:tcBorders>
              <w:top w:val="single" w:color="000000" w:sz="4" w:space="0"/>
              <w:left w:val="single" w:color="000000" w:sz="4" w:space="0"/>
              <w:bottom w:val="nil"/>
              <w:right w:val="single" w:color="000000" w:sz="8" w:space="0"/>
            </w:tcBorders>
            <w:shd w:val="clear" w:color="FFFFFF" w:fill="FFFFFF"/>
            <w:tcMar>
              <w:top w:w="10" w:type="dxa"/>
              <w:left w:w="10" w:type="dxa"/>
              <w:right w:w="10" w:type="dxa"/>
            </w:tcMar>
            <w:vAlign w:val="center"/>
          </w:tcPr>
          <w:p>
            <w:pPr>
              <w:adjustRightInd/>
              <w:spacing w:before="0" w:after="0" w:line="240" w:lineRule="auto"/>
              <w:ind w:left="0" w:right="0"/>
              <w:jc w:val="right"/>
              <w:rPr>
                <w:rFonts w:hint="eastAsia" w:ascii="宋体" w:hAnsi="宋体" w:eastAsia="宋体" w:cs="宋体"/>
                <w:i w:val="0"/>
                <w:color w:val="auto"/>
                <w:sz w:val="20"/>
                <w:szCs w:val="20"/>
                <w:highlight w:val="none"/>
                <w:u w:val="none"/>
                <w:lang w:val="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adjustRightInd/>
              <w:spacing w:before="0" w:after="0" w:line="240" w:lineRule="auto"/>
              <w:ind w:left="0" w:right="0"/>
              <w:jc w:val="center"/>
              <w:textAlignment w:val="center"/>
              <w:rPr>
                <w:rFonts w:hint="eastAsia" w:ascii="宋体" w:hAnsi="宋体" w:eastAsia="宋体" w:cs="宋体"/>
                <w:b/>
                <w:i w:val="0"/>
                <w:color w:val="auto"/>
                <w:sz w:val="24"/>
                <w:szCs w:val="24"/>
                <w:highlight w:val="none"/>
                <w:u w:val="none"/>
                <w:lang w:val="zh-CN" w:bidi="zh-CN"/>
              </w:rPr>
            </w:pPr>
            <w:r>
              <w:rPr>
                <w:rFonts w:hint="eastAsia" w:ascii="宋体" w:hAnsi="宋体" w:eastAsia="宋体" w:cs="宋体"/>
                <w:b/>
                <w:i w:val="0"/>
                <w:color w:val="auto"/>
                <w:kern w:val="0"/>
                <w:sz w:val="24"/>
                <w:szCs w:val="24"/>
                <w:highlight w:val="none"/>
                <w:u w:val="none"/>
                <w:lang w:val="en-US" w:eastAsia="zh-CN" w:bidi="ar"/>
              </w:rPr>
              <w:t>包干总计（一＋二＋三）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adjustRightInd/>
              <w:spacing w:before="0" w:after="0" w:line="240" w:lineRule="auto"/>
              <w:ind w:left="0" w:right="0"/>
              <w:jc w:val="left"/>
              <w:rPr>
                <w:rFonts w:hint="eastAsia" w:ascii="宋体" w:hAnsi="宋体" w:eastAsia="宋体" w:cs="宋体"/>
                <w:b/>
                <w:i w:val="0"/>
                <w:color w:val="auto"/>
                <w:sz w:val="24"/>
                <w:szCs w:val="24"/>
                <w:highlight w:val="none"/>
                <w:u w:val="none"/>
                <w:lang w:val="zh-CN" w:bidi="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adjustRightInd/>
              <w:spacing w:before="0" w:after="0" w:line="240" w:lineRule="auto"/>
              <w:ind w:left="0" w:right="0"/>
              <w:jc w:val="left"/>
              <w:rPr>
                <w:rFonts w:hint="eastAsia" w:ascii="宋体" w:hAnsi="宋体" w:eastAsia="宋体" w:cs="宋体"/>
                <w:b/>
                <w:i w:val="0"/>
                <w:color w:val="auto"/>
                <w:sz w:val="24"/>
                <w:szCs w:val="24"/>
                <w:highlight w:val="none"/>
                <w:u w:val="none"/>
                <w:lang w:val="zh-CN" w:bidi="zh-CN"/>
              </w:rPr>
            </w:pPr>
          </w:p>
        </w:tc>
      </w:tr>
    </w:tbl>
    <w:p>
      <w:pPr>
        <w:keepNext w:val="0"/>
        <w:keepLines w:val="0"/>
        <w:pageBreakBefore w:val="0"/>
        <w:kinsoku/>
        <w:wordWrap/>
        <w:overflowPunct/>
        <w:topLinePunct w:val="0"/>
        <w:bidi w:val="0"/>
        <w:adjustRightInd/>
        <w:spacing w:before="0" w:after="0"/>
        <w:ind w:left="0" w:leftChars="0" w:right="0" w:firstLine="0" w:firstLineChars="0"/>
        <w:rPr>
          <w:rFonts w:hint="eastAsia" w:ascii="宋体" w:hAnsi="宋体" w:eastAsia="宋体" w:cs="宋体"/>
          <w:bCs w:val="0"/>
          <w:color w:val="auto"/>
          <w:spacing w:val="0"/>
          <w:w w:val="100"/>
          <w:kern w:val="0"/>
          <w:highlight w:val="none"/>
          <w:lang w:val="en-US" w:eastAsia="zh-CN"/>
        </w:rPr>
        <w:sectPr>
          <w:footerReference r:id="rId11" w:type="default"/>
          <w:pgSz w:w="11910" w:h="16840"/>
          <w:pgMar w:top="1440" w:right="1080" w:bottom="1440" w:left="1080" w:header="0" w:footer="609" w:gutter="0"/>
          <w:pgNumType w:fmt="decimal"/>
          <w:cols w:space="720" w:num="1"/>
        </w:sectPr>
      </w:pPr>
      <w:r>
        <w:rPr>
          <w:rFonts w:hint="eastAsia" w:ascii="宋体" w:hAnsi="宋体" w:eastAsia="宋体" w:cs="宋体"/>
          <w:bCs w:val="0"/>
          <w:color w:val="auto"/>
          <w:spacing w:val="0"/>
          <w:w w:val="100"/>
          <w:kern w:val="0"/>
          <w:sz w:val="22"/>
          <w:szCs w:val="22"/>
          <w:highlight w:val="none"/>
          <w:lang w:val="en-US" w:eastAsia="zh-CN" w:bidi="zh-CN"/>
        </w:rPr>
        <w:t>附件六 技术需求书（与磋商文件第三篇《用户需求书》第二部分（技术需求书）一致）</w:t>
      </w:r>
    </w:p>
    <w:p>
      <w:pPr>
        <w:pStyle w:val="4"/>
        <w:keepNext/>
        <w:keepLines/>
        <w:pageBreakBefore/>
        <w:spacing w:line="360" w:lineRule="auto"/>
        <w:ind w:firstLine="3092" w:firstLineChars="1100"/>
        <w:jc w:val="both"/>
        <w:rPr>
          <w:rFonts w:hAnsi="宋体"/>
          <w:b/>
          <w:bCs/>
          <w:color w:val="auto"/>
          <w:kern w:val="44"/>
          <w:sz w:val="28"/>
          <w:szCs w:val="28"/>
          <w:highlight w:val="none"/>
          <w:lang w:val="zh-CN"/>
        </w:rPr>
      </w:pPr>
      <w:bookmarkStart w:id="245" w:name="_Toc19235"/>
      <w:bookmarkStart w:id="246" w:name="_Toc396137242"/>
      <w:r>
        <w:rPr>
          <w:rFonts w:hint="eastAsia" w:hAnsi="宋体"/>
          <w:b/>
          <w:bCs/>
          <w:color w:val="auto"/>
          <w:kern w:val="44"/>
          <w:sz w:val="28"/>
          <w:szCs w:val="28"/>
          <w:highlight w:val="none"/>
          <w:lang w:val="zh-CN"/>
        </w:rPr>
        <w:t>第六篇磋商响应文件格式</w:t>
      </w:r>
      <w:bookmarkEnd w:id="245"/>
      <w:bookmarkEnd w:id="246"/>
    </w:p>
    <w:p>
      <w:pPr>
        <w:ind w:firstLine="1800" w:firstLineChars="750"/>
        <w:rPr>
          <w:rFonts w:hAnsi="宋体"/>
          <w:color w:val="auto"/>
          <w:highlight w:val="none"/>
        </w:rPr>
      </w:pPr>
    </w:p>
    <w:p>
      <w:pPr>
        <w:pStyle w:val="5"/>
        <w:jc w:val="center"/>
        <w:rPr>
          <w:color w:val="auto"/>
          <w:sz w:val="28"/>
          <w:szCs w:val="28"/>
          <w:highlight w:val="none"/>
        </w:rPr>
      </w:pPr>
      <w:bookmarkStart w:id="247" w:name="_Toc27876"/>
      <w:bookmarkStart w:id="248" w:name="_Toc19311"/>
      <w:bookmarkStart w:id="249" w:name="_Toc9566"/>
      <w:r>
        <w:rPr>
          <w:rFonts w:hint="eastAsia"/>
          <w:color w:val="auto"/>
          <w:sz w:val="28"/>
          <w:szCs w:val="28"/>
          <w:highlight w:val="none"/>
        </w:rPr>
        <w:t>第一部分 价格文件（单独编制装订成册）</w:t>
      </w:r>
      <w:bookmarkEnd w:id="247"/>
      <w:bookmarkEnd w:id="248"/>
      <w:bookmarkEnd w:id="249"/>
    </w:p>
    <w:p>
      <w:pPr>
        <w:ind w:firstLine="1800" w:firstLineChars="750"/>
        <w:rPr>
          <w:rFonts w:hAnsi="宋体"/>
          <w:color w:val="auto"/>
          <w:highlight w:val="none"/>
        </w:rPr>
      </w:pPr>
    </w:p>
    <w:p>
      <w:pPr>
        <w:pStyle w:val="5"/>
        <w:numPr>
          <w:ilvl w:val="0"/>
          <w:numId w:val="38"/>
        </w:numPr>
        <w:jc w:val="center"/>
        <w:rPr>
          <w:color w:val="auto"/>
          <w:sz w:val="28"/>
          <w:szCs w:val="28"/>
          <w:highlight w:val="none"/>
        </w:rPr>
      </w:pPr>
      <w:bookmarkStart w:id="250" w:name="_Toc12373"/>
      <w:bookmarkStart w:id="251" w:name="_Toc7897888"/>
      <w:bookmarkStart w:id="252" w:name="_Toc20730"/>
      <w:bookmarkStart w:id="253" w:name="_Toc22824"/>
      <w:bookmarkStart w:id="254" w:name="_Toc467236769"/>
      <w:bookmarkStart w:id="255" w:name="_Toc458262639"/>
      <w:bookmarkStart w:id="256" w:name="_Toc454701406"/>
      <w:bookmarkStart w:id="257" w:name="_Toc486671573"/>
      <w:bookmarkStart w:id="258" w:name="_Toc476976201"/>
      <w:bookmarkStart w:id="259" w:name="_Toc2544"/>
      <w:bookmarkStart w:id="260" w:name="_Toc18848"/>
      <w:bookmarkStart w:id="261" w:name="_Toc12383"/>
      <w:bookmarkStart w:id="262" w:name="_Toc30637"/>
      <w:bookmarkStart w:id="263" w:name="_Toc32405"/>
      <w:bookmarkStart w:id="264" w:name="_Toc19671"/>
      <w:bookmarkStart w:id="265" w:name="_Toc29841"/>
      <w:bookmarkStart w:id="266" w:name="_Toc9348"/>
      <w:bookmarkStart w:id="267" w:name="_Toc28095"/>
      <w:bookmarkStart w:id="268" w:name="_Toc32736"/>
      <w:bookmarkStart w:id="269" w:name="_Toc15960"/>
      <w:bookmarkStart w:id="270" w:name="_Toc32273"/>
      <w:bookmarkStart w:id="271" w:name="_Toc396137244"/>
      <w:r>
        <w:rPr>
          <w:rFonts w:hint="eastAsia"/>
          <w:color w:val="auto"/>
          <w:sz w:val="28"/>
          <w:szCs w:val="28"/>
          <w:highlight w:val="none"/>
        </w:rPr>
        <w:t>报价一览表</w:t>
      </w:r>
      <w:bookmarkEnd w:id="250"/>
      <w:bookmarkEnd w:id="251"/>
      <w:bookmarkEnd w:id="252"/>
      <w:bookmarkEnd w:id="253"/>
    </w:p>
    <w:p>
      <w:pPr>
        <w:pStyle w:val="14"/>
        <w:ind w:firstLine="400"/>
        <w:rPr>
          <w:rFonts w:hAnsi="宋体"/>
          <w:color w:val="auto"/>
          <w:highlight w:val="none"/>
        </w:rPr>
      </w:pPr>
    </w:p>
    <w:p>
      <w:pPr>
        <w:overflowPunct w:val="0"/>
        <w:spacing w:line="460" w:lineRule="exact"/>
        <w:jc w:val="right"/>
        <w:rPr>
          <w:rFonts w:hAnsi="宋体"/>
          <w:color w:val="auto"/>
          <w:highlight w:val="none"/>
        </w:rPr>
      </w:pPr>
      <w:r>
        <w:rPr>
          <w:rFonts w:hint="eastAsia" w:hAnsi="宋体"/>
          <w:color w:val="auto"/>
          <w:highlight w:val="none"/>
        </w:rPr>
        <w:t>单位：元/（人民币）</w:t>
      </w:r>
    </w:p>
    <w:tbl>
      <w:tblPr>
        <w:tblStyle w:val="52"/>
        <w:tblW w:w="94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2"/>
        <w:gridCol w:w="2209"/>
        <w:gridCol w:w="3883"/>
        <w:gridCol w:w="19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1382"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项目编号</w:t>
            </w:r>
          </w:p>
        </w:tc>
        <w:tc>
          <w:tcPr>
            <w:tcW w:w="2209"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项目名称</w:t>
            </w:r>
          </w:p>
        </w:tc>
        <w:tc>
          <w:tcPr>
            <w:tcW w:w="3883"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总报价</w:t>
            </w:r>
          </w:p>
        </w:tc>
        <w:tc>
          <w:tcPr>
            <w:tcW w:w="1995" w:type="dxa"/>
            <w:vAlign w:val="center"/>
          </w:tcPr>
          <w:p>
            <w:pPr>
              <w:overflowPunct w:val="0"/>
              <w:jc w:val="center"/>
              <w:rPr>
                <w:rFonts w:hAnsi="宋体"/>
                <w:b/>
                <w:color w:val="auto"/>
                <w:sz w:val="21"/>
                <w:szCs w:val="21"/>
                <w:highlight w:val="none"/>
              </w:rPr>
            </w:pPr>
            <w:r>
              <w:rPr>
                <w:rFonts w:hint="eastAsia" w:hAnsi="宋体"/>
                <w:b/>
                <w:color w:val="auto"/>
                <w:sz w:val="21"/>
                <w:szCs w:val="21"/>
                <w:highlight w:val="none"/>
              </w:rPr>
              <w:t>备注</w:t>
            </w:r>
          </w:p>
          <w:p>
            <w:pPr>
              <w:overflowPunct w:val="0"/>
              <w:jc w:val="center"/>
              <w:rPr>
                <w:rFonts w:hAnsi="宋体"/>
                <w:b/>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6" w:hRule="atLeast"/>
          <w:jc w:val="center"/>
        </w:trPr>
        <w:tc>
          <w:tcPr>
            <w:tcW w:w="1382" w:type="dxa"/>
            <w:vAlign w:val="center"/>
          </w:tcPr>
          <w:p>
            <w:pPr>
              <w:overflowPunct w:val="0"/>
              <w:spacing w:line="460" w:lineRule="exact"/>
              <w:jc w:val="center"/>
              <w:rPr>
                <w:rFonts w:hint="eastAsia" w:hAnsi="宋体" w:eastAsia="宋体"/>
                <w:color w:val="auto"/>
                <w:sz w:val="21"/>
                <w:szCs w:val="21"/>
                <w:highlight w:val="none"/>
                <w:lang w:eastAsia="zh-CN"/>
              </w:rPr>
            </w:pPr>
            <w:r>
              <w:rPr>
                <w:rFonts w:hint="eastAsia" w:hAnsi="宋体" w:eastAsia="宋体"/>
                <w:color w:val="auto"/>
                <w:sz w:val="21"/>
                <w:szCs w:val="21"/>
                <w:highlight w:val="none"/>
                <w:lang w:eastAsia="zh-CN"/>
              </w:rPr>
              <w:t>DSKN(2022)-LB-GC-001</w:t>
            </w:r>
          </w:p>
        </w:tc>
        <w:tc>
          <w:tcPr>
            <w:tcW w:w="2209" w:type="dxa"/>
            <w:vAlign w:val="center"/>
          </w:tcPr>
          <w:p>
            <w:pPr>
              <w:overflowPunct w:val="0"/>
              <w:spacing w:line="460" w:lineRule="exact"/>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莞番高速（寮步段）垃圾填埋场治理项目土地复垦工程</w:t>
            </w:r>
          </w:p>
        </w:tc>
        <w:tc>
          <w:tcPr>
            <w:tcW w:w="3883" w:type="dxa"/>
            <w:vAlign w:val="center"/>
          </w:tcPr>
          <w:p>
            <w:pPr>
              <w:overflowPunct w:val="0"/>
              <w:spacing w:line="460" w:lineRule="exact"/>
              <w:ind w:firstLine="210" w:firstLineChars="100"/>
              <w:jc w:val="both"/>
              <w:rPr>
                <w:color w:val="auto"/>
                <w:sz w:val="21"/>
                <w:szCs w:val="21"/>
                <w:highlight w:val="none"/>
              </w:rPr>
            </w:pPr>
            <w:r>
              <w:rPr>
                <w:rFonts w:hint="eastAsia"/>
                <w:color w:val="auto"/>
                <w:sz w:val="21"/>
                <w:szCs w:val="21"/>
                <w:highlight w:val="none"/>
                <w:lang w:eastAsia="zh-CN"/>
              </w:rPr>
              <w:t>总</w:t>
            </w:r>
            <w:r>
              <w:rPr>
                <w:rFonts w:hint="eastAsia"/>
                <w:color w:val="auto"/>
                <w:sz w:val="21"/>
                <w:szCs w:val="21"/>
                <w:highlight w:val="none"/>
              </w:rPr>
              <w:t>报价：</w:t>
            </w:r>
          </w:p>
          <w:p>
            <w:pPr>
              <w:pStyle w:val="62"/>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2"/>
              <w:ind w:firstLine="630" w:firstLineChars="300"/>
              <w:rPr>
                <w:color w:val="auto"/>
                <w:sz w:val="21"/>
                <w:szCs w:val="21"/>
                <w:highlight w:val="none"/>
              </w:rPr>
            </w:pPr>
            <w:r>
              <w:rPr>
                <w:rFonts w:hint="eastAsia"/>
                <w:color w:val="auto"/>
                <w:sz w:val="21"/>
                <w:szCs w:val="21"/>
                <w:highlight w:val="none"/>
                <w:lang w:val="en-US"/>
              </w:rPr>
              <w:t>大写：</w:t>
            </w:r>
          </w:p>
        </w:tc>
        <w:tc>
          <w:tcPr>
            <w:tcW w:w="1995" w:type="dxa"/>
            <w:vAlign w:val="center"/>
          </w:tcPr>
          <w:p>
            <w:pPr>
              <w:overflowPunct w:val="0"/>
              <w:spacing w:line="460" w:lineRule="exact"/>
              <w:jc w:val="center"/>
              <w:rPr>
                <w:rFonts w:hint="default" w:hAnsi="宋体" w:eastAsia="宋体"/>
                <w:color w:val="auto"/>
                <w:sz w:val="21"/>
                <w:szCs w:val="21"/>
                <w:highlight w:val="none"/>
                <w:lang w:val="en-US" w:eastAsia="zh-CN"/>
              </w:rPr>
            </w:pPr>
            <w:r>
              <w:rPr>
                <w:rFonts w:hint="eastAsia" w:hAnsi="宋体"/>
                <w:color w:val="auto"/>
                <w:sz w:val="21"/>
                <w:szCs w:val="21"/>
                <w:highlight w:val="none"/>
                <w:lang w:eastAsia="zh-CN"/>
              </w:rPr>
              <w:t>税率：</w:t>
            </w:r>
            <w:r>
              <w:rPr>
                <w:rFonts w:hint="eastAsia" w:hAnsi="宋体"/>
                <w:color w:val="auto"/>
                <w:sz w:val="21"/>
                <w:szCs w:val="21"/>
                <w:highlight w:val="none"/>
                <w:u w:val="single"/>
                <w:lang w:val="en-US" w:eastAsia="zh-CN"/>
              </w:rPr>
              <w:t xml:space="preserve"> 9  </w:t>
            </w:r>
            <w:r>
              <w:rPr>
                <w:rFonts w:hint="eastAsia" w:hAnsi="宋体"/>
                <w:color w:val="auto"/>
                <w:sz w:val="21"/>
                <w:szCs w:val="21"/>
                <w:highlight w:val="none"/>
                <w:lang w:val="en-US" w:eastAsia="zh-CN"/>
              </w:rPr>
              <w:t>%</w:t>
            </w:r>
          </w:p>
        </w:tc>
      </w:tr>
    </w:tbl>
    <w:p>
      <w:pPr>
        <w:overflowPunct w:val="0"/>
        <w:spacing w:line="460" w:lineRule="exact"/>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138"/>
        <w:spacing w:line="460" w:lineRule="exact"/>
        <w:ind w:firstLine="1583" w:firstLineChars="754"/>
        <w:rPr>
          <w:rFonts w:ascii="宋体" w:eastAsia="宋体"/>
          <w:color w:val="auto"/>
          <w:sz w:val="21"/>
          <w:szCs w:val="21"/>
          <w:highlight w:val="none"/>
        </w:rPr>
      </w:pPr>
    </w:p>
    <w:p>
      <w:pPr>
        <w:pStyle w:val="14"/>
        <w:spacing w:line="360" w:lineRule="auto"/>
        <w:rPr>
          <w:color w:val="auto"/>
          <w:sz w:val="22"/>
          <w:szCs w:val="22"/>
          <w:highlight w:val="none"/>
        </w:rPr>
      </w:pPr>
      <w:r>
        <w:rPr>
          <w:rFonts w:hint="eastAsia"/>
          <w:color w:val="auto"/>
          <w:sz w:val="21"/>
          <w:szCs w:val="21"/>
          <w:highlight w:val="none"/>
        </w:rPr>
        <w:t>注：</w:t>
      </w:r>
      <w:bookmarkEnd w:id="254"/>
      <w:bookmarkEnd w:id="255"/>
      <w:bookmarkEnd w:id="256"/>
      <w:bookmarkEnd w:id="257"/>
      <w:bookmarkEnd w:id="258"/>
      <w:r>
        <w:rPr>
          <w:rFonts w:hint="eastAsia"/>
          <w:color w:val="auto"/>
          <w:sz w:val="21"/>
          <w:szCs w:val="21"/>
          <w:highlight w:val="none"/>
        </w:rPr>
        <w:t>中文大写金额用汉字，总报价大写以“零、壹、贰、叁、肆、伍、陆、柒、捌、玖、拾、佰、仟、万、亿、元、角、分”填报，下浮率大写以“零、一、二、三、四、五、六、七、八、九、百分之” 填报。</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sz w:val="28"/>
          <w:szCs w:val="28"/>
          <w:highlight w:val="none"/>
        </w:rPr>
      </w:pPr>
      <w:r>
        <w:rPr>
          <w:rFonts w:hint="eastAsia"/>
          <w:color w:val="auto"/>
          <w:sz w:val="28"/>
          <w:szCs w:val="28"/>
          <w:highlight w:val="none"/>
        </w:rPr>
        <w:br w:type="page"/>
      </w:r>
    </w:p>
    <w:p>
      <w:pPr>
        <w:pStyle w:val="5"/>
        <w:numPr>
          <w:ilvl w:val="0"/>
          <w:numId w:val="38"/>
        </w:numPr>
        <w:jc w:val="center"/>
        <w:rPr>
          <w:color w:val="auto"/>
          <w:sz w:val="28"/>
          <w:szCs w:val="28"/>
          <w:highlight w:val="none"/>
        </w:rPr>
      </w:pPr>
      <w:r>
        <w:rPr>
          <w:rFonts w:hint="eastAsia"/>
          <w:color w:val="auto"/>
          <w:sz w:val="28"/>
          <w:szCs w:val="28"/>
          <w:highlight w:val="none"/>
          <w:lang w:eastAsia="zh-CN"/>
        </w:rPr>
        <w:t>分项报价表</w:t>
      </w:r>
    </w:p>
    <w:p>
      <w:pPr>
        <w:spacing w:line="400" w:lineRule="exact"/>
        <w:rPr>
          <w:rFonts w:hint="eastAsia" w:ascii="宋体" w:hAnsi="宋体" w:eastAsia="宋体" w:cs="宋体"/>
          <w:color w:val="auto"/>
          <w:sz w:val="21"/>
          <w:szCs w:val="21"/>
          <w:highlight w:val="none"/>
        </w:rPr>
      </w:pPr>
    </w:p>
    <w:tbl>
      <w:tblPr>
        <w:tblStyle w:val="52"/>
        <w:tblW w:w="101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4"/>
        <w:gridCol w:w="1220"/>
        <w:gridCol w:w="1067"/>
        <w:gridCol w:w="1819"/>
        <w:gridCol w:w="906"/>
        <w:gridCol w:w="1222"/>
        <w:gridCol w:w="1013"/>
        <w:gridCol w:w="1356"/>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7690" w:type="dxa"/>
            <w:gridSpan w:val="9"/>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一、工程名称：莞番高速（寮步段）垃圾填埋场治理项目大岭山镇地块临时用地土地复垦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84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预估工程量</w:t>
            </w:r>
          </w:p>
        </w:tc>
        <w:tc>
          <w:tcPr>
            <w:tcW w:w="2410" w:type="dxa"/>
            <w:gridSpan w:val="3"/>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490" w:type="dxa"/>
            <w:tcBorders>
              <w:top w:val="nil"/>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100" w:type="dxa"/>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040201021001</w:t>
            </w:r>
          </w:p>
        </w:tc>
        <w:tc>
          <w:tcPr>
            <w:tcW w:w="1080" w:type="dxa"/>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防渗膜清除</w:t>
            </w:r>
          </w:p>
        </w:tc>
        <w:tc>
          <w:tcPr>
            <w:tcW w:w="1840" w:type="dxa"/>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1.清除材料:防渗HDPE膜</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2.垃圾外运距离:5km以内</w:t>
            </w:r>
          </w:p>
        </w:tc>
        <w:tc>
          <w:tcPr>
            <w:tcW w:w="920" w:type="dxa"/>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1230" w:type="dxa"/>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28861</w:t>
            </w:r>
          </w:p>
        </w:tc>
        <w:tc>
          <w:tcPr>
            <w:tcW w:w="1030" w:type="dxa"/>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right"/>
              <w:rPr>
                <w:rFonts w:hint="eastAsia" w:ascii="宋体" w:hAnsi="宋体" w:eastAsia="宋体" w:cs="宋体"/>
                <w:i w:val="0"/>
                <w:color w:val="auto"/>
                <w:sz w:val="20"/>
                <w:szCs w:val="20"/>
                <w:highlight w:val="none"/>
                <w:u w:val="none"/>
              </w:rPr>
            </w:pPr>
          </w:p>
        </w:tc>
        <w:tc>
          <w:tcPr>
            <w:tcW w:w="1380" w:type="dxa"/>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right"/>
              <w:rPr>
                <w:rFonts w:hint="eastAsia" w:ascii="宋体" w:hAnsi="宋体" w:eastAsia="宋体" w:cs="宋体"/>
                <w:i w:val="0"/>
                <w:color w:val="auto"/>
                <w:sz w:val="20"/>
                <w:szCs w:val="20"/>
                <w:highlight w:val="none"/>
                <w:u w:val="none"/>
              </w:rPr>
            </w:pPr>
          </w:p>
        </w:tc>
        <w:tc>
          <w:tcPr>
            <w:tcW w:w="1080" w:type="dxa"/>
            <w:tcBorders>
              <w:top w:val="nil"/>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490" w:type="dxa"/>
            <w:tcBorders>
              <w:top w:val="single" w:color="000000" w:sz="4" w:space="0"/>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040101001002</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土方场内运输</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1.土壤类别:一、二类土</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2.场内运距:200m 内</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79186.8</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right"/>
              <w:rPr>
                <w:rFonts w:hint="eastAsia" w:ascii="宋体" w:hAnsi="宋体" w:eastAsia="宋体" w:cs="宋体"/>
                <w:i w:val="0"/>
                <w:color w:val="auto"/>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right"/>
              <w:rPr>
                <w:rFonts w:hint="eastAsia" w:ascii="宋体" w:hAnsi="宋体" w:eastAsia="宋体" w:cs="宋体"/>
                <w:i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00" w:hRule="atLeast"/>
        </w:trPr>
        <w:tc>
          <w:tcPr>
            <w:tcW w:w="490" w:type="dxa"/>
            <w:tcBorders>
              <w:top w:val="single" w:color="000000" w:sz="4" w:space="0"/>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040103001001</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外运土回填压实</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1.密实度要求:压路机压实</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2.填方材料品种:外运素土</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3.填方来源、运距:附近2km内取土</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11385.3</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right"/>
              <w:rPr>
                <w:rFonts w:hint="eastAsia" w:ascii="宋体" w:hAnsi="宋体" w:eastAsia="宋体" w:cs="宋体"/>
                <w:i w:val="0"/>
                <w:color w:val="auto"/>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right"/>
              <w:rPr>
                <w:rFonts w:hint="eastAsia" w:ascii="宋体" w:hAnsi="宋体" w:eastAsia="宋体" w:cs="宋体"/>
                <w:i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490" w:type="dxa"/>
            <w:tcBorders>
              <w:top w:val="single" w:color="000000" w:sz="4" w:space="0"/>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040201022001</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排灌土沟</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1.断面尺寸:上口80cm、底部40cm、高40cm</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2.土沟成型</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398</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right"/>
              <w:rPr>
                <w:rFonts w:hint="eastAsia" w:ascii="宋体" w:hAnsi="宋体" w:eastAsia="宋体" w:cs="宋体"/>
                <w:i w:val="0"/>
                <w:color w:val="auto"/>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right"/>
              <w:rPr>
                <w:rFonts w:hint="eastAsia" w:ascii="宋体" w:hAnsi="宋体" w:eastAsia="宋体" w:cs="宋体"/>
                <w:i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490" w:type="dxa"/>
            <w:tcBorders>
              <w:top w:val="single" w:color="000000" w:sz="4" w:space="0"/>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040202001001</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路床(槽)整形</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left"/>
              <w:rPr>
                <w:rFonts w:hint="eastAsia" w:ascii="宋体" w:hAnsi="宋体" w:eastAsia="宋体" w:cs="宋体"/>
                <w:i w:val="0"/>
                <w:color w:val="auto"/>
                <w:sz w:val="20"/>
                <w:szCs w:val="20"/>
                <w:highlight w:val="none"/>
                <w:u w:val="none"/>
              </w:rPr>
            </w:pP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1313.4</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right"/>
              <w:rPr>
                <w:rFonts w:hint="eastAsia" w:ascii="宋体" w:hAnsi="宋体" w:eastAsia="宋体" w:cs="宋体"/>
                <w:i w:val="0"/>
                <w:color w:val="auto"/>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right"/>
              <w:rPr>
                <w:rFonts w:hint="eastAsia" w:ascii="宋体" w:hAnsi="宋体" w:eastAsia="宋体" w:cs="宋体"/>
                <w:i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90" w:type="dxa"/>
            <w:tcBorders>
              <w:top w:val="single" w:color="000000" w:sz="4" w:space="0"/>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040202011001</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级配碎石路面</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1.石料规格:20~40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2.厚度:30cm</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1313.4</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right"/>
              <w:rPr>
                <w:rFonts w:hint="eastAsia" w:ascii="宋体" w:hAnsi="宋体" w:eastAsia="宋体" w:cs="宋体"/>
                <w:i w:val="0"/>
                <w:color w:val="auto"/>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right"/>
              <w:rPr>
                <w:rFonts w:hint="eastAsia" w:ascii="宋体" w:hAnsi="宋体" w:eastAsia="宋体" w:cs="宋体"/>
                <w:i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80" w:hRule="atLeast"/>
        </w:trPr>
        <w:tc>
          <w:tcPr>
            <w:tcW w:w="490" w:type="dxa"/>
            <w:tcBorders>
              <w:top w:val="single" w:color="000000" w:sz="4" w:space="0"/>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040501001001</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新建涵管</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1.垫层、基础材质及厚度:砂砾石垫层150厚</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2.管座材质:C25砼</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3.规格:Φ600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4.接口方式:水泥砂浆接口</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5.铺设深度:2m</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right"/>
              <w:rPr>
                <w:rFonts w:hint="eastAsia" w:ascii="宋体" w:hAnsi="宋体" w:eastAsia="宋体" w:cs="宋体"/>
                <w:i w:val="0"/>
                <w:color w:val="auto"/>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right"/>
              <w:rPr>
                <w:rFonts w:hint="eastAsia" w:ascii="宋体" w:hAnsi="宋体" w:eastAsia="宋体" w:cs="宋体"/>
                <w:i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490" w:type="dxa"/>
            <w:tcBorders>
              <w:top w:val="single" w:color="000000" w:sz="4" w:space="0"/>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050102006001</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种植甘薯苗</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1.单位长度株数:20cm</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2.植物种类:甘薯苗</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株</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114948</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right"/>
              <w:rPr>
                <w:rFonts w:hint="eastAsia" w:ascii="宋体" w:hAnsi="宋体" w:eastAsia="宋体" w:cs="宋体"/>
                <w:i w:val="0"/>
                <w:color w:val="auto"/>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right"/>
              <w:rPr>
                <w:rFonts w:hint="eastAsia" w:ascii="宋体" w:hAnsi="宋体" w:eastAsia="宋体" w:cs="宋体"/>
                <w:i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660" w:type="dxa"/>
            <w:gridSpan w:val="7"/>
            <w:tcBorders>
              <w:top w:val="single" w:color="000000" w:sz="4" w:space="0"/>
              <w:left w:val="single" w:color="000000" w:sz="8" w:space="0"/>
              <w:bottom w:val="single" w:color="000000" w:sz="8" w:space="0"/>
              <w:right w:val="nil"/>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计(价格含9%增值税专用发票）</w:t>
            </w:r>
          </w:p>
        </w:tc>
        <w:tc>
          <w:tcPr>
            <w:tcW w:w="1380" w:type="dxa"/>
            <w:tcBorders>
              <w:top w:val="single" w:color="000000" w:sz="4" w:space="0"/>
              <w:left w:val="single" w:color="000000" w:sz="4" w:space="0"/>
              <w:bottom w:val="single" w:color="000000" w:sz="8" w:space="0"/>
              <w:right w:val="single" w:color="000000" w:sz="4" w:space="0"/>
            </w:tcBorders>
            <w:shd w:val="clear" w:color="FFFFFF" w:fill="FFFFFF"/>
            <w:tcMar>
              <w:top w:w="10" w:type="dxa"/>
              <w:left w:w="10" w:type="dxa"/>
              <w:right w:w="10" w:type="dxa"/>
            </w:tcMar>
            <w:vAlign w:val="center"/>
          </w:tcPr>
          <w:p>
            <w:pPr>
              <w:jc w:val="right"/>
              <w:rPr>
                <w:rFonts w:hint="eastAsia" w:ascii="宋体" w:hAnsi="宋体" w:eastAsia="宋体" w:cs="宋体"/>
                <w:i w:val="0"/>
                <w:color w:val="auto"/>
                <w:sz w:val="20"/>
                <w:szCs w:val="20"/>
                <w:highlight w:val="none"/>
                <w:u w:val="none"/>
              </w:rPr>
            </w:pPr>
          </w:p>
        </w:tc>
        <w:tc>
          <w:tcPr>
            <w:tcW w:w="1080" w:type="dxa"/>
            <w:tcBorders>
              <w:top w:val="single" w:color="000000" w:sz="4" w:space="0"/>
              <w:left w:val="single" w:color="000000" w:sz="4" w:space="0"/>
              <w:bottom w:val="single" w:color="000000" w:sz="8" w:space="0"/>
              <w:right w:val="single" w:color="000000" w:sz="8" w:space="0"/>
            </w:tcBorders>
            <w:shd w:val="clear" w:color="FFFFFF" w:fill="FFFFFF"/>
            <w:tcMar>
              <w:top w:w="10" w:type="dxa"/>
              <w:left w:w="10" w:type="dxa"/>
              <w:right w:w="10"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690" w:type="dxa"/>
            <w:gridSpan w:val="9"/>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二、工程名称：莞番高速（寮步段）垃圾填埋场治理项目寮步镇地块二临时用地土地复垦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90" w:type="dxa"/>
            <w:vMerge w:val="restart"/>
            <w:tcBorders>
              <w:top w:val="nil"/>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100" w:type="dxa"/>
            <w:vMerge w:val="restart"/>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080" w:type="dxa"/>
            <w:vMerge w:val="restart"/>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840" w:type="dxa"/>
            <w:vMerge w:val="restart"/>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920" w:type="dxa"/>
            <w:vMerge w:val="restart"/>
            <w:tcBorders>
              <w:top w:val="nil"/>
              <w:left w:val="single" w:color="000000" w:sz="4" w:space="0"/>
              <w:bottom w:val="single" w:color="000000" w:sz="4" w:space="0"/>
              <w:right w:val="nil"/>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1230" w:type="dxa"/>
            <w:vMerge w:val="restart"/>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2410" w:type="dxa"/>
            <w:gridSpan w:val="3"/>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90" w:type="dxa"/>
            <w:vMerge w:val="continue"/>
            <w:tcBorders>
              <w:top w:val="nil"/>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10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08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84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920" w:type="dxa"/>
            <w:vMerge w:val="continue"/>
            <w:tcBorders>
              <w:top w:val="nil"/>
              <w:left w:val="single" w:color="000000" w:sz="4" w:space="0"/>
              <w:bottom w:val="single" w:color="000000" w:sz="4" w:space="0"/>
              <w:right w:val="nil"/>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23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03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1080" w:type="dxa"/>
            <w:vMerge w:val="restart"/>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90" w:type="dxa"/>
            <w:vMerge w:val="continue"/>
            <w:tcBorders>
              <w:top w:val="nil"/>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10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08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84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920" w:type="dxa"/>
            <w:vMerge w:val="continue"/>
            <w:tcBorders>
              <w:top w:val="nil"/>
              <w:left w:val="single" w:color="000000" w:sz="4" w:space="0"/>
              <w:bottom w:val="single" w:color="000000" w:sz="4" w:space="0"/>
              <w:right w:val="nil"/>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23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0" w:hRule="atLeast"/>
        </w:trPr>
        <w:tc>
          <w:tcPr>
            <w:tcW w:w="490" w:type="dxa"/>
            <w:tcBorders>
              <w:top w:val="single" w:color="000000" w:sz="4" w:space="0"/>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040201021002</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防渗膜清除</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1.清除材料:防渗HDPE膜</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2.垃圾外运距离:5km以内</w:t>
            </w:r>
          </w:p>
        </w:tc>
        <w:tc>
          <w:tcPr>
            <w:tcW w:w="920" w:type="dxa"/>
            <w:tcBorders>
              <w:top w:val="single" w:color="000000" w:sz="4" w:space="0"/>
              <w:left w:val="single" w:color="000000" w:sz="4" w:space="0"/>
              <w:bottom w:val="single" w:color="000000" w:sz="4" w:space="0"/>
              <w:right w:val="nil"/>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6077</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490" w:type="dxa"/>
            <w:tcBorders>
              <w:top w:val="single" w:color="000000" w:sz="4" w:space="0"/>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040101001005</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土方场内运输</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1.土壤类别:一、二类土</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2.场内运距:200m 内</w:t>
            </w:r>
          </w:p>
        </w:tc>
        <w:tc>
          <w:tcPr>
            <w:tcW w:w="920" w:type="dxa"/>
            <w:tcBorders>
              <w:top w:val="single" w:color="000000" w:sz="4" w:space="0"/>
              <w:left w:val="single" w:color="000000" w:sz="4" w:space="0"/>
              <w:bottom w:val="single" w:color="000000" w:sz="4" w:space="0"/>
              <w:right w:val="nil"/>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104.1</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0" w:hRule="atLeast"/>
        </w:trPr>
        <w:tc>
          <w:tcPr>
            <w:tcW w:w="490" w:type="dxa"/>
            <w:tcBorders>
              <w:top w:val="single" w:color="000000" w:sz="4" w:space="0"/>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040103001002</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外运土回填压实</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1.密实度要求:压路机压实</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2.填方材料品种:外运素土</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3.填方来源、运距:附近1km内取土</w:t>
            </w:r>
          </w:p>
        </w:tc>
        <w:tc>
          <w:tcPr>
            <w:tcW w:w="920" w:type="dxa"/>
            <w:tcBorders>
              <w:top w:val="single" w:color="000000" w:sz="4" w:space="0"/>
              <w:left w:val="single" w:color="000000" w:sz="4" w:space="0"/>
              <w:bottom w:val="single" w:color="000000" w:sz="4" w:space="0"/>
              <w:right w:val="nil"/>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16572.53</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00" w:hRule="atLeast"/>
        </w:trPr>
        <w:tc>
          <w:tcPr>
            <w:tcW w:w="490" w:type="dxa"/>
            <w:tcBorders>
              <w:top w:val="single" w:color="000000" w:sz="4" w:space="0"/>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040201022002</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排灌土沟</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1.断面尺寸:上口80cm、底部40cm、高40cm</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2.土沟成型</w:t>
            </w:r>
          </w:p>
        </w:tc>
        <w:tc>
          <w:tcPr>
            <w:tcW w:w="920" w:type="dxa"/>
            <w:tcBorders>
              <w:top w:val="single" w:color="000000" w:sz="4" w:space="0"/>
              <w:left w:val="single" w:color="000000" w:sz="4" w:space="0"/>
              <w:bottom w:val="single" w:color="000000" w:sz="4" w:space="0"/>
              <w:right w:val="nil"/>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640</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00" w:hRule="atLeast"/>
        </w:trPr>
        <w:tc>
          <w:tcPr>
            <w:tcW w:w="490" w:type="dxa"/>
            <w:tcBorders>
              <w:top w:val="single" w:color="000000" w:sz="4" w:space="0"/>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050102006003</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种植甘薯苗</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1.单位长度株数:20cm</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2.植物种类:甘薯苗</w:t>
            </w:r>
          </w:p>
        </w:tc>
        <w:tc>
          <w:tcPr>
            <w:tcW w:w="920" w:type="dxa"/>
            <w:tcBorders>
              <w:top w:val="single" w:color="000000" w:sz="4" w:space="0"/>
              <w:left w:val="single" w:color="000000" w:sz="4" w:space="0"/>
              <w:bottom w:val="single" w:color="000000" w:sz="4" w:space="0"/>
              <w:right w:val="nil"/>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株</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24308</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6660" w:type="dxa"/>
            <w:gridSpan w:val="7"/>
            <w:tcBorders>
              <w:top w:val="single" w:color="000000" w:sz="4" w:space="0"/>
              <w:left w:val="single" w:color="000000" w:sz="8" w:space="0"/>
              <w:bottom w:val="single" w:color="000000" w:sz="8"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计（价格含9%增值税专用发票）</w:t>
            </w:r>
          </w:p>
        </w:tc>
        <w:tc>
          <w:tcPr>
            <w:tcW w:w="1380" w:type="dxa"/>
            <w:tcBorders>
              <w:top w:val="single" w:color="000000" w:sz="4" w:space="0"/>
              <w:left w:val="single" w:color="000000" w:sz="4" w:space="0"/>
              <w:bottom w:val="single" w:color="000000" w:sz="8" w:space="0"/>
              <w:right w:val="single" w:color="000000" w:sz="4" w:space="0"/>
            </w:tcBorders>
            <w:shd w:val="clear" w:color="FFFFFF" w:fill="FFFFFF"/>
            <w:tcMar>
              <w:top w:w="10" w:type="dxa"/>
              <w:left w:w="10" w:type="dxa"/>
              <w:right w:w="10" w:type="dxa"/>
            </w:tcMar>
            <w:vAlign w:val="center"/>
          </w:tcPr>
          <w:p>
            <w:pPr>
              <w:jc w:val="right"/>
              <w:rPr>
                <w:rFonts w:hint="eastAsia" w:ascii="宋体" w:hAnsi="宋体" w:eastAsia="宋体" w:cs="宋体"/>
                <w:i w:val="0"/>
                <w:color w:val="auto"/>
                <w:sz w:val="20"/>
                <w:szCs w:val="20"/>
                <w:highlight w:val="none"/>
                <w:u w:val="none"/>
              </w:rPr>
            </w:pPr>
          </w:p>
        </w:tc>
        <w:tc>
          <w:tcPr>
            <w:tcW w:w="1080" w:type="dxa"/>
            <w:tcBorders>
              <w:top w:val="single" w:color="000000" w:sz="4" w:space="0"/>
              <w:left w:val="single" w:color="000000" w:sz="4" w:space="0"/>
              <w:bottom w:val="single" w:color="000000" w:sz="8" w:space="0"/>
              <w:right w:val="single" w:color="000000" w:sz="8" w:space="0"/>
            </w:tcBorders>
            <w:shd w:val="clear" w:color="FFFFFF" w:fill="FFFFFF"/>
            <w:tcMar>
              <w:top w:w="10" w:type="dxa"/>
              <w:left w:w="10" w:type="dxa"/>
              <w:right w:w="10"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690" w:type="dxa"/>
            <w:gridSpan w:val="9"/>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三、工程名称：莞番高速（寮步段）垃圾填埋场治理项目寮步镇地块一临时用地土地复垦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90" w:type="dxa"/>
            <w:vMerge w:val="restart"/>
            <w:tcBorders>
              <w:top w:val="nil"/>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100" w:type="dxa"/>
            <w:vMerge w:val="restart"/>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080" w:type="dxa"/>
            <w:vMerge w:val="restart"/>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840" w:type="dxa"/>
            <w:vMerge w:val="restart"/>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920" w:type="dxa"/>
            <w:vMerge w:val="restart"/>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1230" w:type="dxa"/>
            <w:vMerge w:val="restart"/>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2410" w:type="dxa"/>
            <w:gridSpan w:val="3"/>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90" w:type="dxa"/>
            <w:vMerge w:val="continue"/>
            <w:tcBorders>
              <w:top w:val="nil"/>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10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08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84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92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23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03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1080" w:type="dxa"/>
            <w:vMerge w:val="restart"/>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90" w:type="dxa"/>
            <w:vMerge w:val="continue"/>
            <w:tcBorders>
              <w:top w:val="nil"/>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10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08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84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92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230" w:type="dxa"/>
            <w:vMerge w:val="continue"/>
            <w:tcBorders>
              <w:top w:val="nil"/>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080" w:type="dxa"/>
            <w:vMerge w:val="continue"/>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0" w:hRule="atLeast"/>
        </w:trPr>
        <w:tc>
          <w:tcPr>
            <w:tcW w:w="490" w:type="dxa"/>
            <w:tcBorders>
              <w:top w:val="single" w:color="000000" w:sz="4" w:space="0"/>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040201021002</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防渗膜清除</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1.清除材料:防渗HDPE膜</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2.垃圾外运距离:5km以内</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9130</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90" w:type="dxa"/>
            <w:tcBorders>
              <w:top w:val="single" w:color="000000" w:sz="4" w:space="0"/>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040701001001</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土地平整</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1.机械平整场地</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9130</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490" w:type="dxa"/>
            <w:tcBorders>
              <w:top w:val="single" w:color="000000" w:sz="4" w:space="0"/>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040201022001</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排灌土沟</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1.断面尺寸:上口80cm、底部40cm、高40cm</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2.土沟成型</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825</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0" w:hRule="atLeast"/>
        </w:trPr>
        <w:tc>
          <w:tcPr>
            <w:tcW w:w="490" w:type="dxa"/>
            <w:tcBorders>
              <w:top w:val="single" w:color="000000" w:sz="4" w:space="0"/>
              <w:left w:val="single" w:color="000000" w:sz="8"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050102006003</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种植甘薯苗</w:t>
            </w:r>
          </w:p>
        </w:tc>
        <w:tc>
          <w:tcPr>
            <w:tcW w:w="184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1.单位长度株数:20cm</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2.植物种类:甘薯苗</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株</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36520</w:t>
            </w:r>
          </w:p>
        </w:tc>
        <w:tc>
          <w:tcPr>
            <w:tcW w:w="103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tcMar>
              <w:top w:w="10" w:type="dxa"/>
              <w:left w:w="10" w:type="dxa"/>
              <w:right w:w="10"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6660" w:type="dxa"/>
            <w:gridSpan w:val="7"/>
            <w:tcBorders>
              <w:top w:val="single" w:color="000000" w:sz="4" w:space="0"/>
              <w:left w:val="single" w:color="000000" w:sz="8" w:space="0"/>
              <w:bottom w:val="nil"/>
              <w:right w:val="single" w:color="000000" w:sz="4" w:space="0"/>
            </w:tcBorders>
            <w:shd w:val="clear" w:color="FFFFFF" w:fill="FFFFFF"/>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计（价格含9%增值税专票）</w:t>
            </w:r>
          </w:p>
        </w:tc>
        <w:tc>
          <w:tcPr>
            <w:tcW w:w="1380" w:type="dxa"/>
            <w:tcBorders>
              <w:top w:val="single" w:color="000000" w:sz="4" w:space="0"/>
              <w:left w:val="single" w:color="000000" w:sz="4" w:space="0"/>
              <w:bottom w:val="nil"/>
              <w:right w:val="single" w:color="000000" w:sz="4" w:space="0"/>
            </w:tcBorders>
            <w:shd w:val="clear" w:color="FFFFFF" w:fill="FFFFFF"/>
            <w:tcMar>
              <w:top w:w="10" w:type="dxa"/>
              <w:left w:w="10" w:type="dxa"/>
              <w:right w:w="10" w:type="dxa"/>
            </w:tcMar>
            <w:vAlign w:val="center"/>
          </w:tcPr>
          <w:p>
            <w:pPr>
              <w:jc w:val="right"/>
              <w:rPr>
                <w:rFonts w:hint="eastAsia" w:ascii="宋体" w:hAnsi="宋体" w:eastAsia="宋体" w:cs="宋体"/>
                <w:i w:val="0"/>
                <w:color w:val="auto"/>
                <w:sz w:val="20"/>
                <w:szCs w:val="20"/>
                <w:highlight w:val="none"/>
                <w:u w:val="none"/>
              </w:rPr>
            </w:pPr>
          </w:p>
        </w:tc>
        <w:tc>
          <w:tcPr>
            <w:tcW w:w="1080" w:type="dxa"/>
            <w:tcBorders>
              <w:top w:val="single" w:color="000000" w:sz="4" w:space="0"/>
              <w:left w:val="single" w:color="000000" w:sz="4" w:space="0"/>
              <w:bottom w:val="nil"/>
              <w:right w:val="single" w:color="000000" w:sz="8" w:space="0"/>
            </w:tcBorders>
            <w:shd w:val="clear" w:color="FFFFFF" w:fill="FFFFFF"/>
            <w:tcMar>
              <w:top w:w="10" w:type="dxa"/>
              <w:left w:w="10" w:type="dxa"/>
              <w:right w:w="10"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包干总计（一＋二＋三）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eastAsia" w:ascii="宋体" w:hAnsi="宋体" w:eastAsia="宋体" w:cs="宋体"/>
                <w:b/>
                <w:i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eastAsia" w:ascii="宋体" w:hAnsi="宋体" w:eastAsia="宋体" w:cs="宋体"/>
                <w:b/>
                <w:i w:val="0"/>
                <w:color w:val="auto"/>
                <w:sz w:val="24"/>
                <w:szCs w:val="24"/>
                <w:highlight w:val="none"/>
                <w:u w:val="none"/>
              </w:rPr>
            </w:pPr>
          </w:p>
        </w:tc>
      </w:tr>
    </w:tbl>
    <w:p>
      <w:pPr>
        <w:spacing w:line="400" w:lineRule="exact"/>
        <w:rPr>
          <w:rFonts w:hint="eastAsia" w:ascii="宋体" w:hAnsi="宋体" w:eastAsia="宋体" w:cs="宋体"/>
          <w:color w:val="auto"/>
          <w:sz w:val="21"/>
          <w:szCs w:val="21"/>
          <w:highlight w:val="none"/>
        </w:rPr>
      </w:pPr>
    </w:p>
    <w:p>
      <w:pPr>
        <w:spacing w:line="400" w:lineRule="exact"/>
        <w:rPr>
          <w:rFonts w:hint="eastAsia" w:ascii="宋体" w:hAnsi="宋体" w:eastAsia="宋体" w:cs="宋体"/>
          <w:color w:val="auto"/>
          <w:sz w:val="21"/>
          <w:szCs w:val="21"/>
          <w:highlight w:val="none"/>
        </w:rPr>
      </w:pPr>
    </w:p>
    <w:p>
      <w:pPr>
        <w:spacing w:line="400" w:lineRule="exact"/>
        <w:rPr>
          <w:rFonts w:hint="eastAsia" w:ascii="宋体" w:hAnsi="宋体" w:eastAsia="宋体" w:cs="宋体"/>
          <w:color w:val="auto"/>
          <w:sz w:val="21"/>
          <w:szCs w:val="21"/>
          <w:highlight w:val="none"/>
        </w:rPr>
      </w:pPr>
    </w:p>
    <w:p>
      <w:pPr>
        <w:spacing w:line="400" w:lineRule="exact"/>
        <w:rPr>
          <w:rFonts w:hint="eastAsia" w:ascii="宋体" w:hAnsi="宋体" w:eastAsia="宋体" w:cs="宋体"/>
          <w:color w:val="auto"/>
          <w:sz w:val="21"/>
          <w:szCs w:val="21"/>
          <w:highlight w:val="none"/>
        </w:rPr>
      </w:pPr>
    </w:p>
    <w:p>
      <w:pPr>
        <w:spacing w:line="400" w:lineRule="exact"/>
        <w:rPr>
          <w:rFonts w:hint="eastAsia" w:ascii="宋体" w:hAnsi="宋体" w:eastAsia="宋体" w:cs="宋体"/>
          <w:color w:val="auto"/>
          <w:sz w:val="21"/>
          <w:szCs w:val="21"/>
          <w:highlight w:val="none"/>
        </w:rPr>
      </w:pPr>
    </w:p>
    <w:p>
      <w:pPr>
        <w:spacing w:line="400" w:lineRule="exact"/>
        <w:rPr>
          <w:rFonts w:hint="eastAsia" w:ascii="宋体" w:hAnsi="宋体" w:eastAsia="宋体" w:cs="宋体"/>
          <w:color w:val="auto"/>
          <w:sz w:val="21"/>
          <w:szCs w:val="21"/>
          <w:highlight w:val="none"/>
        </w:rPr>
      </w:pPr>
    </w:p>
    <w:p>
      <w:pPr>
        <w:spacing w:line="400" w:lineRule="exact"/>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注：1.此表为报价总表的明细表，详细报价可另附页说明。</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供应商名称（加盖公章）：</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供应商法定代表人或受委托人（签名或盖私章）：</w:t>
      </w:r>
    </w:p>
    <w:p>
      <w:pPr>
        <w:rPr>
          <w:color w:val="auto"/>
          <w:highlight w:val="none"/>
        </w:rPr>
      </w:pPr>
      <w:r>
        <w:rPr>
          <w:rFonts w:hint="eastAsia" w:ascii="宋体" w:hAnsi="宋体" w:eastAsia="宋体" w:cs="宋体"/>
          <w:color w:val="auto"/>
          <w:sz w:val="21"/>
          <w:szCs w:val="21"/>
          <w:highlight w:val="none"/>
          <w:lang w:val="en-US" w:eastAsia="zh-CN"/>
        </w:rPr>
        <w:t xml:space="preserve">日期：年月日 </w:t>
      </w:r>
    </w:p>
    <w:p>
      <w:pPr>
        <w:rPr>
          <w:color w:val="auto"/>
          <w:highlight w:val="none"/>
        </w:rPr>
      </w:pPr>
    </w:p>
    <w:p>
      <w:pPr>
        <w:rPr>
          <w:color w:val="auto"/>
          <w:highlight w:val="none"/>
        </w:rPr>
      </w:pPr>
    </w:p>
    <w:bookmarkEnd w:id="259"/>
    <w:bookmarkEnd w:id="260"/>
    <w:bookmarkEnd w:id="261"/>
    <w:bookmarkEnd w:id="262"/>
    <w:bookmarkEnd w:id="263"/>
    <w:bookmarkEnd w:id="264"/>
    <w:bookmarkEnd w:id="265"/>
    <w:bookmarkEnd w:id="266"/>
    <w:bookmarkEnd w:id="267"/>
    <w:bookmarkEnd w:id="268"/>
    <w:bookmarkEnd w:id="269"/>
    <w:bookmarkEnd w:id="270"/>
    <w:bookmarkEnd w:id="271"/>
    <w:p>
      <w:pPr>
        <w:pStyle w:val="5"/>
        <w:pageBreakBefore/>
        <w:spacing w:line="360" w:lineRule="auto"/>
        <w:jc w:val="center"/>
        <w:rPr>
          <w:bCs/>
          <w:color w:val="auto"/>
          <w:sz w:val="28"/>
          <w:szCs w:val="28"/>
          <w:highlight w:val="none"/>
        </w:rPr>
      </w:pPr>
      <w:bookmarkStart w:id="272" w:name="_Toc6962"/>
      <w:bookmarkStart w:id="273" w:name="_Toc12158"/>
      <w:bookmarkStart w:id="274" w:name="_Toc18450"/>
      <w:bookmarkStart w:id="275" w:name="_Toc458262638"/>
      <w:bookmarkStart w:id="276" w:name="_Toc467236768"/>
      <w:bookmarkStart w:id="277" w:name="_Toc27849"/>
      <w:bookmarkStart w:id="278" w:name="_Toc7897890"/>
      <w:bookmarkStart w:id="279" w:name="_Toc486671572"/>
      <w:bookmarkStart w:id="280" w:name="_Toc476976200"/>
      <w:bookmarkStart w:id="281" w:name="_Toc454701405"/>
      <w:bookmarkStart w:id="282" w:name="_Toc110953866"/>
      <w:bookmarkStart w:id="283" w:name="_Toc479991616"/>
      <w:bookmarkStart w:id="284" w:name="_Toc480010742"/>
      <w:bookmarkStart w:id="285" w:name="_Toc480021085"/>
      <w:bookmarkStart w:id="286" w:name="_Toc467987856"/>
      <w:bookmarkStart w:id="287" w:name="_Toc468606064"/>
      <w:bookmarkStart w:id="288" w:name="_Toc468157569"/>
      <w:bookmarkStart w:id="289" w:name="_Toc480020289"/>
      <w:r>
        <w:rPr>
          <w:rFonts w:hint="eastAsia"/>
          <w:bCs/>
          <w:color w:val="auto"/>
          <w:sz w:val="28"/>
          <w:szCs w:val="28"/>
          <w:highlight w:val="none"/>
        </w:rPr>
        <w:t>第二部分  商务文件</w:t>
      </w:r>
      <w:bookmarkEnd w:id="272"/>
      <w:bookmarkEnd w:id="273"/>
      <w:bookmarkEnd w:id="274"/>
      <w:bookmarkStart w:id="290" w:name="_Hlt10519799"/>
      <w:bookmarkEnd w:id="290"/>
      <w:bookmarkStart w:id="291" w:name="_Hlt10456397"/>
      <w:bookmarkEnd w:id="291"/>
    </w:p>
    <w:p>
      <w:pPr>
        <w:rPr>
          <w:color w:val="auto"/>
          <w:highlight w:val="none"/>
        </w:rPr>
      </w:pPr>
    </w:p>
    <w:p>
      <w:pPr>
        <w:pStyle w:val="5"/>
        <w:numPr>
          <w:ilvl w:val="0"/>
          <w:numId w:val="39"/>
        </w:numPr>
        <w:jc w:val="center"/>
        <w:rPr>
          <w:b w:val="0"/>
          <w:color w:val="auto"/>
          <w:sz w:val="28"/>
          <w:szCs w:val="28"/>
          <w:highlight w:val="none"/>
        </w:rPr>
      </w:pPr>
      <w:bookmarkStart w:id="292" w:name="_Toc3646"/>
      <w:bookmarkStart w:id="293" w:name="_Toc18728"/>
      <w:r>
        <w:rPr>
          <w:rFonts w:hint="eastAsia"/>
          <w:color w:val="auto"/>
          <w:sz w:val="28"/>
          <w:szCs w:val="28"/>
          <w:highlight w:val="none"/>
        </w:rPr>
        <w:t>响应书</w:t>
      </w:r>
      <w:bookmarkEnd w:id="275"/>
      <w:bookmarkEnd w:id="276"/>
      <w:bookmarkEnd w:id="277"/>
      <w:bookmarkEnd w:id="278"/>
      <w:bookmarkEnd w:id="279"/>
      <w:bookmarkEnd w:id="280"/>
      <w:bookmarkEnd w:id="281"/>
      <w:bookmarkEnd w:id="292"/>
      <w:bookmarkEnd w:id="293"/>
    </w:p>
    <w:p>
      <w:pPr>
        <w:pStyle w:val="31"/>
        <w:autoSpaceDE/>
        <w:autoSpaceDN/>
        <w:adjustRightInd/>
        <w:spacing w:line="480" w:lineRule="exact"/>
        <w:ind w:left="6000"/>
        <w:rPr>
          <w:rFonts w:hAnsi="宋体"/>
          <w:color w:val="auto"/>
          <w:sz w:val="24"/>
          <w:highlight w:val="none"/>
        </w:rPr>
      </w:pPr>
    </w:p>
    <w:p>
      <w:pPr>
        <w:pStyle w:val="31"/>
        <w:autoSpaceDE/>
        <w:autoSpaceDN/>
        <w:adjustRightInd/>
        <w:spacing w:line="480" w:lineRule="exact"/>
        <w:ind w:left="0" w:leftChars="0"/>
        <w:rPr>
          <w:rFonts w:hAnsi="宋体"/>
          <w:color w:val="auto"/>
          <w:highlight w:val="none"/>
        </w:rPr>
      </w:pPr>
      <w:r>
        <w:rPr>
          <w:rFonts w:hint="eastAsia" w:hAnsi="宋体"/>
          <w:color w:val="auto"/>
          <w:highlight w:val="none"/>
        </w:rPr>
        <w:t>致：广东泰通伟业工程咨询有限公司</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根据贵方（采购编号：）的采购邀请和磋商文件，供应商承诺如下：</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1.签字代表</w:t>
      </w:r>
      <w:r>
        <w:rPr>
          <w:rFonts w:hint="eastAsia" w:hAnsi="宋体"/>
          <w:color w:val="auto"/>
          <w:sz w:val="21"/>
          <w:szCs w:val="21"/>
          <w:highlight w:val="none"/>
          <w:u w:val="single"/>
        </w:rPr>
        <w:t>（姓名、职务）</w:t>
      </w:r>
      <w:r>
        <w:rPr>
          <w:rFonts w:hint="eastAsia" w:hAnsi="宋体"/>
          <w:color w:val="auto"/>
          <w:sz w:val="21"/>
          <w:szCs w:val="21"/>
          <w:highlight w:val="none"/>
        </w:rPr>
        <w:t>经正式授权并代表供应商</w:t>
      </w:r>
      <w:r>
        <w:rPr>
          <w:rFonts w:hint="eastAsia" w:hAnsi="宋体"/>
          <w:color w:val="auto"/>
          <w:sz w:val="21"/>
          <w:szCs w:val="21"/>
          <w:highlight w:val="none"/>
          <w:u w:val="single"/>
        </w:rPr>
        <w:t>（供应商名称、地址）</w:t>
      </w:r>
      <w:r>
        <w:rPr>
          <w:rFonts w:hint="eastAsia" w:hAnsi="宋体"/>
          <w:color w:val="auto"/>
          <w:sz w:val="21"/>
          <w:szCs w:val="21"/>
          <w:highlight w:val="none"/>
        </w:rPr>
        <w:t>提交响应文件正本份和副本份。</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2.供应商愿意参加响应并在成交后按磋商文件规定履行义务。</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3.供应商已详细审查全部磋商文件，包括澄清或修改文件（如有的话）等全部资料。供应商完全理解磋商文件的内容，不存在对磋商文件不明白和误解。</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4.响应文件中所提交的所有资料均是准确的和真实的，否则，我单位愿意放弃成交的权利和接受采购监督管理部门的处罚。</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5.参加本项目采购活动前3年内，在经营活动中没有重大违法记录。</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6.响应有效期为90个工作日，自开启响应文件之日起算。</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7.同意在成交后按照磋商文件的规定缴纳成交服务费。</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8.如果开启响应文件后，在响应有效期内撤回文件的，我单位愿意承担贵单位由此而产生的损失。</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9.供应商同意提供按照贵方可能要求的有关的一切资料，理解贵单位不一定要接受最低价的响应或收到的任何响应。</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10.与本响应有关的一切正式往来通讯请寄：</w:t>
      </w:r>
    </w:p>
    <w:p>
      <w:pPr>
        <w:spacing w:line="480" w:lineRule="exact"/>
        <w:ind w:firstLine="420" w:firstLineChars="200"/>
        <w:rPr>
          <w:rFonts w:hAnsi="宋体"/>
          <w:color w:val="auto"/>
          <w:sz w:val="21"/>
          <w:szCs w:val="21"/>
          <w:highlight w:val="none"/>
        </w:rPr>
      </w:pP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供应商名称：</w:t>
      </w:r>
      <w:r>
        <w:rPr>
          <w:rFonts w:hint="eastAsia" w:hAnsi="宋体"/>
          <w:color w:val="auto"/>
          <w:sz w:val="21"/>
          <w:szCs w:val="21"/>
          <w:highlight w:val="none"/>
          <w:u w:val="single"/>
        </w:rPr>
        <w:t xml:space="preserve">            （盖公章）                   </w:t>
      </w:r>
    </w:p>
    <w:p>
      <w:pPr>
        <w:spacing w:line="480" w:lineRule="exact"/>
        <w:ind w:firstLine="420" w:firstLineChars="200"/>
        <w:rPr>
          <w:rFonts w:hAnsi="宋体"/>
          <w:color w:val="auto"/>
          <w:sz w:val="21"/>
          <w:szCs w:val="21"/>
          <w:highlight w:val="none"/>
          <w:u w:val="single"/>
        </w:rPr>
      </w:pPr>
      <w:r>
        <w:rPr>
          <w:rFonts w:hint="eastAsia" w:hAnsi="宋体"/>
          <w:color w:val="auto"/>
          <w:sz w:val="21"/>
          <w:szCs w:val="21"/>
          <w:highlight w:val="none"/>
        </w:rPr>
        <w:t>供应商代表姓名、职务（印刷体）：</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供应商联系电话、传真：</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日期：年月日</w:t>
      </w:r>
    </w:p>
    <w:p>
      <w:pPr>
        <w:pStyle w:val="5"/>
        <w:numPr>
          <w:ilvl w:val="0"/>
          <w:numId w:val="39"/>
        </w:numPr>
        <w:jc w:val="center"/>
        <w:rPr>
          <w:bCs/>
          <w:color w:val="auto"/>
          <w:sz w:val="28"/>
          <w:szCs w:val="28"/>
          <w:highlight w:val="none"/>
        </w:rPr>
      </w:pPr>
      <w:r>
        <w:rPr>
          <w:color w:val="auto"/>
          <w:sz w:val="22"/>
          <w:szCs w:val="22"/>
          <w:highlight w:val="none"/>
        </w:rPr>
        <w:br w:type="page"/>
      </w:r>
      <w:bookmarkStart w:id="294" w:name="_Toc24721"/>
      <w:bookmarkStart w:id="295" w:name="_Toc31943"/>
      <w:bookmarkStart w:id="296" w:name="_Toc10808"/>
      <w:bookmarkStart w:id="297" w:name="_Toc7897891"/>
      <w:r>
        <w:rPr>
          <w:rFonts w:hint="eastAsia"/>
          <w:bCs/>
          <w:color w:val="auto"/>
          <w:sz w:val="28"/>
          <w:szCs w:val="28"/>
          <w:highlight w:val="none"/>
        </w:rPr>
        <w:t>法定代表人证明书</w:t>
      </w:r>
      <w:bookmarkEnd w:id="294"/>
      <w:bookmarkEnd w:id="295"/>
      <w:bookmarkEnd w:id="296"/>
      <w:bookmarkEnd w:id="297"/>
    </w:p>
    <w:p>
      <w:pPr>
        <w:jc w:val="center"/>
        <w:rPr>
          <w:rFonts w:hAnsi="宋体"/>
          <w:color w:val="auto"/>
          <w:sz w:val="28"/>
          <w:szCs w:val="28"/>
          <w:highlight w:val="none"/>
        </w:rPr>
      </w:pPr>
    </w:p>
    <w:p>
      <w:pPr>
        <w:rPr>
          <w:rFonts w:hAnsi="宋体"/>
          <w:color w:val="auto"/>
          <w:sz w:val="28"/>
          <w:szCs w:val="28"/>
          <w:highlight w:val="none"/>
        </w:rPr>
      </w:pPr>
    </w:p>
    <w:p>
      <w:pPr>
        <w:spacing w:line="420" w:lineRule="atLeas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6"/>
        <w:spacing w:line="420" w:lineRule="atLeast"/>
        <w:ind w:firstLine="433"/>
        <w:rPr>
          <w:rFonts w:ascii="宋体" w:eastAsia="宋体"/>
          <w:color w:val="auto"/>
          <w:sz w:val="21"/>
          <w:szCs w:val="21"/>
          <w:highlight w:val="none"/>
        </w:rPr>
      </w:pPr>
    </w:p>
    <w:p>
      <w:pPr>
        <w:pStyle w:val="76"/>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 xml:space="preserve">供应商名称: </w:t>
      </w:r>
    </w:p>
    <w:p>
      <w:pPr>
        <w:pStyle w:val="76"/>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单 位 性质：</w:t>
      </w:r>
    </w:p>
    <w:p>
      <w:pPr>
        <w:pStyle w:val="76"/>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地      址：</w:t>
      </w:r>
    </w:p>
    <w:p>
      <w:pPr>
        <w:pStyle w:val="76"/>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pPr>
        <w:pStyle w:val="76"/>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pPr>
        <w:pStyle w:val="76"/>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pPr>
        <w:pStyle w:val="76"/>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系（供应商名称）的法定代表人。</w:t>
      </w:r>
    </w:p>
    <w:p>
      <w:pPr>
        <w:spacing w:line="420" w:lineRule="atLeast"/>
        <w:ind w:firstLine="420" w:firstLineChars="200"/>
        <w:rPr>
          <w:rFonts w:hAnsi="宋体"/>
          <w:color w:val="auto"/>
          <w:sz w:val="21"/>
          <w:szCs w:val="21"/>
          <w:highlight w:val="none"/>
        </w:rPr>
      </w:pPr>
      <w:r>
        <w:rPr>
          <w:rFonts w:hint="eastAsia" w:hAnsi="宋体"/>
          <w:color w:val="auto"/>
          <w:sz w:val="21"/>
          <w:szCs w:val="21"/>
          <w:highlight w:val="none"/>
        </w:rPr>
        <w:t>特此证明。</w:t>
      </w:r>
    </w:p>
    <w:p>
      <w:pPr>
        <w:pStyle w:val="76"/>
        <w:spacing w:line="500" w:lineRule="atLeast"/>
        <w:ind w:firstLine="3517" w:firstLineChars="1675"/>
        <w:rPr>
          <w:rFonts w:ascii="宋体" w:eastAsia="宋体"/>
          <w:color w:val="auto"/>
          <w:sz w:val="21"/>
          <w:szCs w:val="21"/>
          <w:highlight w:val="none"/>
        </w:rPr>
      </w:pPr>
    </w:p>
    <w:p>
      <w:pPr>
        <w:pStyle w:val="76"/>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6"/>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6"/>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6"/>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pStyle w:val="76"/>
        <w:spacing w:line="460" w:lineRule="exact"/>
        <w:ind w:firstLine="433"/>
        <w:rPr>
          <w:rFonts w:ascii="宋体" w:eastAsia="宋体"/>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须附：法定代表人身份证复印件（加盖公章）</w:t>
      </w:r>
    </w:p>
    <w:p>
      <w:pPr>
        <w:spacing w:line="420" w:lineRule="atLeast"/>
        <w:ind w:firstLine="422" w:firstLineChars="200"/>
        <w:rPr>
          <w:b/>
          <w:color w:val="auto"/>
          <w:sz w:val="21"/>
          <w:szCs w:val="21"/>
          <w:highlight w:val="none"/>
        </w:rPr>
      </w:pPr>
    </w:p>
    <w:tbl>
      <w:tblPr>
        <w:tblStyle w:val="52"/>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76"/>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182" w:type="dxa"/>
            <w:vAlign w:val="center"/>
          </w:tcPr>
          <w:p>
            <w:pPr>
              <w:pStyle w:val="76"/>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rPr>
          <w:rFonts w:hAnsi="宋体"/>
          <w:color w:val="auto"/>
          <w:highlight w:val="none"/>
        </w:rPr>
      </w:pPr>
    </w:p>
    <w:p>
      <w:pPr>
        <w:rPr>
          <w:rFonts w:hAnsi="宋体"/>
          <w:color w:val="auto"/>
          <w:sz w:val="28"/>
          <w:szCs w:val="28"/>
          <w:highlight w:val="none"/>
        </w:rPr>
      </w:pPr>
    </w:p>
    <w:p>
      <w:pPr>
        <w:pStyle w:val="5"/>
        <w:numPr>
          <w:ilvl w:val="0"/>
          <w:numId w:val="39"/>
        </w:numPr>
        <w:jc w:val="center"/>
        <w:rPr>
          <w:bCs/>
          <w:color w:val="auto"/>
          <w:sz w:val="28"/>
          <w:szCs w:val="28"/>
          <w:highlight w:val="none"/>
        </w:rPr>
      </w:pPr>
      <w:r>
        <w:rPr>
          <w:rFonts w:hint="eastAsia"/>
          <w:bCs/>
          <w:color w:val="auto"/>
          <w:sz w:val="28"/>
          <w:szCs w:val="28"/>
          <w:highlight w:val="none"/>
        </w:rPr>
        <w:br w:type="page"/>
      </w:r>
      <w:bookmarkStart w:id="298" w:name="_Toc19634"/>
      <w:bookmarkStart w:id="299" w:name="_Toc7897892"/>
      <w:bookmarkStart w:id="300" w:name="_Toc8809"/>
      <w:bookmarkStart w:id="301" w:name="_Toc28882"/>
      <w:r>
        <w:rPr>
          <w:rFonts w:hint="eastAsia"/>
          <w:bCs/>
          <w:color w:val="auto"/>
          <w:sz w:val="28"/>
          <w:szCs w:val="28"/>
          <w:highlight w:val="none"/>
        </w:rPr>
        <w:t>授权委托书（加法人证明书）</w:t>
      </w:r>
      <w:bookmarkEnd w:id="298"/>
      <w:bookmarkEnd w:id="299"/>
      <w:bookmarkEnd w:id="300"/>
      <w:bookmarkEnd w:id="301"/>
    </w:p>
    <w:p>
      <w:pPr>
        <w:pStyle w:val="14"/>
        <w:ind w:firstLine="400"/>
        <w:rPr>
          <w:color w:val="auto"/>
          <w:highlight w:val="none"/>
        </w:rPr>
      </w:pPr>
    </w:p>
    <w:p>
      <w:pPr>
        <w:spacing w:line="420" w:lineRule="exact"/>
        <w:rPr>
          <w:rFonts w:hAnsi="宋体"/>
          <w:color w:val="auto"/>
          <w:sz w:val="22"/>
          <w:szCs w:val="22"/>
          <w:highlight w:val="none"/>
        </w:rPr>
      </w:pPr>
    </w:p>
    <w:p>
      <w:pPr>
        <w:spacing w:line="420" w:lineRule="exac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6"/>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本人</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系</w:t>
      </w:r>
      <w:r>
        <w:rPr>
          <w:rFonts w:hint="eastAsia" w:ascii="宋体" w:eastAsia="宋体"/>
          <w:color w:val="auto"/>
          <w:sz w:val="21"/>
          <w:szCs w:val="21"/>
          <w:highlight w:val="none"/>
          <w:u w:val="single"/>
        </w:rPr>
        <w:t xml:space="preserve">     （供应商名称）        </w:t>
      </w:r>
      <w:r>
        <w:rPr>
          <w:rFonts w:hint="eastAsia" w:ascii="宋体" w:eastAsia="宋体"/>
          <w:color w:val="auto"/>
          <w:sz w:val="21"/>
          <w:szCs w:val="21"/>
          <w:highlight w:val="none"/>
        </w:rPr>
        <w:t>的法定代表人，现委托</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为我方合法代理人。代理人根据授权，以我方名义签署、澄清、说明、补正、递交、撤回、修改</w:t>
      </w:r>
      <w:r>
        <w:rPr>
          <w:rFonts w:hint="eastAsia" w:ascii="宋体" w:eastAsia="宋体"/>
          <w:color w:val="auto"/>
          <w:sz w:val="21"/>
          <w:szCs w:val="21"/>
          <w:highlight w:val="none"/>
          <w:u w:val="single"/>
        </w:rPr>
        <w:t xml:space="preserve">        （项目名称）        </w:t>
      </w:r>
      <w:r>
        <w:rPr>
          <w:rFonts w:hint="eastAsia" w:ascii="宋体" w:eastAsia="宋体"/>
          <w:color w:val="auto"/>
          <w:sz w:val="21"/>
          <w:szCs w:val="21"/>
          <w:highlight w:val="none"/>
        </w:rPr>
        <w:t>[采购编号：</w:t>
      </w:r>
      <w:r>
        <w:rPr>
          <w:rFonts w:hint="eastAsia" w:ascii="宋体" w:eastAsia="宋体"/>
          <w:color w:val="auto"/>
          <w:sz w:val="21"/>
          <w:szCs w:val="21"/>
          <w:highlight w:val="none"/>
          <w:u w:val="single"/>
        </w:rPr>
        <w:t>　　　　　　　</w:t>
      </w:r>
      <w:r>
        <w:rPr>
          <w:rFonts w:hint="eastAsia" w:ascii="宋体" w:eastAsia="宋体"/>
          <w:color w:val="auto"/>
          <w:sz w:val="21"/>
          <w:szCs w:val="21"/>
          <w:highlight w:val="none"/>
        </w:rPr>
        <w:t>]磋商响应文件、签订合同和处理有关事宜，其法律后果由我方承担。</w:t>
      </w:r>
    </w:p>
    <w:p>
      <w:pPr>
        <w:pStyle w:val="76"/>
        <w:spacing w:line="420" w:lineRule="exact"/>
        <w:ind w:firstLine="428" w:firstLineChars="204"/>
        <w:rPr>
          <w:rFonts w:ascii="宋体" w:eastAsia="宋体"/>
          <w:color w:val="auto"/>
          <w:sz w:val="21"/>
          <w:szCs w:val="21"/>
          <w:highlight w:val="none"/>
        </w:rPr>
      </w:pPr>
      <w:r>
        <w:rPr>
          <w:rFonts w:hint="eastAsia" w:ascii="宋体" w:eastAsia="宋体"/>
          <w:color w:val="auto"/>
          <w:sz w:val="21"/>
          <w:szCs w:val="21"/>
          <w:highlight w:val="none"/>
        </w:rPr>
        <w:t>本委托书于</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日签字生效，特此证明。</w:t>
      </w:r>
    </w:p>
    <w:p>
      <w:pPr>
        <w:pStyle w:val="76"/>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代理人无转委托权</w:t>
      </w:r>
    </w:p>
    <w:p>
      <w:pPr>
        <w:pStyle w:val="76"/>
        <w:spacing w:line="420" w:lineRule="exact"/>
        <w:ind w:firstLine="450" w:firstLineChars="0"/>
        <w:rPr>
          <w:rFonts w:ascii="宋体" w:eastAsia="宋体"/>
          <w:color w:val="auto"/>
          <w:sz w:val="21"/>
          <w:szCs w:val="21"/>
          <w:highlight w:val="none"/>
        </w:rPr>
      </w:pPr>
    </w:p>
    <w:p>
      <w:pPr>
        <w:pStyle w:val="76"/>
        <w:spacing w:line="420" w:lineRule="exact"/>
        <w:ind w:firstLine="428" w:firstLineChars="204"/>
        <w:rPr>
          <w:rFonts w:ascii="宋体" w:eastAsia="宋体"/>
          <w:color w:val="auto"/>
          <w:sz w:val="21"/>
          <w:szCs w:val="21"/>
          <w:highlight w:val="none"/>
        </w:rPr>
      </w:pPr>
    </w:p>
    <w:p>
      <w:pPr>
        <w:pStyle w:val="76"/>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6"/>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6"/>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身份证号码：</w:t>
      </w:r>
    </w:p>
    <w:p>
      <w:pPr>
        <w:pStyle w:val="76"/>
        <w:spacing w:line="420" w:lineRule="exact"/>
        <w:ind w:firstLine="3517" w:firstLineChars="1675"/>
        <w:rPr>
          <w:rFonts w:ascii="宋体" w:eastAsia="宋体"/>
          <w:color w:val="auto"/>
          <w:sz w:val="21"/>
          <w:szCs w:val="21"/>
          <w:highlight w:val="none"/>
        </w:rPr>
      </w:pPr>
    </w:p>
    <w:p>
      <w:pPr>
        <w:pStyle w:val="76"/>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受托代理人（签名或盖私章）：</w:t>
      </w:r>
    </w:p>
    <w:p>
      <w:pPr>
        <w:pStyle w:val="76"/>
        <w:spacing w:line="420" w:lineRule="exac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6"/>
        <w:spacing w:line="460" w:lineRule="exac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须附：授权代理人身份证复印件（加盖公章）</w:t>
      </w:r>
    </w:p>
    <w:p>
      <w:pPr>
        <w:spacing w:line="420" w:lineRule="atLeast"/>
        <w:ind w:firstLine="420" w:firstLineChars="200"/>
        <w:rPr>
          <w:color w:val="auto"/>
          <w:sz w:val="21"/>
          <w:szCs w:val="21"/>
          <w:highlight w:val="none"/>
        </w:rPr>
      </w:pPr>
    </w:p>
    <w:tbl>
      <w:tblPr>
        <w:tblStyle w:val="52"/>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76"/>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232" w:type="dxa"/>
            <w:vAlign w:val="center"/>
          </w:tcPr>
          <w:p>
            <w:pPr>
              <w:pStyle w:val="76"/>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pStyle w:val="14"/>
        <w:ind w:firstLine="482"/>
        <w:rPr>
          <w:b/>
          <w:color w:val="auto"/>
          <w:sz w:val="24"/>
          <w:szCs w:val="24"/>
          <w:highlight w:val="none"/>
        </w:rPr>
      </w:pPr>
    </w:p>
    <w:p>
      <w:pPr>
        <w:tabs>
          <w:tab w:val="left" w:pos="7740"/>
        </w:tabs>
        <w:spacing w:line="360" w:lineRule="auto"/>
        <w:rPr>
          <w:rFonts w:hAnsi="宋体"/>
          <w:color w:val="auto"/>
          <w:sz w:val="21"/>
          <w:szCs w:val="21"/>
          <w:highlight w:val="none"/>
        </w:rPr>
      </w:pPr>
      <w:bookmarkStart w:id="302" w:name="_Toc7897893"/>
      <w:bookmarkStart w:id="303" w:name="_Toc4592"/>
    </w:p>
    <w:p>
      <w:pPr>
        <w:pStyle w:val="14"/>
        <w:ind w:firstLine="0" w:firstLineChars="0"/>
        <w:rPr>
          <w:color w:val="auto"/>
          <w:highlight w:val="none"/>
        </w:rPr>
      </w:pPr>
    </w:p>
    <w:p>
      <w:pPr>
        <w:pStyle w:val="14"/>
        <w:ind w:firstLine="0" w:firstLineChars="0"/>
        <w:rPr>
          <w:color w:val="auto"/>
          <w:highlight w:val="none"/>
        </w:rPr>
      </w:pPr>
    </w:p>
    <w:p>
      <w:pPr>
        <w:pStyle w:val="14"/>
        <w:ind w:firstLine="0" w:firstLineChars="0"/>
        <w:rPr>
          <w:color w:val="auto"/>
          <w:highlight w:val="none"/>
        </w:rPr>
      </w:pPr>
    </w:p>
    <w:p>
      <w:pPr>
        <w:pStyle w:val="5"/>
        <w:numPr>
          <w:ilvl w:val="0"/>
          <w:numId w:val="39"/>
        </w:numPr>
        <w:jc w:val="center"/>
        <w:rPr>
          <w:color w:val="auto"/>
          <w:sz w:val="28"/>
          <w:szCs w:val="28"/>
          <w:highlight w:val="none"/>
        </w:rPr>
      </w:pPr>
      <w:bookmarkStart w:id="304" w:name="_Toc17363"/>
      <w:bookmarkStart w:id="305" w:name="_Toc16606"/>
      <w:r>
        <w:rPr>
          <w:rFonts w:hint="eastAsia"/>
          <w:color w:val="auto"/>
          <w:sz w:val="28"/>
          <w:szCs w:val="28"/>
          <w:highlight w:val="none"/>
        </w:rPr>
        <w:t>供应商基本情况说明</w:t>
      </w:r>
      <w:bookmarkEnd w:id="302"/>
      <w:bookmarkEnd w:id="303"/>
      <w:bookmarkEnd w:id="304"/>
      <w:bookmarkEnd w:id="305"/>
    </w:p>
    <w:p>
      <w:pPr>
        <w:spacing w:line="360" w:lineRule="auto"/>
        <w:rPr>
          <w:rFonts w:hAnsi="宋体"/>
          <w:color w:val="auto"/>
          <w:sz w:val="22"/>
          <w:szCs w:val="22"/>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一、</w:t>
      </w:r>
      <w:r>
        <w:rPr>
          <w:rFonts w:hAnsi="宋体"/>
          <w:color w:val="auto"/>
          <w:sz w:val="21"/>
          <w:szCs w:val="21"/>
          <w:highlight w:val="none"/>
        </w:rPr>
        <w:t>公司基本情况</w:t>
      </w:r>
    </w:p>
    <w:p>
      <w:pPr>
        <w:tabs>
          <w:tab w:val="left" w:pos="4678"/>
        </w:tabs>
        <w:spacing w:line="360" w:lineRule="auto"/>
        <w:rPr>
          <w:rFonts w:hAnsi="宋体"/>
          <w:color w:val="auto"/>
          <w:sz w:val="21"/>
          <w:szCs w:val="21"/>
          <w:highlight w:val="none"/>
        </w:rPr>
      </w:pPr>
      <w:r>
        <w:rPr>
          <w:rFonts w:hAnsi="宋体"/>
          <w:color w:val="auto"/>
          <w:sz w:val="21"/>
          <w:szCs w:val="21"/>
          <w:highlight w:val="none"/>
        </w:rPr>
        <w:t>1、公司名称： 电话号码：</w:t>
      </w:r>
    </w:p>
    <w:p>
      <w:pPr>
        <w:spacing w:line="360" w:lineRule="auto"/>
        <w:rPr>
          <w:rFonts w:hAnsi="宋体"/>
          <w:color w:val="auto"/>
          <w:sz w:val="21"/>
          <w:szCs w:val="21"/>
          <w:highlight w:val="none"/>
        </w:rPr>
      </w:pPr>
      <w:r>
        <w:rPr>
          <w:rFonts w:hAnsi="宋体"/>
          <w:color w:val="auto"/>
          <w:sz w:val="21"/>
          <w:szCs w:val="21"/>
          <w:highlight w:val="none"/>
        </w:rPr>
        <w:t>2、地  址： 传  真：</w:t>
      </w:r>
    </w:p>
    <w:p>
      <w:pPr>
        <w:spacing w:line="360" w:lineRule="auto"/>
        <w:rPr>
          <w:rFonts w:hAnsi="宋体"/>
          <w:color w:val="auto"/>
          <w:sz w:val="21"/>
          <w:szCs w:val="21"/>
          <w:highlight w:val="none"/>
          <w:u w:val="single"/>
        </w:rPr>
      </w:pPr>
      <w:r>
        <w:rPr>
          <w:rFonts w:hAnsi="宋体"/>
          <w:color w:val="auto"/>
          <w:sz w:val="21"/>
          <w:szCs w:val="21"/>
          <w:highlight w:val="none"/>
        </w:rPr>
        <w:t>3、注册资金： 经济性质：</w:t>
      </w:r>
    </w:p>
    <w:p>
      <w:pPr>
        <w:spacing w:line="360" w:lineRule="auto"/>
        <w:rPr>
          <w:rFonts w:hAnsi="宋体"/>
          <w:color w:val="auto"/>
          <w:sz w:val="21"/>
          <w:szCs w:val="21"/>
          <w:highlight w:val="none"/>
        </w:rPr>
      </w:pPr>
      <w:r>
        <w:rPr>
          <w:rFonts w:hAnsi="宋体"/>
          <w:color w:val="auto"/>
          <w:sz w:val="21"/>
          <w:szCs w:val="21"/>
          <w:highlight w:val="none"/>
        </w:rPr>
        <w:t xml:space="preserve">4、公司开户银行名称及账号：      </w:t>
      </w:r>
    </w:p>
    <w:p>
      <w:pPr>
        <w:spacing w:line="360" w:lineRule="auto"/>
        <w:rPr>
          <w:rFonts w:hAnsi="宋体"/>
          <w:color w:val="auto"/>
          <w:sz w:val="21"/>
          <w:szCs w:val="21"/>
          <w:highlight w:val="none"/>
        </w:rPr>
      </w:pPr>
      <w:r>
        <w:rPr>
          <w:rFonts w:hAnsi="宋体"/>
          <w:color w:val="auto"/>
          <w:sz w:val="21"/>
          <w:szCs w:val="21"/>
          <w:highlight w:val="none"/>
        </w:rPr>
        <w:t xml:space="preserve">5、营业注册执照号：  </w:t>
      </w:r>
    </w:p>
    <w:p>
      <w:pPr>
        <w:spacing w:line="360" w:lineRule="auto"/>
        <w:rPr>
          <w:rFonts w:hAnsi="宋体"/>
          <w:color w:val="auto"/>
          <w:sz w:val="21"/>
          <w:szCs w:val="21"/>
          <w:highlight w:val="none"/>
        </w:rPr>
      </w:pPr>
      <w:r>
        <w:rPr>
          <w:rFonts w:hAnsi="宋体"/>
          <w:color w:val="auto"/>
          <w:sz w:val="21"/>
          <w:szCs w:val="21"/>
          <w:highlight w:val="none"/>
        </w:rPr>
        <w:t>6、公司简介:</w:t>
      </w:r>
    </w:p>
    <w:p>
      <w:pPr>
        <w:spacing w:line="360" w:lineRule="auto"/>
        <w:rPr>
          <w:rFonts w:hAnsi="宋体"/>
          <w:color w:val="auto"/>
          <w:sz w:val="21"/>
          <w:szCs w:val="21"/>
          <w:highlight w:val="none"/>
        </w:rPr>
      </w:pPr>
      <w:r>
        <w:rPr>
          <w:rFonts w:hAnsi="宋体"/>
          <w:color w:val="auto"/>
          <w:sz w:val="21"/>
          <w:szCs w:val="21"/>
          <w:highlight w:val="none"/>
        </w:rPr>
        <w:t>7、公司财务情况：</w:t>
      </w:r>
    </w:p>
    <w:p>
      <w:pPr>
        <w:spacing w:line="360" w:lineRule="auto"/>
        <w:jc w:val="right"/>
        <w:rPr>
          <w:rFonts w:hAnsi="宋体"/>
          <w:color w:val="auto"/>
          <w:sz w:val="21"/>
          <w:szCs w:val="21"/>
          <w:highlight w:val="none"/>
        </w:rPr>
      </w:pPr>
      <w:r>
        <w:rPr>
          <w:rFonts w:hint="eastAsia" w:hAnsi="宋体"/>
          <w:color w:val="auto"/>
          <w:sz w:val="21"/>
          <w:szCs w:val="21"/>
          <w:highlight w:val="none"/>
        </w:rPr>
        <w:t>【价格单位：（人民币）元】</w:t>
      </w:r>
    </w:p>
    <w:tbl>
      <w:tblPr>
        <w:tblStyle w:val="52"/>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pPr>
              <w:jc w:val="center"/>
              <w:rPr>
                <w:rFonts w:hAnsi="宋体"/>
                <w:color w:val="auto"/>
                <w:sz w:val="21"/>
                <w:szCs w:val="21"/>
                <w:highlight w:val="none"/>
              </w:rPr>
            </w:pPr>
            <w:r>
              <w:rPr>
                <w:rFonts w:hint="eastAsia" w:hAnsi="宋体"/>
                <w:color w:val="auto"/>
                <w:sz w:val="21"/>
                <w:szCs w:val="21"/>
                <w:highlight w:val="none"/>
              </w:rPr>
              <w:t>年  度</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总资产（元）</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资产负债率（%）</w:t>
            </w:r>
          </w:p>
        </w:tc>
        <w:tc>
          <w:tcPr>
            <w:tcW w:w="1839" w:type="dxa"/>
            <w:vAlign w:val="center"/>
          </w:tcPr>
          <w:p>
            <w:pPr>
              <w:jc w:val="center"/>
              <w:rPr>
                <w:rFonts w:hAnsi="宋体"/>
                <w:color w:val="auto"/>
                <w:sz w:val="21"/>
                <w:szCs w:val="21"/>
                <w:highlight w:val="none"/>
              </w:rPr>
            </w:pPr>
            <w:r>
              <w:rPr>
                <w:rFonts w:hint="eastAsia" w:hAnsi="宋体"/>
                <w:color w:val="auto"/>
                <w:sz w:val="21"/>
                <w:szCs w:val="21"/>
                <w:highlight w:val="none"/>
              </w:rPr>
              <w:t>年营业额（元）</w:t>
            </w:r>
          </w:p>
        </w:tc>
        <w:tc>
          <w:tcPr>
            <w:tcW w:w="1851" w:type="dxa"/>
            <w:vAlign w:val="center"/>
          </w:tcPr>
          <w:p>
            <w:pPr>
              <w:jc w:val="center"/>
              <w:rPr>
                <w:rFonts w:hAnsi="宋体"/>
                <w:color w:val="auto"/>
                <w:sz w:val="21"/>
                <w:szCs w:val="21"/>
                <w:highlight w:val="none"/>
              </w:rPr>
            </w:pPr>
            <w:r>
              <w:rPr>
                <w:rFonts w:hint="eastAsia" w:hAnsi="宋体"/>
                <w:color w:val="auto"/>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bl>
    <w:p>
      <w:pPr>
        <w:spacing w:line="360" w:lineRule="auto"/>
        <w:rPr>
          <w:rFonts w:hAnsi="宋体"/>
          <w:b/>
          <w:color w:val="auto"/>
          <w:sz w:val="21"/>
          <w:szCs w:val="21"/>
          <w:highlight w:val="none"/>
        </w:rPr>
      </w:pPr>
    </w:p>
    <w:p>
      <w:pPr>
        <w:tabs>
          <w:tab w:val="left" w:pos="420"/>
          <w:tab w:val="left" w:pos="1485"/>
        </w:tabs>
        <w:spacing w:line="360" w:lineRule="auto"/>
        <w:rPr>
          <w:rFonts w:hAnsi="宋体"/>
          <w:color w:val="auto"/>
          <w:sz w:val="21"/>
          <w:szCs w:val="21"/>
          <w:highlight w:val="none"/>
        </w:rPr>
      </w:pPr>
      <w:r>
        <w:rPr>
          <w:rFonts w:hint="eastAsia" w:hAnsi="宋体"/>
          <w:color w:val="auto"/>
          <w:sz w:val="21"/>
          <w:szCs w:val="21"/>
          <w:highlight w:val="none"/>
        </w:rPr>
        <w:t>二、</w:t>
      </w:r>
      <w:r>
        <w:rPr>
          <w:rFonts w:hAnsi="宋体"/>
          <w:color w:val="auto"/>
          <w:sz w:val="21"/>
          <w:szCs w:val="21"/>
          <w:highlight w:val="none"/>
        </w:rPr>
        <w:t>供应商获得国家有关部门颁发的资质证明</w:t>
      </w:r>
      <w:r>
        <w:rPr>
          <w:rFonts w:hint="eastAsia" w:hAnsi="宋体"/>
          <w:color w:val="auto"/>
          <w:sz w:val="21"/>
          <w:szCs w:val="21"/>
          <w:highlight w:val="none"/>
        </w:rPr>
        <w:t>或荣誉</w:t>
      </w:r>
      <w:r>
        <w:rPr>
          <w:rFonts w:hAnsi="宋体"/>
          <w:color w:val="auto"/>
          <w:sz w:val="21"/>
          <w:szCs w:val="21"/>
          <w:highlight w:val="none"/>
        </w:rPr>
        <w:t>：</w:t>
      </w:r>
      <w:r>
        <w:rPr>
          <w:rFonts w:hint="eastAsia" w:hAnsi="宋体"/>
          <w:color w:val="auto"/>
          <w:sz w:val="21"/>
          <w:szCs w:val="21"/>
          <w:highlight w:val="none"/>
        </w:rPr>
        <w:t>（如有）</w:t>
      </w:r>
    </w:p>
    <w:tbl>
      <w:tblPr>
        <w:tblStyle w:val="52"/>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jc w:val="center"/>
              <w:rPr>
                <w:rFonts w:hAnsi="宋体"/>
                <w:color w:val="auto"/>
                <w:sz w:val="21"/>
                <w:szCs w:val="21"/>
                <w:highlight w:val="none"/>
              </w:rPr>
            </w:pPr>
            <w:r>
              <w:rPr>
                <w:rFonts w:hAnsi="宋体"/>
                <w:color w:val="auto"/>
                <w:sz w:val="21"/>
                <w:szCs w:val="21"/>
                <w:highlight w:val="none"/>
              </w:rPr>
              <w:t>证书名称</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发证单位</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证书等级</w:t>
            </w:r>
          </w:p>
        </w:tc>
        <w:tc>
          <w:tcPr>
            <w:tcW w:w="1830" w:type="dxa"/>
            <w:vAlign w:val="center"/>
          </w:tcPr>
          <w:p>
            <w:pPr>
              <w:jc w:val="center"/>
              <w:rPr>
                <w:rFonts w:hAnsi="宋体"/>
                <w:color w:val="auto"/>
                <w:sz w:val="21"/>
                <w:szCs w:val="21"/>
                <w:highlight w:val="none"/>
              </w:rPr>
            </w:pPr>
            <w:r>
              <w:rPr>
                <w:rFonts w:hAnsi="宋体"/>
                <w:color w:val="auto"/>
                <w:sz w:val="21"/>
                <w:szCs w:val="21"/>
                <w:highlight w:val="none"/>
              </w:rPr>
              <w:t>证书有效期</w:t>
            </w:r>
          </w:p>
        </w:tc>
        <w:tc>
          <w:tcPr>
            <w:tcW w:w="1842" w:type="dxa"/>
            <w:vAlign w:val="center"/>
          </w:tcPr>
          <w:p>
            <w:pPr>
              <w:jc w:val="center"/>
              <w:rPr>
                <w:rFonts w:hAnsi="宋体"/>
                <w:color w:val="auto"/>
                <w:sz w:val="21"/>
                <w:szCs w:val="21"/>
                <w:highlight w:val="none"/>
              </w:rPr>
            </w:pPr>
            <w:r>
              <w:rPr>
                <w:rFonts w:hint="eastAsia" w:hAnsi="宋体"/>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bl>
    <w:p>
      <w:pPr>
        <w:spacing w:line="420" w:lineRule="atLeast"/>
        <w:rPr>
          <w:rFonts w:hAnsi="宋体"/>
          <w:color w:val="auto"/>
          <w:sz w:val="21"/>
          <w:szCs w:val="21"/>
          <w:highlight w:val="none"/>
        </w:rPr>
      </w:pPr>
      <w:r>
        <w:rPr>
          <w:rFonts w:hint="eastAsia" w:hAnsi="宋体"/>
          <w:color w:val="auto"/>
          <w:sz w:val="21"/>
          <w:szCs w:val="21"/>
          <w:highlight w:val="none"/>
        </w:rPr>
        <w:t>备注：以上资质或荣誉必须提供相关证明材料。</w:t>
      </w:r>
    </w:p>
    <w:p>
      <w:pPr>
        <w:spacing w:line="420" w:lineRule="atLeast"/>
        <w:rPr>
          <w:rFonts w:hAnsi="宋体"/>
          <w:color w:val="auto"/>
          <w:sz w:val="21"/>
          <w:szCs w:val="21"/>
          <w:highlight w:val="none"/>
        </w:rPr>
      </w:pPr>
      <w:r>
        <w:rPr>
          <w:rFonts w:hint="eastAsia" w:hAnsi="宋体"/>
          <w:color w:val="auto"/>
          <w:sz w:val="21"/>
          <w:szCs w:val="21"/>
          <w:highlight w:val="none"/>
        </w:rPr>
        <w:t>兹证明上述声明是真实、正确的，并提供了全部能提供的资料和数据，我方同意遵照贵方要求出示有关证明文件。</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5"/>
        <w:numPr>
          <w:ilvl w:val="0"/>
          <w:numId w:val="39"/>
        </w:numPr>
        <w:jc w:val="center"/>
        <w:rPr>
          <w:b w:val="0"/>
          <w:color w:val="auto"/>
          <w:sz w:val="28"/>
          <w:szCs w:val="28"/>
          <w:highlight w:val="none"/>
          <w:u w:val="single"/>
        </w:rPr>
      </w:pPr>
      <w:r>
        <w:rPr>
          <w:color w:val="auto"/>
          <w:sz w:val="22"/>
          <w:szCs w:val="22"/>
          <w:highlight w:val="none"/>
        </w:rPr>
        <w:br w:type="page"/>
      </w:r>
      <w:bookmarkStart w:id="306" w:name="_Toc7897894"/>
      <w:bookmarkStart w:id="307" w:name="_Toc27094"/>
      <w:bookmarkStart w:id="308" w:name="_Toc20023"/>
      <w:bookmarkStart w:id="309" w:name="_Toc17704"/>
      <w:r>
        <w:rPr>
          <w:rFonts w:hint="eastAsia"/>
          <w:bCs/>
          <w:color w:val="auto"/>
          <w:sz w:val="28"/>
          <w:szCs w:val="28"/>
          <w:highlight w:val="none"/>
        </w:rPr>
        <w:t>偏离表</w:t>
      </w:r>
      <w:bookmarkEnd w:id="282"/>
      <w:bookmarkEnd w:id="306"/>
      <w:bookmarkEnd w:id="307"/>
      <w:bookmarkEnd w:id="308"/>
      <w:bookmarkEnd w:id="309"/>
    </w:p>
    <w:p>
      <w:pPr>
        <w:pStyle w:val="14"/>
        <w:ind w:firstLine="480"/>
        <w:rPr>
          <w:color w:val="auto"/>
          <w:sz w:val="24"/>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Cs w:val="21"/>
          <w:highlight w:val="none"/>
        </w:rPr>
      </w:pPr>
    </w:p>
    <w:tbl>
      <w:tblPr>
        <w:tblStyle w:val="52"/>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序号</w:t>
            </w:r>
          </w:p>
        </w:tc>
        <w:tc>
          <w:tcPr>
            <w:tcW w:w="216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项 目</w:t>
            </w:r>
          </w:p>
        </w:tc>
        <w:tc>
          <w:tcPr>
            <w:tcW w:w="124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磋商文件要求</w:t>
            </w:r>
          </w:p>
        </w:tc>
        <w:tc>
          <w:tcPr>
            <w:tcW w:w="198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响应文件</w:t>
            </w:r>
          </w:p>
          <w:p>
            <w:pPr>
              <w:jc w:val="center"/>
              <w:rPr>
                <w:rFonts w:hAnsi="宋体"/>
                <w:b/>
                <w:bCs/>
                <w:color w:val="auto"/>
                <w:sz w:val="21"/>
                <w:szCs w:val="21"/>
                <w:highlight w:val="none"/>
              </w:rPr>
            </w:pPr>
            <w:r>
              <w:rPr>
                <w:rFonts w:hint="eastAsia" w:hAnsi="宋体"/>
                <w:b/>
                <w:bCs/>
                <w:color w:val="auto"/>
                <w:sz w:val="21"/>
                <w:szCs w:val="21"/>
                <w:highlight w:val="none"/>
              </w:rPr>
              <w:t>响应情况</w:t>
            </w:r>
          </w:p>
        </w:tc>
        <w:tc>
          <w:tcPr>
            <w:tcW w:w="1276"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tc>
        <w:tc>
          <w:tcPr>
            <w:tcW w:w="159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p>
            <w:pPr>
              <w:jc w:val="center"/>
              <w:rPr>
                <w:rFonts w:hAnsi="宋体"/>
                <w:b/>
                <w:bCs/>
                <w:color w:val="auto"/>
                <w:sz w:val="21"/>
                <w:szCs w:val="21"/>
                <w:highlight w:val="none"/>
              </w:rPr>
            </w:pPr>
            <w:r>
              <w:rPr>
                <w:rFonts w:hint="eastAsia" w:hAnsi="宋体"/>
                <w:b/>
                <w:bCs/>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1</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ind w:left="-446" w:leftChars="-186" w:firstLine="390" w:firstLineChars="186"/>
              <w:jc w:val="center"/>
              <w:rPr>
                <w:rFonts w:hAnsi="宋体"/>
                <w:color w:val="auto"/>
                <w:sz w:val="21"/>
                <w:szCs w:val="21"/>
                <w:highlight w:val="none"/>
              </w:rPr>
            </w:pPr>
          </w:p>
        </w:tc>
        <w:tc>
          <w:tcPr>
            <w:tcW w:w="1594" w:type="dxa"/>
            <w:vAlign w:val="center"/>
          </w:tcPr>
          <w:p>
            <w:pPr>
              <w:ind w:left="-446" w:leftChars="-186" w:firstLine="390" w:firstLineChars="186"/>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2</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3</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jc w:val="center"/>
              <w:rPr>
                <w:rFonts w:hAnsi="宋体"/>
                <w:bCs/>
                <w:color w:val="auto"/>
                <w:sz w:val="21"/>
                <w:szCs w:val="21"/>
                <w:highlight w:val="none"/>
              </w:rPr>
            </w:pPr>
            <w:r>
              <w:rPr>
                <w:rFonts w:hint="eastAsia" w:hAnsi="宋体"/>
                <w:bCs/>
                <w:color w:val="auto"/>
                <w:sz w:val="21"/>
                <w:szCs w:val="21"/>
                <w:highlight w:val="none"/>
              </w:rPr>
              <w:t>其他</w:t>
            </w: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color w:val="auto"/>
          <w:sz w:val="21"/>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1.“磋商文件要求”见磋商文件“商务需求书”，“响应文件响应情况”是指供应商的投报情况。</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bCs/>
          <w:color w:val="auto"/>
          <w:sz w:val="21"/>
          <w:szCs w:val="21"/>
          <w:highlight w:val="none"/>
        </w:rPr>
        <w:t>偏离情况</w:t>
      </w:r>
      <w:r>
        <w:rPr>
          <w:rFonts w:hint="eastAsia" w:hAnsi="宋体"/>
          <w:color w:val="auto"/>
          <w:sz w:val="21"/>
          <w:szCs w:val="21"/>
          <w:highlight w:val="none"/>
        </w:rPr>
        <w:t>”包括“完全响应”、“正偏离”、“负偏离”。</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 xml:space="preserve">日期：年月日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5"/>
        <w:numPr>
          <w:ilvl w:val="0"/>
          <w:numId w:val="39"/>
        </w:numPr>
        <w:jc w:val="center"/>
        <w:rPr>
          <w:rFonts w:ascii="Calibri" w:hAnsi="Times New Roman"/>
          <w:color w:val="auto"/>
          <w:sz w:val="28"/>
          <w:szCs w:val="28"/>
          <w:highlight w:val="none"/>
        </w:rPr>
      </w:pPr>
      <w:bookmarkStart w:id="310" w:name="_Toc8299"/>
      <w:bookmarkStart w:id="311" w:name="_Toc28149"/>
      <w:bookmarkStart w:id="312" w:name="_Toc31965"/>
      <w:bookmarkStart w:id="313" w:name="_Toc7897895"/>
      <w:r>
        <w:rPr>
          <w:rFonts w:hint="eastAsia" w:ascii="Calibri"/>
          <w:color w:val="auto"/>
          <w:sz w:val="28"/>
          <w:szCs w:val="28"/>
          <w:highlight w:val="none"/>
        </w:rPr>
        <w:t>磋商</w:t>
      </w:r>
      <w:r>
        <w:rPr>
          <w:rFonts w:hint="eastAsia" w:ascii="Calibri" w:hAnsi="Times New Roman"/>
          <w:color w:val="auto"/>
          <w:sz w:val="28"/>
          <w:szCs w:val="28"/>
          <w:highlight w:val="none"/>
        </w:rPr>
        <w:t>文件“★”号条款响应表</w:t>
      </w:r>
      <w:bookmarkEnd w:id="310"/>
      <w:bookmarkEnd w:id="311"/>
    </w:p>
    <w:p>
      <w:pPr>
        <w:rPr>
          <w:rFonts w:hAnsi="宋体"/>
          <w:b/>
          <w:bCs/>
          <w:color w:val="auto"/>
          <w:highlight w:val="none"/>
        </w:rPr>
      </w:pPr>
    </w:p>
    <w:p>
      <w:pPr>
        <w:rPr>
          <w:rFonts w:hAnsi="宋体"/>
          <w:b/>
          <w:bCs/>
          <w:color w:val="auto"/>
          <w:highlight w:val="none"/>
        </w:rPr>
      </w:pPr>
    </w:p>
    <w:tbl>
      <w:tblPr>
        <w:tblStyle w:val="52"/>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4637" w:type="dxa"/>
            <w:gridSpan w:val="2"/>
            <w:vAlign w:val="center"/>
          </w:tcPr>
          <w:p>
            <w:pPr>
              <w:autoSpaceDE/>
              <w:autoSpaceDN/>
              <w:adjustRightInd/>
              <w:spacing w:before="120" w:after="120" w:line="360" w:lineRule="auto"/>
              <w:ind w:left="-122" w:leftChars="-51"/>
              <w:jc w:val="center"/>
              <w:rPr>
                <w:rFonts w:hAnsi="宋体"/>
                <w:color w:val="auto"/>
                <w:sz w:val="21"/>
                <w:szCs w:val="21"/>
                <w:highlight w:val="none"/>
              </w:rPr>
            </w:pPr>
            <w:r>
              <w:rPr>
                <w:rFonts w:hint="eastAsia" w:hAnsi="宋体"/>
                <w:color w:val="auto"/>
                <w:sz w:val="21"/>
                <w:szCs w:val="21"/>
                <w:highlight w:val="none"/>
              </w:rPr>
              <w:t>磋商文件“★”号条款要求</w:t>
            </w:r>
          </w:p>
        </w:tc>
        <w:tc>
          <w:tcPr>
            <w:tcW w:w="4192" w:type="dxa"/>
            <w:gridSpan w:val="2"/>
            <w:vAlign w:val="center"/>
          </w:tcPr>
          <w:p>
            <w:pPr>
              <w:autoSpaceDE/>
              <w:autoSpaceDN/>
              <w:adjustRightInd/>
              <w:spacing w:before="120" w:after="120" w:line="360" w:lineRule="auto"/>
              <w:ind w:left="-88"/>
              <w:jc w:val="center"/>
              <w:rPr>
                <w:rFonts w:hAnsi="宋体"/>
                <w:color w:val="auto"/>
                <w:sz w:val="21"/>
                <w:szCs w:val="21"/>
                <w:highlight w:val="none"/>
              </w:rPr>
            </w:pPr>
            <w:r>
              <w:rPr>
                <w:rFonts w:hint="eastAsia" w:hAnsi="宋体"/>
                <w:color w:val="auto"/>
                <w:sz w:val="21"/>
                <w:szCs w:val="21"/>
                <w:highlight w:val="none"/>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autoSpaceDE/>
              <w:autoSpaceDN/>
              <w:adjustRightInd/>
              <w:spacing w:before="120" w:after="120" w:line="360" w:lineRule="auto"/>
              <w:ind w:left="629"/>
              <w:jc w:val="center"/>
              <w:outlineLvl w:val="0"/>
              <w:rPr>
                <w:rFonts w:hAnsi="宋体"/>
                <w:color w:val="auto"/>
                <w:sz w:val="21"/>
                <w:szCs w:val="21"/>
                <w:highlight w:val="none"/>
              </w:rPr>
            </w:pPr>
          </w:p>
        </w:tc>
        <w:tc>
          <w:tcPr>
            <w:tcW w:w="1266"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条款号</w:t>
            </w:r>
          </w:p>
        </w:tc>
        <w:tc>
          <w:tcPr>
            <w:tcW w:w="3371"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简要内容</w:t>
            </w:r>
          </w:p>
        </w:tc>
        <w:tc>
          <w:tcPr>
            <w:tcW w:w="2113"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偏离情况</w:t>
            </w:r>
          </w:p>
        </w:tc>
        <w:tc>
          <w:tcPr>
            <w:tcW w:w="2079"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1</w:t>
            </w:r>
          </w:p>
        </w:tc>
        <w:tc>
          <w:tcPr>
            <w:tcW w:w="1266" w:type="dxa"/>
            <w:vAlign w:val="center"/>
          </w:tcPr>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vAlign w:val="center"/>
          </w:tcPr>
          <w:p>
            <w:pPr>
              <w:keepNext/>
              <w:keepLines/>
              <w:autoSpaceDE/>
              <w:autoSpaceDN/>
              <w:adjustRightInd/>
              <w:spacing w:before="120" w:after="120" w:line="360" w:lineRule="auto"/>
              <w:ind w:left="629"/>
              <w:jc w:val="center"/>
              <w:outlineLvl w:val="2"/>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center"/>
              <w:outlineLvl w:val="2"/>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2</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629"/>
              <w:jc w:val="both"/>
              <w:outlineLvl w:val="2"/>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both"/>
              <w:outlineLvl w:val="2"/>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3</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color w:val="auto"/>
                <w:kern w:val="2"/>
                <w:sz w:val="21"/>
                <w:szCs w:val="21"/>
                <w:highlight w:val="none"/>
              </w:rPr>
            </w:pPr>
          </w:p>
        </w:tc>
      </w:tr>
    </w:tbl>
    <w:p>
      <w:pPr>
        <w:autoSpaceDE/>
        <w:autoSpaceDN/>
        <w:adjustRightInd/>
        <w:spacing w:line="360" w:lineRule="auto"/>
        <w:ind w:left="565" w:leftChars="-59" w:hanging="707" w:hangingChars="337"/>
        <w:jc w:val="both"/>
        <w:rPr>
          <w:rFonts w:hAnsi="宋体"/>
          <w:b/>
          <w:color w:val="auto"/>
          <w:kern w:val="2"/>
          <w:sz w:val="21"/>
          <w:szCs w:val="21"/>
          <w:highlight w:val="none"/>
        </w:rPr>
      </w:pPr>
      <w:r>
        <w:rPr>
          <w:rFonts w:hint="eastAsia" w:hAnsi="宋体"/>
          <w:color w:val="auto"/>
          <w:kern w:val="2"/>
          <w:sz w:val="21"/>
          <w:szCs w:val="21"/>
          <w:highlight w:val="none"/>
        </w:rPr>
        <w:t>注：1、</w:t>
      </w:r>
      <w:r>
        <w:rPr>
          <w:rFonts w:hint="eastAsia" w:hAnsi="宋体"/>
          <w:b/>
          <w:color w:val="auto"/>
          <w:kern w:val="2"/>
          <w:sz w:val="21"/>
          <w:szCs w:val="21"/>
          <w:highlight w:val="none"/>
        </w:rPr>
        <w:t>供应商应按照磋商文件用户需求要求，逐条、如实地填写“偏离情况”项</w:t>
      </w:r>
      <w:r>
        <w:rPr>
          <w:rFonts w:hint="eastAsia" w:hAnsi="宋体"/>
          <w:color w:val="auto"/>
          <w:kern w:val="2"/>
          <w:sz w:val="21"/>
          <w:szCs w:val="21"/>
          <w:highlight w:val="none"/>
        </w:rPr>
        <w:t>。</w:t>
      </w:r>
      <w:r>
        <w:rPr>
          <w:rFonts w:hint="eastAsia" w:hAnsi="宋体"/>
          <w:b/>
          <w:color w:val="auto"/>
          <w:kern w:val="2"/>
          <w:sz w:val="21"/>
          <w:szCs w:val="21"/>
          <w:highlight w:val="none"/>
        </w:rPr>
        <w:t>“偏离情况”项为正偏离（或负偏离）的，必须在“具体偏离内容”项内详细说明与磋商文件的偏离内容，“偏离情况”项为无偏离的，在“具体偏离内容”项内填“无”。若发现此表未逐条填写或虚假填写本表，按无效磋商响应文件处理。</w:t>
      </w:r>
    </w:p>
    <w:p>
      <w:pPr>
        <w:autoSpaceDE/>
        <w:autoSpaceDN/>
        <w:adjustRightInd/>
        <w:spacing w:line="360" w:lineRule="auto"/>
        <w:ind w:left="561" w:leftChars="115" w:hanging="285" w:hangingChars="135"/>
        <w:jc w:val="both"/>
        <w:rPr>
          <w:rFonts w:hAnsi="宋体"/>
          <w:i/>
          <w:iCs/>
          <w:color w:val="auto"/>
          <w:sz w:val="21"/>
          <w:szCs w:val="21"/>
          <w:highlight w:val="none"/>
        </w:rPr>
      </w:pPr>
      <w:r>
        <w:rPr>
          <w:rFonts w:hint="eastAsia" w:hAnsi="宋体"/>
          <w:b/>
          <w:color w:val="auto"/>
          <w:kern w:val="2"/>
          <w:sz w:val="21"/>
          <w:szCs w:val="21"/>
          <w:highlight w:val="none"/>
        </w:rPr>
        <w:t>2、由供应商自行补充磋商文件所有“★”号条款内容（如有），标注“★”号条款均为必须完全满足指标，供应商须进行实质性响应，供应商若有一项带“★”的条款未响应或不满足，将按无效磋商处理。</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rPr>
          <w:rFonts w:hAnsi="宋体"/>
          <w:color w:val="auto"/>
          <w:sz w:val="22"/>
          <w:szCs w:val="22"/>
          <w:highlight w:val="none"/>
        </w:rPr>
      </w:pPr>
      <w:r>
        <w:rPr>
          <w:rFonts w:hint="eastAsia" w:hAnsi="宋体"/>
          <w:color w:val="auto"/>
          <w:sz w:val="21"/>
          <w:szCs w:val="21"/>
          <w:highlight w:val="none"/>
        </w:rPr>
        <w:t>日期：年月日</w:t>
      </w:r>
    </w:p>
    <w:p>
      <w:pPr>
        <w:pStyle w:val="14"/>
        <w:ind w:firstLine="400"/>
        <w:rPr>
          <w:color w:val="auto"/>
          <w:highlight w:val="none"/>
        </w:rPr>
      </w:pPr>
    </w:p>
    <w:p>
      <w:pPr>
        <w:pStyle w:val="5"/>
        <w:numPr>
          <w:ilvl w:val="0"/>
          <w:numId w:val="39"/>
        </w:numPr>
        <w:jc w:val="center"/>
        <w:rPr>
          <w:color w:val="auto"/>
          <w:sz w:val="28"/>
          <w:szCs w:val="28"/>
          <w:highlight w:val="none"/>
        </w:rPr>
      </w:pPr>
      <w:bookmarkStart w:id="314" w:name="_Toc12735"/>
      <w:bookmarkStart w:id="315" w:name="_Toc29072"/>
      <w:r>
        <w:rPr>
          <w:rFonts w:hint="eastAsia"/>
          <w:bCs/>
          <w:color w:val="auto"/>
          <w:sz w:val="28"/>
          <w:szCs w:val="28"/>
          <w:highlight w:val="none"/>
        </w:rPr>
        <w:t>供应商所获资质或奖项证书一览表</w:t>
      </w:r>
      <w:bookmarkEnd w:id="312"/>
      <w:bookmarkEnd w:id="313"/>
      <w:bookmarkEnd w:id="314"/>
      <w:bookmarkEnd w:id="315"/>
    </w:p>
    <w:p>
      <w:pPr>
        <w:pStyle w:val="14"/>
        <w:tabs>
          <w:tab w:val="left" w:pos="8280"/>
        </w:tabs>
        <w:spacing w:line="480" w:lineRule="exact"/>
        <w:ind w:firstLine="482"/>
        <w:rPr>
          <w:rFonts w:hAnsi="宋体"/>
          <w:b/>
          <w:color w:val="auto"/>
          <w:sz w:val="24"/>
          <w:szCs w:val="21"/>
          <w:highlight w:val="none"/>
        </w:rPr>
      </w:pPr>
    </w:p>
    <w:tbl>
      <w:tblPr>
        <w:tblStyle w:val="52"/>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0" w:firstLineChars="0"/>
              <w:jc w:val="both"/>
              <w:rPr>
                <w:rFonts w:ascii="Times New Roman" w:hAnsi="宋体"/>
                <w:b/>
                <w:bCs/>
                <w:color w:val="auto"/>
                <w:sz w:val="21"/>
                <w:szCs w:val="21"/>
                <w:highlight w:val="none"/>
              </w:rPr>
            </w:pPr>
            <w:r>
              <w:rPr>
                <w:rFonts w:hint="eastAsia" w:ascii="Times New Roman" w:hAnsi="宋体"/>
                <w:b/>
                <w:bCs/>
                <w:color w:val="auto"/>
                <w:sz w:val="21"/>
                <w:szCs w:val="21"/>
                <w:highlight w:val="none"/>
              </w:rPr>
              <w:t>序号</w:t>
            </w:r>
          </w:p>
        </w:tc>
        <w:tc>
          <w:tcPr>
            <w:tcW w:w="2218" w:type="dxa"/>
            <w:vAlign w:val="center"/>
          </w:tcPr>
          <w:p>
            <w:pPr>
              <w:pStyle w:val="14"/>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证书名称及等级</w:t>
            </w:r>
          </w:p>
        </w:tc>
        <w:tc>
          <w:tcPr>
            <w:tcW w:w="2218" w:type="dxa"/>
            <w:vAlign w:val="center"/>
          </w:tcPr>
          <w:p>
            <w:pPr>
              <w:pStyle w:val="14"/>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证书编号</w:t>
            </w:r>
          </w:p>
        </w:tc>
        <w:tc>
          <w:tcPr>
            <w:tcW w:w="1862" w:type="dxa"/>
            <w:vAlign w:val="center"/>
          </w:tcPr>
          <w:p>
            <w:pPr>
              <w:pStyle w:val="14"/>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发证单位</w:t>
            </w:r>
          </w:p>
        </w:tc>
        <w:tc>
          <w:tcPr>
            <w:tcW w:w="1529" w:type="dxa"/>
            <w:vAlign w:val="center"/>
          </w:tcPr>
          <w:p>
            <w:pPr>
              <w:pStyle w:val="14"/>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color w:val="auto"/>
                <w:sz w:val="21"/>
                <w:szCs w:val="21"/>
                <w:highlight w:val="none"/>
              </w:rPr>
            </w:pPr>
          </w:p>
        </w:tc>
        <w:tc>
          <w:tcPr>
            <w:tcW w:w="2218" w:type="dxa"/>
            <w:vAlign w:val="center"/>
          </w:tcPr>
          <w:p>
            <w:pPr>
              <w:pStyle w:val="14"/>
              <w:ind w:firstLine="422"/>
              <w:jc w:val="center"/>
              <w:rPr>
                <w:rFonts w:ascii="Times New Roman" w:hAnsi="宋体"/>
                <w:b/>
                <w:bCs/>
                <w:color w:val="auto"/>
                <w:sz w:val="21"/>
                <w:szCs w:val="21"/>
                <w:highlight w:val="none"/>
              </w:rPr>
            </w:pPr>
          </w:p>
        </w:tc>
        <w:tc>
          <w:tcPr>
            <w:tcW w:w="2218" w:type="dxa"/>
            <w:vAlign w:val="center"/>
          </w:tcPr>
          <w:p>
            <w:pPr>
              <w:pStyle w:val="14"/>
              <w:ind w:firstLine="422"/>
              <w:jc w:val="center"/>
              <w:rPr>
                <w:rFonts w:ascii="Times New Roman" w:hAnsi="宋体"/>
                <w:b/>
                <w:bCs/>
                <w:color w:val="auto"/>
                <w:sz w:val="21"/>
                <w:szCs w:val="21"/>
                <w:highlight w:val="none"/>
              </w:rPr>
            </w:pPr>
          </w:p>
        </w:tc>
        <w:tc>
          <w:tcPr>
            <w:tcW w:w="1862" w:type="dxa"/>
            <w:vAlign w:val="center"/>
          </w:tcPr>
          <w:p>
            <w:pPr>
              <w:pStyle w:val="14"/>
              <w:ind w:firstLine="422"/>
              <w:jc w:val="center"/>
              <w:rPr>
                <w:rFonts w:ascii="Times New Roman" w:hAnsi="宋体"/>
                <w:b/>
                <w:bCs/>
                <w:color w:val="auto"/>
                <w:sz w:val="21"/>
                <w:szCs w:val="21"/>
                <w:highlight w:val="none"/>
              </w:rPr>
            </w:pPr>
          </w:p>
        </w:tc>
        <w:tc>
          <w:tcPr>
            <w:tcW w:w="1529" w:type="dxa"/>
            <w:vAlign w:val="center"/>
          </w:tcPr>
          <w:p>
            <w:pPr>
              <w:pStyle w:val="14"/>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color w:val="auto"/>
                <w:sz w:val="21"/>
                <w:szCs w:val="21"/>
                <w:highlight w:val="none"/>
              </w:rPr>
            </w:pPr>
          </w:p>
        </w:tc>
        <w:tc>
          <w:tcPr>
            <w:tcW w:w="2218" w:type="dxa"/>
            <w:vAlign w:val="center"/>
          </w:tcPr>
          <w:p>
            <w:pPr>
              <w:pStyle w:val="14"/>
              <w:ind w:firstLine="422"/>
              <w:jc w:val="center"/>
              <w:rPr>
                <w:rFonts w:ascii="Times New Roman" w:hAnsi="宋体"/>
                <w:b/>
                <w:bCs/>
                <w:color w:val="auto"/>
                <w:sz w:val="21"/>
                <w:szCs w:val="21"/>
                <w:highlight w:val="none"/>
              </w:rPr>
            </w:pPr>
          </w:p>
        </w:tc>
        <w:tc>
          <w:tcPr>
            <w:tcW w:w="2218" w:type="dxa"/>
            <w:vAlign w:val="center"/>
          </w:tcPr>
          <w:p>
            <w:pPr>
              <w:pStyle w:val="14"/>
              <w:ind w:firstLine="422"/>
              <w:jc w:val="center"/>
              <w:rPr>
                <w:rFonts w:ascii="Times New Roman" w:hAnsi="宋体"/>
                <w:b/>
                <w:bCs/>
                <w:color w:val="auto"/>
                <w:sz w:val="21"/>
                <w:szCs w:val="21"/>
                <w:highlight w:val="none"/>
              </w:rPr>
            </w:pPr>
          </w:p>
        </w:tc>
        <w:tc>
          <w:tcPr>
            <w:tcW w:w="1862" w:type="dxa"/>
            <w:vAlign w:val="center"/>
          </w:tcPr>
          <w:p>
            <w:pPr>
              <w:pStyle w:val="14"/>
              <w:ind w:firstLine="422"/>
              <w:jc w:val="center"/>
              <w:rPr>
                <w:rFonts w:ascii="Times New Roman" w:hAnsi="宋体"/>
                <w:b/>
                <w:bCs/>
                <w:color w:val="auto"/>
                <w:sz w:val="21"/>
                <w:szCs w:val="21"/>
                <w:highlight w:val="none"/>
              </w:rPr>
            </w:pPr>
          </w:p>
        </w:tc>
        <w:tc>
          <w:tcPr>
            <w:tcW w:w="1529" w:type="dxa"/>
            <w:vAlign w:val="center"/>
          </w:tcPr>
          <w:p>
            <w:pPr>
              <w:pStyle w:val="14"/>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color w:val="auto"/>
                <w:sz w:val="21"/>
                <w:szCs w:val="21"/>
                <w:highlight w:val="none"/>
              </w:rPr>
            </w:pPr>
          </w:p>
        </w:tc>
        <w:tc>
          <w:tcPr>
            <w:tcW w:w="2218" w:type="dxa"/>
            <w:vAlign w:val="center"/>
          </w:tcPr>
          <w:p>
            <w:pPr>
              <w:pStyle w:val="14"/>
              <w:ind w:firstLine="422"/>
              <w:jc w:val="center"/>
              <w:rPr>
                <w:rFonts w:ascii="Times New Roman" w:hAnsi="宋体"/>
                <w:b/>
                <w:bCs/>
                <w:color w:val="auto"/>
                <w:sz w:val="21"/>
                <w:szCs w:val="21"/>
                <w:highlight w:val="none"/>
              </w:rPr>
            </w:pPr>
          </w:p>
        </w:tc>
        <w:tc>
          <w:tcPr>
            <w:tcW w:w="2218" w:type="dxa"/>
            <w:vAlign w:val="center"/>
          </w:tcPr>
          <w:p>
            <w:pPr>
              <w:pStyle w:val="14"/>
              <w:ind w:firstLine="422"/>
              <w:jc w:val="center"/>
              <w:rPr>
                <w:rFonts w:ascii="Times New Roman" w:hAnsi="宋体"/>
                <w:b/>
                <w:bCs/>
                <w:color w:val="auto"/>
                <w:sz w:val="21"/>
                <w:szCs w:val="21"/>
                <w:highlight w:val="none"/>
              </w:rPr>
            </w:pPr>
          </w:p>
        </w:tc>
        <w:tc>
          <w:tcPr>
            <w:tcW w:w="1862" w:type="dxa"/>
            <w:vAlign w:val="center"/>
          </w:tcPr>
          <w:p>
            <w:pPr>
              <w:pStyle w:val="14"/>
              <w:ind w:firstLine="422"/>
              <w:jc w:val="center"/>
              <w:rPr>
                <w:rFonts w:ascii="Times New Roman" w:hAnsi="宋体"/>
                <w:b/>
                <w:bCs/>
                <w:color w:val="auto"/>
                <w:sz w:val="21"/>
                <w:szCs w:val="21"/>
                <w:highlight w:val="none"/>
              </w:rPr>
            </w:pPr>
          </w:p>
        </w:tc>
        <w:tc>
          <w:tcPr>
            <w:tcW w:w="1529" w:type="dxa"/>
            <w:vAlign w:val="center"/>
          </w:tcPr>
          <w:p>
            <w:pPr>
              <w:pStyle w:val="14"/>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color w:val="auto"/>
                <w:sz w:val="21"/>
                <w:szCs w:val="21"/>
                <w:highlight w:val="none"/>
              </w:rPr>
            </w:pPr>
          </w:p>
        </w:tc>
        <w:tc>
          <w:tcPr>
            <w:tcW w:w="2218" w:type="dxa"/>
            <w:vAlign w:val="center"/>
          </w:tcPr>
          <w:p>
            <w:pPr>
              <w:pStyle w:val="14"/>
              <w:ind w:firstLine="422"/>
              <w:jc w:val="center"/>
              <w:rPr>
                <w:rFonts w:ascii="Times New Roman" w:hAnsi="宋体"/>
                <w:b/>
                <w:bCs/>
                <w:color w:val="auto"/>
                <w:sz w:val="21"/>
                <w:szCs w:val="21"/>
                <w:highlight w:val="none"/>
              </w:rPr>
            </w:pPr>
          </w:p>
        </w:tc>
        <w:tc>
          <w:tcPr>
            <w:tcW w:w="2218" w:type="dxa"/>
            <w:vAlign w:val="center"/>
          </w:tcPr>
          <w:p>
            <w:pPr>
              <w:pStyle w:val="14"/>
              <w:ind w:firstLine="422"/>
              <w:jc w:val="center"/>
              <w:rPr>
                <w:rFonts w:ascii="Times New Roman" w:hAnsi="宋体"/>
                <w:b/>
                <w:bCs/>
                <w:color w:val="auto"/>
                <w:sz w:val="21"/>
                <w:szCs w:val="21"/>
                <w:highlight w:val="none"/>
              </w:rPr>
            </w:pPr>
          </w:p>
        </w:tc>
        <w:tc>
          <w:tcPr>
            <w:tcW w:w="1862" w:type="dxa"/>
            <w:vAlign w:val="center"/>
          </w:tcPr>
          <w:p>
            <w:pPr>
              <w:pStyle w:val="14"/>
              <w:ind w:firstLine="422"/>
              <w:jc w:val="center"/>
              <w:rPr>
                <w:rFonts w:ascii="Times New Roman" w:hAnsi="宋体"/>
                <w:b/>
                <w:bCs/>
                <w:color w:val="auto"/>
                <w:sz w:val="21"/>
                <w:szCs w:val="21"/>
                <w:highlight w:val="none"/>
              </w:rPr>
            </w:pPr>
          </w:p>
        </w:tc>
        <w:tc>
          <w:tcPr>
            <w:tcW w:w="1529" w:type="dxa"/>
            <w:vAlign w:val="center"/>
          </w:tcPr>
          <w:p>
            <w:pPr>
              <w:pStyle w:val="14"/>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color w:val="auto"/>
                <w:sz w:val="21"/>
                <w:szCs w:val="21"/>
                <w:highlight w:val="none"/>
              </w:rPr>
            </w:pPr>
          </w:p>
        </w:tc>
        <w:tc>
          <w:tcPr>
            <w:tcW w:w="2218" w:type="dxa"/>
            <w:vAlign w:val="center"/>
          </w:tcPr>
          <w:p>
            <w:pPr>
              <w:pStyle w:val="14"/>
              <w:ind w:firstLine="422"/>
              <w:jc w:val="center"/>
              <w:rPr>
                <w:rFonts w:ascii="Times New Roman" w:hAnsi="宋体"/>
                <w:b/>
                <w:bCs/>
                <w:color w:val="auto"/>
                <w:sz w:val="21"/>
                <w:szCs w:val="21"/>
                <w:highlight w:val="none"/>
              </w:rPr>
            </w:pPr>
          </w:p>
        </w:tc>
        <w:tc>
          <w:tcPr>
            <w:tcW w:w="2218" w:type="dxa"/>
            <w:vAlign w:val="center"/>
          </w:tcPr>
          <w:p>
            <w:pPr>
              <w:pStyle w:val="14"/>
              <w:ind w:firstLine="422"/>
              <w:jc w:val="center"/>
              <w:rPr>
                <w:rFonts w:ascii="Times New Roman" w:hAnsi="宋体"/>
                <w:b/>
                <w:bCs/>
                <w:color w:val="auto"/>
                <w:sz w:val="21"/>
                <w:szCs w:val="21"/>
                <w:highlight w:val="none"/>
              </w:rPr>
            </w:pPr>
          </w:p>
        </w:tc>
        <w:tc>
          <w:tcPr>
            <w:tcW w:w="1862" w:type="dxa"/>
            <w:vAlign w:val="center"/>
          </w:tcPr>
          <w:p>
            <w:pPr>
              <w:pStyle w:val="14"/>
              <w:ind w:firstLine="422"/>
              <w:jc w:val="center"/>
              <w:rPr>
                <w:rFonts w:ascii="Times New Roman" w:hAnsi="宋体"/>
                <w:b/>
                <w:bCs/>
                <w:color w:val="auto"/>
                <w:sz w:val="21"/>
                <w:szCs w:val="21"/>
                <w:highlight w:val="none"/>
              </w:rPr>
            </w:pPr>
          </w:p>
        </w:tc>
        <w:tc>
          <w:tcPr>
            <w:tcW w:w="1529" w:type="dxa"/>
            <w:vAlign w:val="center"/>
          </w:tcPr>
          <w:p>
            <w:pPr>
              <w:pStyle w:val="14"/>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color w:val="auto"/>
                <w:sz w:val="21"/>
                <w:szCs w:val="21"/>
                <w:highlight w:val="none"/>
              </w:rPr>
            </w:pPr>
          </w:p>
        </w:tc>
        <w:tc>
          <w:tcPr>
            <w:tcW w:w="2218" w:type="dxa"/>
            <w:vAlign w:val="center"/>
          </w:tcPr>
          <w:p>
            <w:pPr>
              <w:pStyle w:val="14"/>
              <w:ind w:firstLine="422"/>
              <w:jc w:val="center"/>
              <w:rPr>
                <w:rFonts w:ascii="Times New Roman" w:hAnsi="宋体"/>
                <w:b/>
                <w:bCs/>
                <w:color w:val="auto"/>
                <w:sz w:val="21"/>
                <w:szCs w:val="21"/>
                <w:highlight w:val="none"/>
              </w:rPr>
            </w:pPr>
          </w:p>
        </w:tc>
        <w:tc>
          <w:tcPr>
            <w:tcW w:w="2218" w:type="dxa"/>
            <w:vAlign w:val="center"/>
          </w:tcPr>
          <w:p>
            <w:pPr>
              <w:pStyle w:val="14"/>
              <w:ind w:firstLine="422"/>
              <w:jc w:val="center"/>
              <w:rPr>
                <w:rFonts w:ascii="Times New Roman" w:hAnsi="宋体"/>
                <w:b/>
                <w:bCs/>
                <w:color w:val="auto"/>
                <w:sz w:val="21"/>
                <w:szCs w:val="21"/>
                <w:highlight w:val="none"/>
              </w:rPr>
            </w:pPr>
          </w:p>
        </w:tc>
        <w:tc>
          <w:tcPr>
            <w:tcW w:w="1862" w:type="dxa"/>
            <w:vAlign w:val="center"/>
          </w:tcPr>
          <w:p>
            <w:pPr>
              <w:pStyle w:val="14"/>
              <w:ind w:firstLine="422"/>
              <w:jc w:val="center"/>
              <w:rPr>
                <w:rFonts w:ascii="Times New Roman" w:hAnsi="宋体"/>
                <w:b/>
                <w:bCs/>
                <w:color w:val="auto"/>
                <w:sz w:val="21"/>
                <w:szCs w:val="21"/>
                <w:highlight w:val="none"/>
              </w:rPr>
            </w:pPr>
          </w:p>
        </w:tc>
        <w:tc>
          <w:tcPr>
            <w:tcW w:w="1529" w:type="dxa"/>
            <w:vAlign w:val="center"/>
          </w:tcPr>
          <w:p>
            <w:pPr>
              <w:pStyle w:val="14"/>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color w:val="auto"/>
                <w:sz w:val="21"/>
                <w:szCs w:val="21"/>
                <w:highlight w:val="none"/>
              </w:rPr>
            </w:pPr>
          </w:p>
        </w:tc>
        <w:tc>
          <w:tcPr>
            <w:tcW w:w="2218" w:type="dxa"/>
            <w:vAlign w:val="center"/>
          </w:tcPr>
          <w:p>
            <w:pPr>
              <w:pStyle w:val="14"/>
              <w:ind w:firstLine="422"/>
              <w:jc w:val="center"/>
              <w:rPr>
                <w:rFonts w:ascii="Times New Roman" w:hAnsi="宋体"/>
                <w:b/>
                <w:bCs/>
                <w:color w:val="auto"/>
                <w:sz w:val="21"/>
                <w:szCs w:val="21"/>
                <w:highlight w:val="none"/>
              </w:rPr>
            </w:pPr>
          </w:p>
        </w:tc>
        <w:tc>
          <w:tcPr>
            <w:tcW w:w="2218" w:type="dxa"/>
            <w:vAlign w:val="center"/>
          </w:tcPr>
          <w:p>
            <w:pPr>
              <w:pStyle w:val="14"/>
              <w:ind w:firstLine="422"/>
              <w:jc w:val="center"/>
              <w:rPr>
                <w:rFonts w:ascii="Times New Roman" w:hAnsi="宋体"/>
                <w:b/>
                <w:bCs/>
                <w:color w:val="auto"/>
                <w:sz w:val="21"/>
                <w:szCs w:val="21"/>
                <w:highlight w:val="none"/>
              </w:rPr>
            </w:pPr>
          </w:p>
        </w:tc>
        <w:tc>
          <w:tcPr>
            <w:tcW w:w="1862" w:type="dxa"/>
            <w:vAlign w:val="center"/>
          </w:tcPr>
          <w:p>
            <w:pPr>
              <w:pStyle w:val="14"/>
              <w:ind w:firstLine="422"/>
              <w:jc w:val="center"/>
              <w:rPr>
                <w:rFonts w:ascii="Times New Roman" w:hAnsi="宋体"/>
                <w:b/>
                <w:bCs/>
                <w:color w:val="auto"/>
                <w:sz w:val="21"/>
                <w:szCs w:val="21"/>
                <w:highlight w:val="none"/>
              </w:rPr>
            </w:pPr>
          </w:p>
        </w:tc>
        <w:tc>
          <w:tcPr>
            <w:tcW w:w="1529" w:type="dxa"/>
            <w:vAlign w:val="center"/>
          </w:tcPr>
          <w:p>
            <w:pPr>
              <w:pStyle w:val="14"/>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color w:val="auto"/>
                <w:sz w:val="21"/>
                <w:szCs w:val="21"/>
                <w:highlight w:val="none"/>
              </w:rPr>
            </w:pPr>
          </w:p>
        </w:tc>
        <w:tc>
          <w:tcPr>
            <w:tcW w:w="2218" w:type="dxa"/>
            <w:vAlign w:val="center"/>
          </w:tcPr>
          <w:p>
            <w:pPr>
              <w:pStyle w:val="14"/>
              <w:ind w:firstLine="422"/>
              <w:jc w:val="center"/>
              <w:rPr>
                <w:rFonts w:ascii="Times New Roman" w:hAnsi="宋体"/>
                <w:b/>
                <w:bCs/>
                <w:color w:val="auto"/>
                <w:sz w:val="21"/>
                <w:szCs w:val="21"/>
                <w:highlight w:val="none"/>
              </w:rPr>
            </w:pPr>
          </w:p>
        </w:tc>
        <w:tc>
          <w:tcPr>
            <w:tcW w:w="2218" w:type="dxa"/>
            <w:vAlign w:val="center"/>
          </w:tcPr>
          <w:p>
            <w:pPr>
              <w:pStyle w:val="14"/>
              <w:ind w:firstLine="422"/>
              <w:jc w:val="center"/>
              <w:rPr>
                <w:rFonts w:ascii="Times New Roman" w:hAnsi="宋体"/>
                <w:b/>
                <w:bCs/>
                <w:color w:val="auto"/>
                <w:sz w:val="21"/>
                <w:szCs w:val="21"/>
                <w:highlight w:val="none"/>
              </w:rPr>
            </w:pPr>
          </w:p>
        </w:tc>
        <w:tc>
          <w:tcPr>
            <w:tcW w:w="1862" w:type="dxa"/>
            <w:vAlign w:val="center"/>
          </w:tcPr>
          <w:p>
            <w:pPr>
              <w:pStyle w:val="14"/>
              <w:ind w:firstLine="422"/>
              <w:jc w:val="center"/>
              <w:rPr>
                <w:rFonts w:ascii="Times New Roman" w:hAnsi="宋体"/>
                <w:b/>
                <w:bCs/>
                <w:color w:val="auto"/>
                <w:sz w:val="21"/>
                <w:szCs w:val="21"/>
                <w:highlight w:val="none"/>
              </w:rPr>
            </w:pPr>
          </w:p>
        </w:tc>
        <w:tc>
          <w:tcPr>
            <w:tcW w:w="1529" w:type="dxa"/>
            <w:vAlign w:val="center"/>
          </w:tcPr>
          <w:p>
            <w:pPr>
              <w:pStyle w:val="14"/>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color w:val="auto"/>
                <w:sz w:val="21"/>
                <w:szCs w:val="21"/>
                <w:highlight w:val="none"/>
              </w:rPr>
            </w:pPr>
          </w:p>
        </w:tc>
        <w:tc>
          <w:tcPr>
            <w:tcW w:w="2218" w:type="dxa"/>
            <w:vAlign w:val="center"/>
          </w:tcPr>
          <w:p>
            <w:pPr>
              <w:pStyle w:val="14"/>
              <w:ind w:firstLine="422"/>
              <w:jc w:val="center"/>
              <w:rPr>
                <w:rFonts w:ascii="Times New Roman" w:hAnsi="宋体"/>
                <w:b/>
                <w:bCs/>
                <w:color w:val="auto"/>
                <w:sz w:val="21"/>
                <w:szCs w:val="21"/>
                <w:highlight w:val="none"/>
              </w:rPr>
            </w:pPr>
          </w:p>
        </w:tc>
        <w:tc>
          <w:tcPr>
            <w:tcW w:w="2218" w:type="dxa"/>
            <w:vAlign w:val="center"/>
          </w:tcPr>
          <w:p>
            <w:pPr>
              <w:pStyle w:val="14"/>
              <w:ind w:firstLine="422"/>
              <w:jc w:val="center"/>
              <w:rPr>
                <w:rFonts w:ascii="Times New Roman" w:hAnsi="宋体"/>
                <w:b/>
                <w:bCs/>
                <w:color w:val="auto"/>
                <w:sz w:val="21"/>
                <w:szCs w:val="21"/>
                <w:highlight w:val="none"/>
              </w:rPr>
            </w:pPr>
          </w:p>
        </w:tc>
        <w:tc>
          <w:tcPr>
            <w:tcW w:w="1862" w:type="dxa"/>
            <w:vAlign w:val="center"/>
          </w:tcPr>
          <w:p>
            <w:pPr>
              <w:pStyle w:val="14"/>
              <w:ind w:firstLine="422"/>
              <w:jc w:val="center"/>
              <w:rPr>
                <w:rFonts w:ascii="Times New Roman" w:hAnsi="宋体"/>
                <w:b/>
                <w:bCs/>
                <w:color w:val="auto"/>
                <w:sz w:val="21"/>
                <w:szCs w:val="21"/>
                <w:highlight w:val="none"/>
              </w:rPr>
            </w:pPr>
          </w:p>
        </w:tc>
        <w:tc>
          <w:tcPr>
            <w:tcW w:w="1529" w:type="dxa"/>
            <w:vAlign w:val="center"/>
          </w:tcPr>
          <w:p>
            <w:pPr>
              <w:pStyle w:val="14"/>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color w:val="auto"/>
                <w:sz w:val="21"/>
                <w:szCs w:val="21"/>
                <w:highlight w:val="none"/>
              </w:rPr>
            </w:pPr>
          </w:p>
        </w:tc>
        <w:tc>
          <w:tcPr>
            <w:tcW w:w="2218" w:type="dxa"/>
            <w:vAlign w:val="center"/>
          </w:tcPr>
          <w:p>
            <w:pPr>
              <w:pStyle w:val="14"/>
              <w:ind w:firstLine="422"/>
              <w:jc w:val="center"/>
              <w:rPr>
                <w:rFonts w:ascii="Times New Roman" w:hAnsi="宋体"/>
                <w:b/>
                <w:bCs/>
                <w:color w:val="auto"/>
                <w:sz w:val="21"/>
                <w:szCs w:val="21"/>
                <w:highlight w:val="none"/>
              </w:rPr>
            </w:pPr>
          </w:p>
        </w:tc>
        <w:tc>
          <w:tcPr>
            <w:tcW w:w="2218" w:type="dxa"/>
            <w:vAlign w:val="center"/>
          </w:tcPr>
          <w:p>
            <w:pPr>
              <w:pStyle w:val="14"/>
              <w:ind w:firstLine="422"/>
              <w:jc w:val="center"/>
              <w:rPr>
                <w:rFonts w:ascii="Times New Roman" w:hAnsi="宋体"/>
                <w:b/>
                <w:bCs/>
                <w:color w:val="auto"/>
                <w:sz w:val="21"/>
                <w:szCs w:val="21"/>
                <w:highlight w:val="none"/>
              </w:rPr>
            </w:pPr>
          </w:p>
        </w:tc>
        <w:tc>
          <w:tcPr>
            <w:tcW w:w="1862" w:type="dxa"/>
            <w:vAlign w:val="center"/>
          </w:tcPr>
          <w:p>
            <w:pPr>
              <w:pStyle w:val="14"/>
              <w:ind w:firstLine="422"/>
              <w:jc w:val="center"/>
              <w:rPr>
                <w:rFonts w:ascii="Times New Roman" w:hAnsi="宋体"/>
                <w:b/>
                <w:bCs/>
                <w:color w:val="auto"/>
                <w:sz w:val="21"/>
                <w:szCs w:val="21"/>
                <w:highlight w:val="none"/>
              </w:rPr>
            </w:pPr>
          </w:p>
        </w:tc>
        <w:tc>
          <w:tcPr>
            <w:tcW w:w="1529" w:type="dxa"/>
            <w:vAlign w:val="center"/>
          </w:tcPr>
          <w:p>
            <w:pPr>
              <w:pStyle w:val="14"/>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color w:val="auto"/>
                <w:sz w:val="21"/>
                <w:szCs w:val="21"/>
                <w:highlight w:val="none"/>
              </w:rPr>
            </w:pPr>
          </w:p>
        </w:tc>
        <w:tc>
          <w:tcPr>
            <w:tcW w:w="2218" w:type="dxa"/>
            <w:vAlign w:val="center"/>
          </w:tcPr>
          <w:p>
            <w:pPr>
              <w:pStyle w:val="14"/>
              <w:ind w:firstLine="422"/>
              <w:jc w:val="center"/>
              <w:rPr>
                <w:rFonts w:ascii="Times New Roman" w:hAnsi="宋体"/>
                <w:b/>
                <w:bCs/>
                <w:color w:val="auto"/>
                <w:sz w:val="21"/>
                <w:szCs w:val="21"/>
                <w:highlight w:val="none"/>
              </w:rPr>
            </w:pPr>
          </w:p>
        </w:tc>
        <w:tc>
          <w:tcPr>
            <w:tcW w:w="2218" w:type="dxa"/>
            <w:vAlign w:val="center"/>
          </w:tcPr>
          <w:p>
            <w:pPr>
              <w:pStyle w:val="14"/>
              <w:ind w:firstLine="422"/>
              <w:jc w:val="center"/>
              <w:rPr>
                <w:rFonts w:ascii="Times New Roman" w:hAnsi="宋体"/>
                <w:b/>
                <w:bCs/>
                <w:color w:val="auto"/>
                <w:sz w:val="21"/>
                <w:szCs w:val="21"/>
                <w:highlight w:val="none"/>
              </w:rPr>
            </w:pPr>
          </w:p>
        </w:tc>
        <w:tc>
          <w:tcPr>
            <w:tcW w:w="1862" w:type="dxa"/>
            <w:vAlign w:val="center"/>
          </w:tcPr>
          <w:p>
            <w:pPr>
              <w:pStyle w:val="14"/>
              <w:ind w:firstLine="422"/>
              <w:jc w:val="center"/>
              <w:rPr>
                <w:rFonts w:ascii="Times New Roman" w:hAnsi="宋体"/>
                <w:b/>
                <w:bCs/>
                <w:color w:val="auto"/>
                <w:sz w:val="21"/>
                <w:szCs w:val="21"/>
                <w:highlight w:val="none"/>
              </w:rPr>
            </w:pPr>
          </w:p>
        </w:tc>
        <w:tc>
          <w:tcPr>
            <w:tcW w:w="1529" w:type="dxa"/>
            <w:vAlign w:val="center"/>
          </w:tcPr>
          <w:p>
            <w:pPr>
              <w:pStyle w:val="14"/>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color w:val="auto"/>
                <w:sz w:val="21"/>
                <w:szCs w:val="21"/>
                <w:highlight w:val="none"/>
              </w:rPr>
            </w:pPr>
          </w:p>
        </w:tc>
        <w:tc>
          <w:tcPr>
            <w:tcW w:w="2218" w:type="dxa"/>
            <w:vAlign w:val="center"/>
          </w:tcPr>
          <w:p>
            <w:pPr>
              <w:pStyle w:val="14"/>
              <w:ind w:firstLine="422"/>
              <w:jc w:val="center"/>
              <w:rPr>
                <w:rFonts w:ascii="Times New Roman" w:hAnsi="宋体"/>
                <w:b/>
                <w:bCs/>
                <w:color w:val="auto"/>
                <w:sz w:val="21"/>
                <w:szCs w:val="21"/>
                <w:highlight w:val="none"/>
              </w:rPr>
            </w:pPr>
          </w:p>
        </w:tc>
        <w:tc>
          <w:tcPr>
            <w:tcW w:w="2218" w:type="dxa"/>
            <w:vAlign w:val="center"/>
          </w:tcPr>
          <w:p>
            <w:pPr>
              <w:pStyle w:val="14"/>
              <w:ind w:firstLine="422"/>
              <w:jc w:val="center"/>
              <w:rPr>
                <w:rFonts w:ascii="Times New Roman" w:hAnsi="宋体"/>
                <w:b/>
                <w:bCs/>
                <w:color w:val="auto"/>
                <w:sz w:val="21"/>
                <w:szCs w:val="21"/>
                <w:highlight w:val="none"/>
              </w:rPr>
            </w:pPr>
          </w:p>
        </w:tc>
        <w:tc>
          <w:tcPr>
            <w:tcW w:w="1862" w:type="dxa"/>
            <w:vAlign w:val="center"/>
          </w:tcPr>
          <w:p>
            <w:pPr>
              <w:pStyle w:val="14"/>
              <w:ind w:firstLine="422"/>
              <w:jc w:val="center"/>
              <w:rPr>
                <w:rFonts w:ascii="Times New Roman" w:hAnsi="宋体"/>
                <w:b/>
                <w:bCs/>
                <w:color w:val="auto"/>
                <w:sz w:val="21"/>
                <w:szCs w:val="21"/>
                <w:highlight w:val="none"/>
              </w:rPr>
            </w:pPr>
          </w:p>
        </w:tc>
        <w:tc>
          <w:tcPr>
            <w:tcW w:w="1529" w:type="dxa"/>
            <w:vAlign w:val="center"/>
          </w:tcPr>
          <w:p>
            <w:pPr>
              <w:pStyle w:val="14"/>
              <w:ind w:firstLine="422"/>
              <w:jc w:val="center"/>
              <w:rPr>
                <w:rFonts w:ascii="Times New Roman" w:hAnsi="宋体"/>
                <w:b/>
                <w:bCs/>
                <w:color w:val="auto"/>
                <w:sz w:val="21"/>
                <w:szCs w:val="21"/>
                <w:highlight w:val="none"/>
              </w:rPr>
            </w:pPr>
          </w:p>
        </w:tc>
      </w:tr>
    </w:tbl>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spacing w:line="480" w:lineRule="exact"/>
        <w:rPr>
          <w:rFonts w:hAnsi="宋体"/>
          <w:b/>
          <w:color w:val="auto"/>
          <w:szCs w:val="21"/>
          <w:highlight w:val="none"/>
          <w:u w:val="single"/>
        </w:rPr>
      </w:pPr>
    </w:p>
    <w:p>
      <w:pPr>
        <w:spacing w:line="480" w:lineRule="exact"/>
        <w:rPr>
          <w:rFonts w:hAnsi="宋体"/>
          <w:b/>
          <w:bCs/>
          <w:color w:val="auto"/>
          <w:szCs w:val="21"/>
          <w:highlight w:val="none"/>
        </w:rPr>
      </w:pPr>
    </w:p>
    <w:p>
      <w:pPr>
        <w:spacing w:line="480" w:lineRule="exact"/>
        <w:rPr>
          <w:rFonts w:hAnsi="宋体"/>
          <w:b/>
          <w:bCs/>
          <w:color w:val="auto"/>
          <w:szCs w:val="21"/>
          <w:highlight w:val="none"/>
        </w:rPr>
      </w:pPr>
    </w:p>
    <w:p>
      <w:pPr>
        <w:rPr>
          <w:color w:val="auto"/>
          <w:highlight w:val="none"/>
        </w:rPr>
      </w:pPr>
    </w:p>
    <w:p>
      <w:pPr>
        <w:pStyle w:val="5"/>
        <w:numPr>
          <w:ilvl w:val="0"/>
          <w:numId w:val="39"/>
        </w:numPr>
        <w:jc w:val="center"/>
        <w:rPr>
          <w:color w:val="auto"/>
          <w:sz w:val="28"/>
          <w:szCs w:val="28"/>
          <w:highlight w:val="none"/>
        </w:rPr>
      </w:pPr>
      <w:r>
        <w:rPr>
          <w:color w:val="auto"/>
          <w:highlight w:val="none"/>
        </w:rPr>
        <w:br w:type="page"/>
      </w:r>
      <w:bookmarkStart w:id="316" w:name="_Toc20397"/>
      <w:bookmarkStart w:id="317" w:name="_Toc7897896"/>
      <w:bookmarkStart w:id="318" w:name="_Toc4539"/>
      <w:bookmarkStart w:id="319" w:name="_Toc4884"/>
      <w:r>
        <w:rPr>
          <w:rFonts w:hint="eastAsia"/>
          <w:bCs/>
          <w:color w:val="auto"/>
          <w:sz w:val="28"/>
          <w:szCs w:val="28"/>
          <w:highlight w:val="none"/>
        </w:rPr>
        <w:t>项目业绩一览表</w:t>
      </w:r>
      <w:bookmarkEnd w:id="316"/>
      <w:bookmarkEnd w:id="317"/>
      <w:bookmarkEnd w:id="318"/>
      <w:bookmarkEnd w:id="319"/>
    </w:p>
    <w:p>
      <w:pPr>
        <w:pStyle w:val="29"/>
        <w:spacing w:line="480" w:lineRule="exact"/>
        <w:jc w:val="center"/>
        <w:rPr>
          <w:rFonts w:hAnsi="宋体"/>
          <w:b/>
          <w:color w:val="auto"/>
          <w:sz w:val="22"/>
          <w:szCs w:val="22"/>
          <w:highlight w:val="none"/>
        </w:rPr>
      </w:pPr>
    </w:p>
    <w:tbl>
      <w:tblPr>
        <w:tblStyle w:val="52"/>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序号</w:t>
            </w:r>
          </w:p>
        </w:tc>
        <w:tc>
          <w:tcPr>
            <w:tcW w:w="32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r>
              <w:rPr>
                <w:rFonts w:hint="eastAsia" w:hAnsi="宋体"/>
                <w:color w:val="auto"/>
                <w:szCs w:val="21"/>
                <w:highlight w:val="none"/>
              </w:rPr>
              <w:t>1</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r>
              <w:rPr>
                <w:rFonts w:hint="eastAsia" w:hAnsi="宋体"/>
                <w:color w:val="auto"/>
                <w:szCs w:val="21"/>
                <w:highlight w:val="none"/>
              </w:rPr>
              <w:t>2</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r>
              <w:rPr>
                <w:rFonts w:hint="eastAsia" w:hAnsi="宋体"/>
                <w:color w:val="auto"/>
                <w:szCs w:val="21"/>
                <w:highlight w:val="none"/>
              </w:rPr>
              <w:t>3</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r>
              <w:rPr>
                <w:rFonts w:hint="eastAsia" w:hAnsi="宋体"/>
                <w:color w:val="auto"/>
                <w:szCs w:val="21"/>
                <w:highlight w:val="none"/>
              </w:rPr>
              <w:t>…</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bl>
    <w:p>
      <w:pPr>
        <w:pStyle w:val="29"/>
        <w:spacing w:line="480" w:lineRule="exact"/>
        <w:rPr>
          <w:rFonts w:hAnsi="宋体"/>
          <w:color w:val="auto"/>
          <w:sz w:val="22"/>
          <w:szCs w:val="22"/>
          <w:highlight w:val="none"/>
        </w:rPr>
      </w:pPr>
    </w:p>
    <w:p>
      <w:pPr>
        <w:pStyle w:val="29"/>
        <w:spacing w:line="480" w:lineRule="exact"/>
        <w:rPr>
          <w:rFonts w:hAnsi="宋体"/>
          <w:color w:val="auto"/>
          <w:sz w:val="22"/>
          <w:szCs w:val="22"/>
          <w:highlight w:val="none"/>
        </w:rPr>
      </w:pPr>
      <w:r>
        <w:rPr>
          <w:rFonts w:hint="eastAsia" w:hAnsi="宋体"/>
          <w:color w:val="auto"/>
          <w:sz w:val="22"/>
          <w:szCs w:val="22"/>
          <w:highlight w:val="none"/>
        </w:rPr>
        <w:t>要求：</w:t>
      </w:r>
    </w:p>
    <w:p>
      <w:pPr>
        <w:pStyle w:val="29"/>
        <w:spacing w:line="480" w:lineRule="exact"/>
        <w:ind w:firstLine="440" w:firstLineChars="200"/>
        <w:rPr>
          <w:rFonts w:hAnsi="宋体"/>
          <w:color w:val="auto"/>
          <w:sz w:val="22"/>
          <w:szCs w:val="22"/>
          <w:highlight w:val="none"/>
        </w:rPr>
      </w:pPr>
      <w:r>
        <w:rPr>
          <w:rFonts w:hint="eastAsia" w:hAnsi="宋体"/>
          <w:color w:val="auto"/>
          <w:sz w:val="22"/>
          <w:szCs w:val="22"/>
          <w:highlight w:val="none"/>
        </w:rPr>
        <w:t>供应商应当如实、完整地填写本表格，内容包括所有同类或近似项目业绩。提供合同关键页等复印件（加盖供应商公章）。在填写过程中请按年份顺序填写。</w:t>
      </w:r>
    </w:p>
    <w:p>
      <w:pPr>
        <w:pStyle w:val="29"/>
        <w:spacing w:line="480" w:lineRule="exact"/>
        <w:rPr>
          <w:rFonts w:hAnsi="宋体"/>
          <w:color w:val="auto"/>
          <w:sz w:val="22"/>
          <w:szCs w:val="22"/>
          <w:highlight w:val="none"/>
        </w:rPr>
      </w:pP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供应商名称（加盖公章）：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 xml:space="preserve">日期：年月日 </w:t>
      </w:r>
    </w:p>
    <w:p>
      <w:pPr>
        <w:pStyle w:val="5"/>
        <w:numPr>
          <w:ilvl w:val="0"/>
          <w:numId w:val="39"/>
        </w:numPr>
        <w:jc w:val="center"/>
        <w:rPr>
          <w:b w:val="0"/>
          <w:bCs/>
          <w:color w:val="auto"/>
          <w:sz w:val="28"/>
          <w:highlight w:val="none"/>
        </w:rPr>
      </w:pPr>
      <w:r>
        <w:rPr>
          <w:color w:val="auto"/>
          <w:sz w:val="22"/>
          <w:szCs w:val="22"/>
          <w:highlight w:val="none"/>
        </w:rPr>
        <w:br w:type="page"/>
      </w:r>
      <w:bookmarkStart w:id="320" w:name="_Toc7897897"/>
      <w:bookmarkStart w:id="321" w:name="_Toc1591"/>
      <w:bookmarkStart w:id="322" w:name="_Toc17432"/>
      <w:bookmarkStart w:id="323" w:name="_Toc23633"/>
      <w:r>
        <w:rPr>
          <w:rFonts w:hint="eastAsia"/>
          <w:bCs/>
          <w:color w:val="auto"/>
          <w:sz w:val="28"/>
          <w:highlight w:val="none"/>
        </w:rPr>
        <w:t>在经营活动中没有重大违法记录的书面声明</w:t>
      </w:r>
      <w:bookmarkEnd w:id="320"/>
      <w:bookmarkEnd w:id="321"/>
      <w:bookmarkEnd w:id="322"/>
      <w:bookmarkEnd w:id="323"/>
    </w:p>
    <w:p>
      <w:pPr>
        <w:pStyle w:val="76"/>
        <w:ind w:firstLine="0" w:firstLineChars="0"/>
        <w:jc w:val="center"/>
        <w:rPr>
          <w:rFonts w:ascii="宋体" w:eastAsia="宋体"/>
          <w:b/>
          <w:color w:val="auto"/>
          <w:sz w:val="28"/>
          <w:highlight w:val="none"/>
        </w:rPr>
      </w:pPr>
    </w:p>
    <w:p>
      <w:pPr>
        <w:spacing w:line="360" w:lineRule="auto"/>
        <w:rPr>
          <w:rFonts w:hint="eastAsia" w:hAnsi="宋体" w:eastAsia="宋体"/>
          <w:color w:val="auto"/>
          <w:sz w:val="21"/>
          <w:szCs w:val="21"/>
          <w:highlight w:val="none"/>
          <w:u w:val="single"/>
          <w:lang w:eastAsia="zh-CN"/>
        </w:rPr>
      </w:pPr>
      <w:r>
        <w:rPr>
          <w:rFonts w:hint="eastAsia" w:hAnsi="宋体"/>
          <w:color w:val="auto"/>
          <w:sz w:val="21"/>
          <w:szCs w:val="21"/>
          <w:highlight w:val="none"/>
        </w:rPr>
        <w:t>致：</w:t>
      </w:r>
      <w:r>
        <w:rPr>
          <w:rFonts w:hint="eastAsia" w:hAnsi="宋体"/>
          <w:color w:val="auto"/>
          <w:sz w:val="21"/>
          <w:szCs w:val="21"/>
          <w:highlight w:val="none"/>
          <w:lang w:eastAsia="zh-CN"/>
        </w:rPr>
        <w:t>广东泰通伟业工程咨询有限公司</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本公司参加采购项目（采购编号）的采购活动，并声明：</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本公司参加本采购项目采购前3年内在经营活动中没有因违法经营受到刑事处罚或者责令停产停业、吊销许可证或者执照、较大数额罚款等行政处罚。</w:t>
      </w:r>
    </w:p>
    <w:p>
      <w:pPr>
        <w:spacing w:line="360" w:lineRule="auto"/>
        <w:rPr>
          <w:rFonts w:hAnsi="宋体"/>
          <w:color w:val="auto"/>
          <w:sz w:val="21"/>
          <w:szCs w:val="21"/>
          <w:highlight w:val="none"/>
        </w:rPr>
      </w:pPr>
      <w:r>
        <w:rPr>
          <w:rFonts w:hint="eastAsia" w:hAnsi="宋体"/>
          <w:color w:val="auto"/>
          <w:sz w:val="21"/>
          <w:szCs w:val="21"/>
          <w:highlight w:val="none"/>
        </w:rPr>
        <w:t xml:space="preserve">    特此声明！</w:t>
      </w:r>
    </w:p>
    <w:p>
      <w:pPr>
        <w:rPr>
          <w:rFonts w:hAnsi="宋体"/>
          <w:color w:val="auto"/>
          <w:sz w:val="21"/>
          <w:szCs w:val="21"/>
          <w:highlight w:val="none"/>
        </w:rPr>
      </w:pPr>
    </w:p>
    <w:p>
      <w:pPr>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bookmarkEnd w:id="283"/>
    <w:bookmarkEnd w:id="284"/>
    <w:bookmarkEnd w:id="285"/>
    <w:bookmarkEnd w:id="286"/>
    <w:bookmarkEnd w:id="287"/>
    <w:bookmarkEnd w:id="288"/>
    <w:bookmarkEnd w:id="289"/>
    <w:p>
      <w:pPr>
        <w:pStyle w:val="5"/>
        <w:numPr>
          <w:ilvl w:val="0"/>
          <w:numId w:val="39"/>
        </w:numPr>
        <w:jc w:val="center"/>
        <w:rPr>
          <w:b w:val="0"/>
          <w:color w:val="auto"/>
          <w:sz w:val="28"/>
          <w:szCs w:val="28"/>
          <w:highlight w:val="none"/>
        </w:rPr>
      </w:pPr>
      <w:bookmarkStart w:id="324" w:name="_Toc110953865"/>
      <w:bookmarkStart w:id="325" w:name="_Toc35233726"/>
      <w:bookmarkStart w:id="326" w:name="_Toc467987857"/>
      <w:bookmarkStart w:id="327" w:name="_Toc480010743"/>
      <w:bookmarkStart w:id="328" w:name="_Toc454701411"/>
      <w:bookmarkStart w:id="329" w:name="_Toc480021086"/>
      <w:bookmarkStart w:id="330" w:name="_Toc458262644"/>
      <w:bookmarkStart w:id="331" w:name="_Toc468606065"/>
      <w:bookmarkStart w:id="332" w:name="_Toc479991617"/>
      <w:bookmarkStart w:id="333" w:name="_Toc468157570"/>
      <w:bookmarkStart w:id="334" w:name="_Toc480020290"/>
      <w:bookmarkStart w:id="335" w:name="_Toc480171915"/>
      <w:bookmarkStart w:id="336" w:name="_Toc467236774"/>
      <w:r>
        <w:rPr>
          <w:color w:val="auto"/>
          <w:sz w:val="22"/>
          <w:szCs w:val="22"/>
          <w:highlight w:val="none"/>
        </w:rPr>
        <w:br w:type="page"/>
      </w:r>
      <w:bookmarkEnd w:id="324"/>
      <w:bookmarkStart w:id="337" w:name="_Toc8181"/>
      <w:bookmarkStart w:id="338" w:name="_Toc2461"/>
      <w:bookmarkStart w:id="339" w:name="_Toc7897900"/>
      <w:bookmarkStart w:id="340" w:name="_Toc3298"/>
      <w:r>
        <w:rPr>
          <w:rFonts w:hint="eastAsia"/>
          <w:color w:val="auto"/>
          <w:sz w:val="28"/>
          <w:szCs w:val="28"/>
          <w:highlight w:val="none"/>
        </w:rPr>
        <w:t>针对本项目拟派人员及其技术资格一览表</w:t>
      </w:r>
      <w:bookmarkEnd w:id="337"/>
      <w:bookmarkEnd w:id="338"/>
      <w:bookmarkEnd w:id="339"/>
      <w:bookmarkEnd w:id="340"/>
    </w:p>
    <w:p>
      <w:pPr>
        <w:pStyle w:val="29"/>
        <w:spacing w:line="480" w:lineRule="exact"/>
        <w:ind w:left="-202" w:leftChars="-84" w:firstLine="241" w:firstLineChars="100"/>
        <w:rPr>
          <w:rFonts w:hAnsi="宋体"/>
          <w:b/>
          <w:color w:val="auto"/>
          <w:sz w:val="24"/>
          <w:szCs w:val="21"/>
          <w:highlight w:val="none"/>
        </w:rPr>
      </w:pPr>
    </w:p>
    <w:p>
      <w:pPr>
        <w:pStyle w:val="29"/>
        <w:spacing w:line="480" w:lineRule="exact"/>
        <w:ind w:left="-202" w:leftChars="-84" w:firstLine="221" w:firstLineChars="100"/>
        <w:rPr>
          <w:rFonts w:hAnsi="宋体"/>
          <w:b/>
          <w:color w:val="auto"/>
          <w:sz w:val="22"/>
          <w:szCs w:val="22"/>
          <w:highlight w:val="none"/>
          <w:u w:val="single"/>
        </w:rPr>
      </w:pPr>
    </w:p>
    <w:tbl>
      <w:tblPr>
        <w:tblStyle w:val="52"/>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序号</w:t>
            </w:r>
          </w:p>
        </w:tc>
        <w:tc>
          <w:tcPr>
            <w:tcW w:w="1026"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姓名</w:t>
            </w:r>
          </w:p>
        </w:tc>
        <w:tc>
          <w:tcPr>
            <w:tcW w:w="877"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职位</w:t>
            </w:r>
          </w:p>
        </w:tc>
        <w:tc>
          <w:tcPr>
            <w:tcW w:w="1533" w:type="dxa"/>
          </w:tcPr>
          <w:p>
            <w:pPr>
              <w:pStyle w:val="29"/>
              <w:spacing w:line="480" w:lineRule="exact"/>
              <w:jc w:val="center"/>
              <w:rPr>
                <w:rFonts w:hAnsi="宋体"/>
                <w:b/>
                <w:color w:val="auto"/>
                <w:szCs w:val="21"/>
                <w:highlight w:val="none"/>
              </w:rPr>
            </w:pPr>
            <w:r>
              <w:rPr>
                <w:rFonts w:hint="eastAsia" w:hAnsi="宋体"/>
                <w:b/>
                <w:color w:val="auto"/>
                <w:szCs w:val="21"/>
                <w:highlight w:val="none"/>
              </w:rPr>
              <w:t>拟在本项目担任职务</w:t>
            </w:r>
          </w:p>
        </w:tc>
        <w:tc>
          <w:tcPr>
            <w:tcW w:w="1357"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专业、资格证件</w:t>
            </w:r>
          </w:p>
        </w:tc>
        <w:tc>
          <w:tcPr>
            <w:tcW w:w="1200"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发证时间</w:t>
            </w:r>
          </w:p>
        </w:tc>
        <w:tc>
          <w:tcPr>
            <w:tcW w:w="1403"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经验年限</w:t>
            </w:r>
          </w:p>
        </w:tc>
        <w:tc>
          <w:tcPr>
            <w:tcW w:w="1403" w:type="dxa"/>
          </w:tcPr>
          <w:p>
            <w:pPr>
              <w:pStyle w:val="29"/>
              <w:spacing w:line="480" w:lineRule="exact"/>
              <w:jc w:val="center"/>
              <w:rPr>
                <w:rFonts w:hAnsi="宋体"/>
                <w:b/>
                <w:color w:val="auto"/>
                <w:szCs w:val="21"/>
                <w:highlight w:val="none"/>
              </w:rPr>
            </w:pPr>
            <w:r>
              <w:rPr>
                <w:rFonts w:hint="eastAsia" w:hAnsi="宋体"/>
                <w:b/>
                <w:color w:val="auto"/>
                <w:szCs w:val="21"/>
                <w:highlight w:val="none"/>
              </w:rPr>
              <w:t>主要承担过的项目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r>
              <w:rPr>
                <w:rFonts w:hint="eastAsia" w:hAnsi="宋体"/>
                <w:color w:val="auto"/>
                <w:szCs w:val="21"/>
                <w:highlight w:val="none"/>
              </w:rPr>
              <w:t>项目负责人</w:t>
            </w: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vAlign w:val="center"/>
          </w:tcPr>
          <w:p>
            <w:pPr>
              <w:jc w:val="center"/>
              <w:rPr>
                <w:rFonts w:hAnsi="宋体"/>
                <w:color w:val="auto"/>
                <w:sz w:val="21"/>
                <w:szCs w:val="21"/>
                <w:highlight w:val="none"/>
              </w:rPr>
            </w:pPr>
            <w:r>
              <w:rPr>
                <w:rFonts w:hint="eastAsia" w:hAnsi="宋体"/>
                <w:color w:val="auto"/>
                <w:sz w:val="21"/>
                <w:szCs w:val="21"/>
                <w:highlight w:val="none"/>
              </w:rPr>
              <w:t>项目人员</w:t>
            </w: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r>
              <w:rPr>
                <w:rFonts w:hint="eastAsia" w:hAnsi="宋体"/>
                <w:color w:val="auto"/>
                <w:szCs w:val="21"/>
                <w:highlight w:val="none"/>
              </w:rPr>
              <w:t>…</w:t>
            </w: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2"/>
          <w:szCs w:val="22"/>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1.供应商可以根据本表格内容和实际情况制作本表格。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2.供应商应当在响应文件中提供评分标准中要求提供的资料。（上述文件均加盖供应商公章）</w:t>
      </w:r>
    </w:p>
    <w:p>
      <w:pPr>
        <w:pStyle w:val="2"/>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日期：年月日</w:t>
      </w:r>
    </w:p>
    <w:p>
      <w:pPr>
        <w:spacing w:line="480" w:lineRule="exact"/>
        <w:rPr>
          <w:rFonts w:hAnsi="宋体"/>
          <w:b/>
          <w:bCs/>
          <w:color w:val="auto"/>
          <w:szCs w:val="21"/>
          <w:highlight w:val="none"/>
          <w:u w:val="single"/>
        </w:rPr>
      </w:pPr>
    </w:p>
    <w:p>
      <w:pPr>
        <w:pStyle w:val="5"/>
        <w:numPr>
          <w:ilvl w:val="0"/>
          <w:numId w:val="39"/>
        </w:numPr>
        <w:jc w:val="center"/>
        <w:rPr>
          <w:bCs/>
          <w:color w:val="auto"/>
          <w:sz w:val="28"/>
          <w:szCs w:val="28"/>
          <w:highlight w:val="none"/>
        </w:rPr>
      </w:pPr>
      <w:r>
        <w:rPr>
          <w:bCs/>
          <w:color w:val="auto"/>
          <w:szCs w:val="21"/>
          <w:highlight w:val="none"/>
        </w:rPr>
        <w:br w:type="page"/>
      </w:r>
      <w:bookmarkEnd w:id="325"/>
      <w:bookmarkEnd w:id="326"/>
      <w:bookmarkEnd w:id="327"/>
      <w:bookmarkEnd w:id="328"/>
      <w:bookmarkEnd w:id="329"/>
      <w:bookmarkEnd w:id="330"/>
      <w:bookmarkEnd w:id="331"/>
      <w:bookmarkEnd w:id="332"/>
      <w:bookmarkEnd w:id="333"/>
      <w:bookmarkEnd w:id="334"/>
      <w:bookmarkEnd w:id="335"/>
      <w:bookmarkEnd w:id="336"/>
      <w:bookmarkStart w:id="341" w:name="_Toc13441"/>
      <w:bookmarkStart w:id="342" w:name="_Toc25401"/>
      <w:r>
        <w:rPr>
          <w:rFonts w:hint="eastAsia"/>
          <w:bCs/>
          <w:color w:val="auto"/>
          <w:sz w:val="28"/>
          <w:szCs w:val="28"/>
          <w:highlight w:val="none"/>
        </w:rPr>
        <w:t>磋商保证金汇入情况说明（适用于转账、电汇方式）</w:t>
      </w:r>
      <w:bookmarkEnd w:id="341"/>
      <w:bookmarkEnd w:id="342"/>
    </w:p>
    <w:p>
      <w:pPr>
        <w:spacing w:line="460" w:lineRule="exact"/>
        <w:rPr>
          <w:rFonts w:hAnsi="宋体"/>
          <w:b/>
          <w:bCs/>
          <w:color w:val="auto"/>
          <w:sz w:val="22"/>
          <w:szCs w:val="22"/>
          <w:highlight w:val="none"/>
        </w:rPr>
      </w:pPr>
    </w:p>
    <w:p>
      <w:pPr>
        <w:spacing w:line="460" w:lineRule="exact"/>
        <w:rPr>
          <w:rFonts w:hAnsi="宋体"/>
          <w:color w:val="auto"/>
          <w:sz w:val="21"/>
          <w:szCs w:val="21"/>
          <w:highlight w:val="none"/>
        </w:rPr>
      </w:pPr>
      <w:r>
        <w:rPr>
          <w:rFonts w:hint="eastAsia" w:hAnsi="宋体"/>
          <w:color w:val="auto"/>
          <w:sz w:val="21"/>
          <w:szCs w:val="21"/>
          <w:highlight w:val="none"/>
        </w:rPr>
        <w:t xml:space="preserve">广东泰通伟业工程咨询有限公司：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本单位已按</w:t>
      </w:r>
      <w:r>
        <w:rPr>
          <w:rFonts w:hint="eastAsia" w:hAnsi="宋体"/>
          <w:color w:val="auto"/>
          <w:sz w:val="21"/>
          <w:szCs w:val="21"/>
          <w:highlight w:val="none"/>
          <w:u w:val="single"/>
        </w:rPr>
        <w:t xml:space="preserve">  （项目名称）   （</w:t>
      </w:r>
      <w:r>
        <w:rPr>
          <w:rFonts w:hint="eastAsia" w:hAnsi="宋体"/>
          <w:color w:val="auto"/>
          <w:sz w:val="21"/>
          <w:szCs w:val="21"/>
          <w:highlight w:val="none"/>
        </w:rPr>
        <w:t>采购编号：</w:t>
      </w:r>
      <w:r>
        <w:rPr>
          <w:rFonts w:hint="eastAsia" w:hAnsi="宋体"/>
          <w:color w:val="auto"/>
          <w:sz w:val="21"/>
          <w:szCs w:val="21"/>
          <w:highlight w:val="none"/>
          <w:u w:val="single"/>
        </w:rPr>
        <w:t xml:space="preserve">     ）</w:t>
      </w:r>
      <w:r>
        <w:rPr>
          <w:rFonts w:hint="eastAsia" w:hAnsi="宋体"/>
          <w:color w:val="auto"/>
          <w:sz w:val="21"/>
          <w:szCs w:val="21"/>
          <w:highlight w:val="none"/>
        </w:rPr>
        <w:t>的磋商文件要求，于年月日前以（付款形式）方式汇入指定帐户（帐户名称：，帐号：,开户银行：）。</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供应商磋商保证金的汇款情况：（详见附件－磋商保证金进帐单）汇出时间：年月日；</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汇款金额：（大写）人民币</w:t>
      </w:r>
      <w:r>
        <w:rPr>
          <w:rFonts w:hint="eastAsia" w:hAnsi="宋体"/>
          <w:color w:val="auto"/>
          <w:sz w:val="21"/>
          <w:szCs w:val="21"/>
          <w:highlight w:val="none"/>
          <w:u w:val="single"/>
        </w:rPr>
        <w:t xml:space="preserve">               元整</w:t>
      </w:r>
    </w:p>
    <w:p>
      <w:pPr>
        <w:spacing w:line="460" w:lineRule="exact"/>
        <w:ind w:firstLine="1365" w:firstLineChars="650"/>
        <w:rPr>
          <w:rFonts w:hAnsi="宋体"/>
          <w:color w:val="auto"/>
          <w:sz w:val="21"/>
          <w:szCs w:val="21"/>
          <w:highlight w:val="none"/>
          <w:u w:val="single"/>
        </w:rPr>
      </w:pPr>
      <w:r>
        <w:rPr>
          <w:rFonts w:hint="eastAsia" w:hAnsi="宋体"/>
          <w:color w:val="auto"/>
          <w:sz w:val="21"/>
          <w:szCs w:val="21"/>
          <w:highlight w:val="none"/>
        </w:rPr>
        <w:t>（小写）￥元。</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汇款帐户名称：</w:t>
      </w:r>
      <w:r>
        <w:rPr>
          <w:rFonts w:hint="eastAsia" w:hAnsi="宋体"/>
          <w:color w:val="auto"/>
          <w:sz w:val="21"/>
          <w:szCs w:val="21"/>
          <w:highlight w:val="none"/>
          <w:u w:val="single"/>
        </w:rPr>
        <w:t xml:space="preserve">  （必须是磋商时使用的单位名称）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帐    号：</w:t>
      </w:r>
      <w:r>
        <w:rPr>
          <w:rFonts w:hint="eastAsia" w:hAnsi="宋体"/>
          <w:color w:val="auto"/>
          <w:sz w:val="21"/>
          <w:szCs w:val="21"/>
          <w:highlight w:val="none"/>
          <w:u w:val="single"/>
        </w:rPr>
        <w:t xml:space="preserve">  （必须是磋商时使用的帐号）     </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开户银行：</w:t>
      </w:r>
      <w:r>
        <w:rPr>
          <w:rFonts w:hint="eastAsia" w:hAnsi="宋体"/>
          <w:color w:val="auto"/>
          <w:sz w:val="21"/>
          <w:szCs w:val="21"/>
          <w:highlight w:val="none"/>
          <w:u w:val="single"/>
        </w:rPr>
        <w:t xml:space="preserve">    银行   省    市          (分行/支行)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本单位谨承诺上述资料是正确、真实的，如因上述证明与事实不符导致的一切损失，本单位保证承担赔偿等一切法律责任。</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磋商保证金退回时，请按上述资料退回。</w:t>
      </w:r>
    </w:p>
    <w:p>
      <w:pPr>
        <w:spacing w:line="460" w:lineRule="exact"/>
        <w:rPr>
          <w:rFonts w:hAnsi="宋体"/>
          <w:b/>
          <w:bCs/>
          <w:color w:val="auto"/>
          <w:sz w:val="21"/>
          <w:szCs w:val="21"/>
          <w:highlight w:val="none"/>
        </w:rPr>
      </w:pPr>
    </w:p>
    <w:p>
      <w:pPr>
        <w:spacing w:line="460" w:lineRule="exact"/>
        <w:rPr>
          <w:rFonts w:hAnsi="宋体"/>
          <w:b/>
          <w:bCs/>
          <w:color w:val="auto"/>
          <w:sz w:val="21"/>
          <w:szCs w:val="21"/>
          <w:highlight w:val="none"/>
        </w:rPr>
      </w:pPr>
      <w:r>
        <w:rPr>
          <w:rFonts w:hint="eastAsia" w:hAnsi="宋体"/>
          <w:b/>
          <w:bCs/>
          <w:color w:val="auto"/>
          <w:sz w:val="21"/>
          <w:szCs w:val="21"/>
          <w:highlight w:val="none"/>
        </w:rPr>
        <w:t>附件：磋商保证金进帐单复印件（加盖公章）</w:t>
      </w:r>
    </w:p>
    <w:p>
      <w:pPr>
        <w:spacing w:line="460" w:lineRule="exact"/>
        <w:ind w:right="965" w:rightChars="402"/>
        <w:jc w:val="right"/>
        <w:rPr>
          <w:rFonts w:hAnsi="宋体"/>
          <w:color w:val="auto"/>
          <w:sz w:val="21"/>
          <w:szCs w:val="21"/>
          <w:highlight w:val="none"/>
        </w:rPr>
      </w:pPr>
      <w:r>
        <w:rPr>
          <w:rFonts w:hint="eastAsia" w:hAnsi="宋体"/>
          <w:color w:val="auto"/>
          <w:sz w:val="21"/>
          <w:szCs w:val="21"/>
          <w:highlight w:val="none"/>
        </w:rPr>
        <w:t>（公章）</w:t>
      </w:r>
    </w:p>
    <w:p>
      <w:pPr>
        <w:spacing w:line="460" w:lineRule="exact"/>
        <w:ind w:right="718" w:rightChars="299"/>
        <w:jc w:val="right"/>
        <w:rPr>
          <w:rFonts w:hAnsi="宋体"/>
          <w:color w:val="auto"/>
          <w:sz w:val="21"/>
          <w:szCs w:val="21"/>
          <w:highlight w:val="none"/>
        </w:rPr>
      </w:pPr>
      <w:r>
        <w:rPr>
          <w:rFonts w:hint="eastAsia" w:hAnsi="宋体"/>
          <w:color w:val="auto"/>
          <w:sz w:val="21"/>
          <w:szCs w:val="21"/>
          <w:highlight w:val="none"/>
        </w:rPr>
        <w:t>年   月   日</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单位名称：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单位地址：           </w:t>
      </w:r>
    </w:p>
    <w:p>
      <w:pPr>
        <w:spacing w:line="460" w:lineRule="exact"/>
        <w:rPr>
          <w:rFonts w:hAnsi="宋体"/>
          <w:color w:val="auto"/>
          <w:sz w:val="21"/>
          <w:szCs w:val="21"/>
          <w:highlight w:val="none"/>
        </w:rPr>
      </w:pPr>
      <w:r>
        <w:rPr>
          <w:rFonts w:hint="eastAsia" w:hAnsi="宋体"/>
          <w:color w:val="auto"/>
          <w:sz w:val="21"/>
          <w:szCs w:val="21"/>
          <w:highlight w:val="none"/>
        </w:rPr>
        <w:t xml:space="preserve">联系人：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单位电话：                 联系人手机：              </w:t>
      </w:r>
    </w:p>
    <w:p>
      <w:pPr>
        <w:spacing w:line="360" w:lineRule="auto"/>
        <w:rPr>
          <w:rFonts w:hAnsi="宋体"/>
          <w:b/>
          <w:color w:val="auto"/>
          <w:sz w:val="21"/>
          <w:szCs w:val="21"/>
          <w:highlight w:val="none"/>
        </w:rPr>
      </w:pPr>
    </w:p>
    <w:p>
      <w:pPr>
        <w:rPr>
          <w:color w:val="auto"/>
          <w:sz w:val="21"/>
          <w:szCs w:val="21"/>
          <w:highlight w:val="none"/>
        </w:rPr>
      </w:pPr>
      <w:r>
        <w:rPr>
          <w:rFonts w:hint="eastAsia"/>
          <w:color w:val="auto"/>
          <w:sz w:val="21"/>
          <w:szCs w:val="21"/>
          <w:highlight w:val="none"/>
        </w:rPr>
        <w:t>注：1、本说明的所有内容（包括所填写内容）均需打印；2、本说明及磋商保证金进帐单复印件（加盖公章）在磋商时放入唱标信封内。</w:t>
      </w:r>
    </w:p>
    <w:p>
      <w:pPr>
        <w:rPr>
          <w:color w:val="auto"/>
          <w:highlight w:val="none"/>
        </w:rPr>
      </w:pPr>
    </w:p>
    <w:p>
      <w:pPr>
        <w:overflowPunct w:val="0"/>
        <w:spacing w:line="460" w:lineRule="exact"/>
        <w:rPr>
          <w:rFonts w:hAnsi="宋体"/>
          <w:color w:val="auto"/>
          <w:sz w:val="22"/>
          <w:szCs w:val="22"/>
          <w:highlight w:val="none"/>
        </w:rPr>
      </w:pPr>
      <w:r>
        <w:rPr>
          <w:color w:val="auto"/>
          <w:highlight w:val="none"/>
        </w:rPr>
        <w:br w:type="page"/>
      </w:r>
    </w:p>
    <w:p>
      <w:pPr>
        <w:pStyle w:val="5"/>
        <w:pageBreakBefore/>
        <w:spacing w:line="360" w:lineRule="auto"/>
        <w:jc w:val="center"/>
        <w:rPr>
          <w:bCs/>
          <w:color w:val="auto"/>
          <w:sz w:val="28"/>
          <w:szCs w:val="28"/>
          <w:highlight w:val="none"/>
        </w:rPr>
      </w:pPr>
      <w:bookmarkStart w:id="343" w:name="_Toc19888"/>
      <w:bookmarkStart w:id="344" w:name="_Toc20966"/>
      <w:bookmarkStart w:id="345" w:name="_Toc9633"/>
      <w:r>
        <w:rPr>
          <w:rFonts w:hint="eastAsia"/>
          <w:bCs/>
          <w:color w:val="auto"/>
          <w:sz w:val="28"/>
          <w:szCs w:val="28"/>
          <w:highlight w:val="none"/>
        </w:rPr>
        <w:t>第三部分 技术文件</w:t>
      </w:r>
      <w:bookmarkEnd w:id="343"/>
      <w:bookmarkEnd w:id="344"/>
      <w:bookmarkEnd w:id="345"/>
    </w:p>
    <w:p>
      <w:pPr>
        <w:jc w:val="center"/>
        <w:rPr>
          <w:color w:val="auto"/>
          <w:highlight w:val="none"/>
        </w:rPr>
      </w:pPr>
    </w:p>
    <w:p>
      <w:pPr>
        <w:pStyle w:val="5"/>
        <w:numPr>
          <w:ilvl w:val="0"/>
          <w:numId w:val="40"/>
        </w:numPr>
        <w:jc w:val="center"/>
        <w:rPr>
          <w:color w:val="auto"/>
          <w:highlight w:val="none"/>
        </w:rPr>
      </w:pPr>
      <w:bookmarkStart w:id="346" w:name="_Toc25949"/>
      <w:bookmarkStart w:id="347" w:name="_Toc15167"/>
      <w:bookmarkStart w:id="348" w:name="_Toc16593"/>
      <w:bookmarkStart w:id="349" w:name="_Toc31683"/>
      <w:bookmarkStart w:id="350" w:name="_Toc9540"/>
      <w:bookmarkStart w:id="351" w:name="_Toc24064"/>
      <w:bookmarkStart w:id="352" w:name="_Toc9579"/>
      <w:bookmarkStart w:id="353" w:name="_Toc1852"/>
      <w:bookmarkStart w:id="354" w:name="_Toc28884"/>
      <w:r>
        <w:rPr>
          <w:rFonts w:hint="eastAsia"/>
          <w:color w:val="auto"/>
          <w:highlight w:val="none"/>
        </w:rPr>
        <w:t>技术方案</w:t>
      </w:r>
      <w:bookmarkEnd w:id="346"/>
      <w:bookmarkEnd w:id="347"/>
      <w:bookmarkEnd w:id="348"/>
      <w:bookmarkEnd w:id="349"/>
      <w:bookmarkEnd w:id="350"/>
      <w:bookmarkEnd w:id="351"/>
      <w:bookmarkEnd w:id="352"/>
      <w:bookmarkEnd w:id="353"/>
      <w:bookmarkEnd w:id="354"/>
    </w:p>
    <w:p>
      <w:pPr>
        <w:snapToGrid w:val="0"/>
        <w:spacing w:line="360" w:lineRule="auto"/>
        <w:rPr>
          <w:rFonts w:hAnsi="宋体"/>
          <w:color w:val="auto"/>
          <w:sz w:val="21"/>
          <w:szCs w:val="21"/>
          <w:highlight w:val="none"/>
        </w:rPr>
      </w:pPr>
    </w:p>
    <w:p>
      <w:pPr>
        <w:snapToGrid w:val="0"/>
        <w:spacing w:line="360" w:lineRule="auto"/>
        <w:ind w:firstLine="420" w:firstLineChars="200"/>
        <w:rPr>
          <w:rFonts w:hAnsi="宋体"/>
          <w:color w:val="auto"/>
          <w:sz w:val="21"/>
          <w:szCs w:val="21"/>
          <w:highlight w:val="none"/>
        </w:rPr>
      </w:pPr>
      <w:r>
        <w:rPr>
          <w:rFonts w:hint="eastAsia" w:hAnsi="宋体"/>
          <w:color w:val="auto"/>
          <w:sz w:val="21"/>
          <w:szCs w:val="21"/>
          <w:highlight w:val="none"/>
        </w:rPr>
        <w:t>根据用户需求书编写。</w:t>
      </w:r>
    </w:p>
    <w:p>
      <w:pPr>
        <w:snapToGrid w:val="0"/>
        <w:spacing w:line="360" w:lineRule="auto"/>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5"/>
        <w:numPr>
          <w:ilvl w:val="0"/>
          <w:numId w:val="40"/>
        </w:numPr>
        <w:jc w:val="center"/>
        <w:rPr>
          <w:color w:val="auto"/>
          <w:highlight w:val="none"/>
        </w:rPr>
      </w:pPr>
      <w:bookmarkStart w:id="355" w:name="_Toc11036"/>
      <w:bookmarkStart w:id="356" w:name="_Toc28953"/>
      <w:bookmarkStart w:id="357" w:name="_Toc15530"/>
      <w:bookmarkStart w:id="358" w:name="_Toc24947"/>
      <w:bookmarkStart w:id="359" w:name="_Toc12278"/>
      <w:bookmarkStart w:id="360" w:name="_Toc23849"/>
      <w:bookmarkStart w:id="361" w:name="_Toc30049"/>
      <w:bookmarkStart w:id="362" w:name="_Toc9619"/>
      <w:bookmarkStart w:id="363" w:name="_Toc28663"/>
      <w:r>
        <w:rPr>
          <w:rFonts w:hint="eastAsia"/>
          <w:color w:val="auto"/>
          <w:highlight w:val="none"/>
        </w:rPr>
        <w:t>其他资料</w:t>
      </w:r>
      <w:bookmarkEnd w:id="355"/>
      <w:bookmarkEnd w:id="356"/>
      <w:bookmarkEnd w:id="357"/>
      <w:bookmarkEnd w:id="358"/>
      <w:bookmarkEnd w:id="359"/>
      <w:bookmarkEnd w:id="360"/>
      <w:bookmarkEnd w:id="361"/>
      <w:bookmarkEnd w:id="362"/>
      <w:bookmarkEnd w:id="363"/>
    </w:p>
    <w:p>
      <w:pPr>
        <w:pStyle w:val="29"/>
        <w:spacing w:line="360" w:lineRule="auto"/>
        <w:ind w:firstLine="420"/>
        <w:rPr>
          <w:rFonts w:hAnsi="宋体"/>
          <w:color w:val="auto"/>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1、磋商文件要求提供的其他资料（如有）</w:t>
      </w:r>
    </w:p>
    <w:p>
      <w:pPr>
        <w:spacing w:line="360" w:lineRule="auto"/>
        <w:rPr>
          <w:rFonts w:hAnsi="宋体"/>
          <w:color w:val="auto"/>
          <w:sz w:val="21"/>
          <w:szCs w:val="21"/>
          <w:highlight w:val="none"/>
        </w:rPr>
      </w:pPr>
      <w:r>
        <w:rPr>
          <w:rFonts w:hint="eastAsia" w:hAnsi="宋体"/>
          <w:color w:val="auto"/>
          <w:sz w:val="21"/>
          <w:szCs w:val="21"/>
          <w:highlight w:val="none"/>
        </w:rPr>
        <w:t>2、供应商认为需要提供的其他资料（如有）</w:t>
      </w: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14"/>
        <w:rPr>
          <w:rFonts w:hAnsi="宋体"/>
          <w:color w:val="auto"/>
          <w:sz w:val="21"/>
          <w:szCs w:val="21"/>
          <w:highlight w:val="none"/>
        </w:rPr>
      </w:pPr>
    </w:p>
    <w:p>
      <w:pPr>
        <w:pStyle w:val="5"/>
        <w:jc w:val="center"/>
        <w:rPr>
          <w:color w:val="auto"/>
          <w:sz w:val="28"/>
          <w:szCs w:val="28"/>
          <w:highlight w:val="none"/>
        </w:rPr>
      </w:pPr>
      <w:bookmarkStart w:id="364" w:name="_Toc17492"/>
      <w:bookmarkStart w:id="365" w:name="_Toc10390"/>
      <w:r>
        <w:rPr>
          <w:rFonts w:hint="eastAsia"/>
          <w:color w:val="auto"/>
          <w:sz w:val="28"/>
          <w:szCs w:val="28"/>
          <w:highlight w:val="none"/>
        </w:rPr>
        <w:t>第四部分 唱标信封</w:t>
      </w:r>
      <w:r>
        <w:rPr>
          <w:rFonts w:hint="eastAsia"/>
          <w:bCs/>
          <w:color w:val="auto"/>
          <w:sz w:val="28"/>
          <w:szCs w:val="28"/>
          <w:highlight w:val="none"/>
        </w:rPr>
        <w:t>（单独编制装订成册，单独封装）</w:t>
      </w:r>
      <w:bookmarkEnd w:id="364"/>
      <w:bookmarkEnd w:id="365"/>
    </w:p>
    <w:p>
      <w:pPr>
        <w:pStyle w:val="76"/>
        <w:spacing w:line="460" w:lineRule="exact"/>
        <w:ind w:firstLine="0" w:firstLineChars="0"/>
        <w:rPr>
          <w:rFonts w:ascii="宋体" w:eastAsia="宋体"/>
          <w:color w:val="auto"/>
          <w:sz w:val="21"/>
          <w:szCs w:val="21"/>
          <w:highlight w:val="none"/>
        </w:rPr>
      </w:pPr>
      <w:r>
        <w:rPr>
          <w:rFonts w:hint="eastAsia" w:ascii="宋体" w:eastAsia="宋体"/>
          <w:color w:val="auto"/>
          <w:sz w:val="21"/>
          <w:szCs w:val="21"/>
          <w:highlight w:val="none"/>
        </w:rPr>
        <w:t>唱标信封内装：</w:t>
      </w:r>
    </w:p>
    <w:p>
      <w:pPr>
        <w:pStyle w:val="76"/>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1</w:t>
      </w:r>
      <w:r>
        <w:rPr>
          <w:rFonts w:hint="eastAsia" w:ascii="宋体" w:eastAsia="宋体"/>
          <w:color w:val="auto"/>
          <w:sz w:val="21"/>
          <w:szCs w:val="21"/>
          <w:highlight w:val="none"/>
        </w:rPr>
        <w:t>）磋商保证金汇入情况说明及银行汇款凭证（或担保函）复印件加盖公章；</w:t>
      </w:r>
    </w:p>
    <w:p>
      <w:pPr>
        <w:pStyle w:val="76"/>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2</w:t>
      </w:r>
      <w:r>
        <w:rPr>
          <w:rFonts w:hint="eastAsia" w:ascii="宋体" w:eastAsia="宋体"/>
          <w:color w:val="auto"/>
          <w:sz w:val="21"/>
          <w:szCs w:val="21"/>
          <w:highlight w:val="none"/>
        </w:rPr>
        <w:t>）法定代表人证明书加盖公章；</w:t>
      </w:r>
    </w:p>
    <w:p>
      <w:pPr>
        <w:pStyle w:val="76"/>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3</w:t>
      </w:r>
      <w:r>
        <w:rPr>
          <w:rFonts w:hint="eastAsia" w:ascii="宋体" w:eastAsia="宋体"/>
          <w:color w:val="auto"/>
          <w:sz w:val="21"/>
          <w:szCs w:val="21"/>
          <w:highlight w:val="none"/>
        </w:rPr>
        <w:t>）法定代表人授权委托书加盖公章（法定代表人磋商的除外）；</w:t>
      </w:r>
    </w:p>
    <w:p>
      <w:pPr>
        <w:pStyle w:val="76"/>
        <w:spacing w:line="460" w:lineRule="exact"/>
        <w:ind w:firstLine="433"/>
        <w:rPr>
          <w:rFonts w:ascii="宋体" w:eastAsia="宋体"/>
          <w:color w:val="auto"/>
          <w:sz w:val="22"/>
          <w:szCs w:val="22"/>
          <w:highlight w:val="none"/>
        </w:rPr>
      </w:pPr>
      <w:r>
        <w:rPr>
          <w:rFonts w:hint="eastAsia" w:ascii="宋体" w:eastAsia="宋体"/>
          <w:color w:val="auto"/>
          <w:sz w:val="21"/>
          <w:szCs w:val="21"/>
          <w:highlight w:val="none"/>
        </w:rPr>
        <w:t>（</w:t>
      </w:r>
      <w:r>
        <w:rPr>
          <w:rFonts w:hint="eastAsia" w:ascii="宋体" w:eastAsia="宋体"/>
          <w:color w:val="auto"/>
          <w:sz w:val="21"/>
          <w:szCs w:val="21"/>
          <w:highlight w:val="none"/>
          <w:lang w:val="en-US" w:eastAsia="zh-CN"/>
        </w:rPr>
        <w:t>4</w:t>
      </w:r>
      <w:r>
        <w:rPr>
          <w:rFonts w:hint="eastAsia" w:ascii="宋体" w:eastAsia="宋体"/>
          <w:color w:val="auto"/>
          <w:sz w:val="21"/>
          <w:szCs w:val="21"/>
          <w:highlight w:val="none"/>
        </w:rPr>
        <w:t>）磋商文件电子文件（签字、盖章后的磋商文件PDF格式扫描版电子文件, 可采用光盘介质或U盘装载）；</w:t>
      </w:r>
    </w:p>
    <w:p>
      <w:pPr>
        <w:pStyle w:val="76"/>
        <w:spacing w:line="460" w:lineRule="exact"/>
        <w:ind w:firstLine="453"/>
        <w:rPr>
          <w:rFonts w:ascii="宋体" w:eastAsia="宋体"/>
          <w:color w:val="auto"/>
          <w:sz w:val="22"/>
          <w:szCs w:val="22"/>
          <w:highlight w:val="none"/>
        </w:rPr>
      </w:pPr>
    </w:p>
    <w:p>
      <w:pPr>
        <w:rPr>
          <w:color w:val="auto"/>
          <w:highlight w:val="none"/>
        </w:rPr>
      </w:pPr>
    </w:p>
    <w:p>
      <w:pPr>
        <w:rPr>
          <w:color w:val="auto"/>
          <w:highlight w:val="none"/>
          <w:lang w:val="zh-CN"/>
        </w:rPr>
      </w:pPr>
      <w:bookmarkStart w:id="366" w:name="_Toc396137262"/>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pStyle w:val="14"/>
        <w:ind w:firstLine="400"/>
        <w:rPr>
          <w:color w:val="auto"/>
          <w:highlight w:val="none"/>
          <w:lang w:val="zh-CN"/>
        </w:rPr>
      </w:pPr>
    </w:p>
    <w:p>
      <w:pPr>
        <w:pStyle w:val="14"/>
        <w:ind w:firstLine="400"/>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bookmarkEnd w:id="366"/>
    <w:p>
      <w:pPr>
        <w:rPr>
          <w:color w:val="auto"/>
          <w:highlight w:val="none"/>
          <w:lang w:val="zh-CN"/>
        </w:rPr>
      </w:pPr>
    </w:p>
    <w:sectPr>
      <w:headerReference r:id="rId13" w:type="first"/>
      <w:footerReference r:id="rId16" w:type="first"/>
      <w:headerReference r:id="rId12" w:type="default"/>
      <w:footerReference r:id="rId14" w:type="default"/>
      <w:footerReference r:id="rId15" w:type="even"/>
      <w:pgSz w:w="11907" w:h="16840"/>
      <w:pgMar w:top="1440" w:right="1134" w:bottom="1440" w:left="1134" w:header="850" w:footer="720" w:gutter="0"/>
      <w:pgBorders>
        <w:top w:val="none" w:sz="0" w:space="0"/>
        <w:left w:val="none" w:sz="0" w:space="0"/>
        <w:bottom w:val="none" w:sz="0" w:space="0"/>
        <w:right w:val="none" w:sz="0" w:space="0"/>
      </w:pgBorders>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DFKai-SB">
    <w:panose1 w:val="03000509000000000000"/>
    <w:charset w:val="88"/>
    <w:family w:val="script"/>
    <w:pitch w:val="default"/>
    <w:sig w:usb0="00000003" w:usb1="082E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时尚中黑简体">
    <w:altName w:val="黑体"/>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6"/>
      </w:rPr>
    </w:pPr>
    <w:r>
      <w:fldChar w:fldCharType="begin"/>
    </w:r>
    <w:r>
      <w:rPr>
        <w:rStyle w:val="56"/>
      </w:rPr>
      <w:instrText xml:space="preserve">PAGE  </w:instrText>
    </w:r>
    <w:r>
      <w:fldChar w:fldCharType="separate"/>
    </w:r>
    <w:r>
      <w:rPr>
        <w:rStyle w:val="56"/>
      </w:rPr>
      <w:t>5</w:t>
    </w:r>
    <w:r>
      <w:fldChar w:fldCharType="end"/>
    </w:r>
  </w:p>
  <w:p>
    <w:pPr>
      <w:pStyle w:val="3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before="0" w:after="0" w:line="14" w:lineRule="auto"/>
      <w:ind w:left="0" w:right="0"/>
      <w:jc w:val="left"/>
      <w:rPr>
        <w:rFonts w:ascii="宋体" w:hAnsi="宋体" w:eastAsia="宋体" w:cs="宋体"/>
        <w:sz w:val="20"/>
        <w:szCs w:val="21"/>
        <w:lang w:val="zh-CN" w:eastAsia="zh-CN" w:bidi="zh-CN"/>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before="0" w:after="0" w:line="14" w:lineRule="auto"/>
      <w:ind w:left="0" w:right="0"/>
      <w:jc w:val="left"/>
      <w:rPr>
        <w:rFonts w:ascii="宋体" w:hAnsi="宋体" w:eastAsia="宋体" w:cs="宋体"/>
        <w:sz w:val="20"/>
        <w:szCs w:val="21"/>
        <w:lang w:val="zh-CN" w:eastAsia="zh-CN" w:bidi="zh-CN"/>
      </w:rPr>
    </w:pPr>
    <w:r>
      <w:rPr>
        <w:rFonts w:ascii="宋体" w:hAnsi="宋体" w:eastAsia="宋体" w:cs="宋体"/>
        <w:sz w:val="21"/>
        <w:szCs w:val="21"/>
        <w:lang w:val="zh-CN" w:eastAsia="zh-CN" w:bidi="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939800" cy="152400"/>
              <wp:effectExtent l="0" t="0" r="0" b="0"/>
              <wp:wrapNone/>
              <wp:docPr id="11" name="文本框 1"/>
              <wp:cNvGraphicFramePr/>
              <a:graphic xmlns:a="http://schemas.openxmlformats.org/drawingml/2006/main">
                <a:graphicData uri="http://schemas.microsoft.com/office/word/2010/wordprocessingShape">
                  <wps:wsp>
                    <wps:cNvSpPr txBox="1"/>
                    <wps:spPr>
                      <a:xfrm>
                        <a:off x="0" y="0"/>
                        <a:ext cx="939800" cy="152400"/>
                      </a:xfrm>
                      <a:prstGeom prst="rect">
                        <a:avLst/>
                      </a:prstGeom>
                      <a:noFill/>
                      <a:ln>
                        <a:noFill/>
                      </a:ln>
                    </wps:spPr>
                    <wps:txbx>
                      <w:txbxContent>
                        <w:p>
                          <w:pPr>
                            <w:adjustRightInd/>
                            <w:spacing w:before="2" w:after="0" w:line="240" w:lineRule="auto"/>
                            <w:ind w:left="20" w:right="0" w:firstLine="0"/>
                            <w:jc w:val="left"/>
                            <w:rPr>
                              <w:rFonts w:hint="eastAsia" w:ascii="宋体" w:hAnsi="宋体" w:eastAsia="宋体" w:cs="宋体"/>
                              <w:sz w:val="18"/>
                              <w:szCs w:val="22"/>
                              <w:lang w:val="zh-CN" w:eastAsia="zh-CN" w:bidi="zh-CN"/>
                            </w:rPr>
                          </w:pPr>
                          <w:r>
                            <w:rPr>
                              <w:rFonts w:hint="eastAsia" w:hAnsi="宋体" w:cs="宋体"/>
                              <w:sz w:val="18"/>
                              <w:szCs w:val="22"/>
                              <w:lang w:val="zh-CN" w:eastAsia="zh-CN" w:bidi="zh-CN"/>
                            </w:rPr>
                            <w:t xml:space="preserve">第 </w:t>
                          </w:r>
                          <w:r>
                            <w:rPr>
                              <w:rFonts w:hint="eastAsia" w:hAnsi="宋体" w:cs="宋体"/>
                              <w:sz w:val="18"/>
                              <w:szCs w:val="22"/>
                              <w:lang w:val="zh-CN" w:eastAsia="zh-CN" w:bidi="zh-CN"/>
                            </w:rPr>
                            <w:fldChar w:fldCharType="begin"/>
                          </w:r>
                          <w:r>
                            <w:rPr>
                              <w:rFonts w:hint="eastAsia" w:hAnsi="宋体" w:cs="宋体"/>
                              <w:sz w:val="18"/>
                              <w:szCs w:val="22"/>
                              <w:lang w:val="zh-CN" w:eastAsia="zh-CN" w:bidi="zh-CN"/>
                            </w:rPr>
                            <w:instrText xml:space="preserve"> PAGE  \* MERGEFORMAT </w:instrText>
                          </w:r>
                          <w:r>
                            <w:rPr>
                              <w:rFonts w:hint="eastAsia" w:hAnsi="宋体" w:cs="宋体"/>
                              <w:sz w:val="18"/>
                              <w:szCs w:val="22"/>
                              <w:lang w:val="zh-CN" w:eastAsia="zh-CN" w:bidi="zh-CN"/>
                            </w:rPr>
                            <w:fldChar w:fldCharType="separate"/>
                          </w:r>
                          <w:r>
                            <w:rPr>
                              <w:rFonts w:hint="eastAsia" w:hAnsi="宋体" w:cs="宋体"/>
                              <w:sz w:val="18"/>
                              <w:szCs w:val="22"/>
                              <w:lang w:val="zh-CN" w:eastAsia="zh-CN" w:bidi="zh-CN"/>
                            </w:rPr>
                            <w:t>1</w:t>
                          </w:r>
                          <w:r>
                            <w:rPr>
                              <w:rFonts w:hint="eastAsia" w:hAnsi="宋体" w:cs="宋体"/>
                              <w:sz w:val="18"/>
                              <w:szCs w:val="22"/>
                              <w:lang w:val="zh-CN" w:eastAsia="zh-CN" w:bidi="zh-CN"/>
                            </w:rPr>
                            <w:fldChar w:fldCharType="end"/>
                          </w:r>
                          <w:r>
                            <w:rPr>
                              <w:rFonts w:hint="eastAsia" w:hAnsi="宋体" w:cs="宋体"/>
                              <w:sz w:val="18"/>
                              <w:szCs w:val="22"/>
                              <w:lang w:val="zh-CN" w:eastAsia="zh-CN" w:bidi="zh-CN"/>
                            </w:rPr>
                            <w:t xml:space="preserve"> 页 共 </w:t>
                          </w:r>
                          <w:r>
                            <w:rPr>
                              <w:rFonts w:hint="eastAsia" w:hAnsi="宋体" w:cs="宋体"/>
                              <w:sz w:val="18"/>
                              <w:szCs w:val="22"/>
                              <w:lang w:val="zh-CN" w:eastAsia="zh-CN" w:bidi="zh-CN"/>
                            </w:rPr>
                            <w:fldChar w:fldCharType="begin"/>
                          </w:r>
                          <w:r>
                            <w:rPr>
                              <w:rFonts w:hint="eastAsia" w:hAnsi="宋体" w:cs="宋体"/>
                              <w:sz w:val="18"/>
                              <w:szCs w:val="22"/>
                              <w:lang w:val="zh-CN" w:eastAsia="zh-CN" w:bidi="zh-CN"/>
                            </w:rPr>
                            <w:instrText xml:space="preserve"> NUMPAGES  \* MERGEFORMAT </w:instrText>
                          </w:r>
                          <w:r>
                            <w:rPr>
                              <w:rFonts w:hint="eastAsia" w:hAnsi="宋体" w:cs="宋体"/>
                              <w:sz w:val="18"/>
                              <w:szCs w:val="22"/>
                              <w:lang w:val="zh-CN" w:eastAsia="zh-CN" w:bidi="zh-CN"/>
                            </w:rPr>
                            <w:fldChar w:fldCharType="separate"/>
                          </w:r>
                          <w:r>
                            <w:rPr>
                              <w:rFonts w:hint="eastAsia" w:hAnsi="宋体" w:cs="宋体"/>
                              <w:sz w:val="18"/>
                              <w:szCs w:val="22"/>
                              <w:lang w:val="zh-CN" w:eastAsia="zh-CN" w:bidi="zh-CN"/>
                            </w:rPr>
                            <w:t>83</w:t>
                          </w:r>
                          <w:r>
                            <w:rPr>
                              <w:rFonts w:hint="eastAsia" w:hAnsi="宋体" w:cs="宋体"/>
                              <w:sz w:val="18"/>
                              <w:szCs w:val="22"/>
                              <w:lang w:val="zh-CN" w:eastAsia="zh-CN" w:bidi="zh-CN"/>
                            </w:rPr>
                            <w:fldChar w:fldCharType="end"/>
                          </w:r>
                          <w:r>
                            <w:rPr>
                              <w:rFonts w:hint="eastAsia" w:hAnsi="宋体" w:cs="宋体"/>
                              <w:sz w:val="18"/>
                              <w:szCs w:val="22"/>
                              <w:lang w:val="zh-CN" w:eastAsia="zh-CN" w:bidi="zh-CN"/>
                            </w:rPr>
                            <w:t xml:space="preserve"> 页</w:t>
                          </w:r>
                        </w:p>
                      </w:txbxContent>
                    </wps:txbx>
                    <wps:bodyPr lIns="0" tIns="0" rIns="0" bIns="0" upright="1"/>
                  </wps:wsp>
                </a:graphicData>
              </a:graphic>
            </wp:anchor>
          </w:drawing>
        </mc:Choice>
        <mc:Fallback>
          <w:pict>
            <v:shape id="文本框 1" o:spid="_x0000_s1026" o:spt="202" type="#_x0000_t202" style="position:absolute;left:0pt;margin-top:0pt;height:12pt;width:74pt;mso-position-horizontal:center;mso-position-horizontal-relative:margin;z-index:251668480;mso-width-relative:page;mso-height-relative:page;" filled="f" stroked="f" coordsize="21600,21600" o:gfxdata="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4aJ6m1AAAAAQBAAAPAAAAAAAAAAEAIAAAACIAAABkcnMvZG93bnJldi54bWxQSwECFAAUAAAA&#10;CACHTuJAsGNeCrkBAAByAwAADgAAAAAAAAABACAAAAAjAQAAZHJzL2Uyb0RvYy54bWxQSwUGAAAA&#10;AAYABgBZAQAATgUAAAAA&#10;">
              <v:fill on="f" focussize="0,0"/>
              <v:stroke on="f"/>
              <v:imagedata o:title=""/>
              <o:lock v:ext="edit" aspectratio="f"/>
              <v:textbox inset="0mm,0mm,0mm,0mm">
                <w:txbxContent>
                  <w:p>
                    <w:pPr>
                      <w:adjustRightInd/>
                      <w:spacing w:before="2" w:after="0" w:line="240" w:lineRule="auto"/>
                      <w:ind w:left="20" w:right="0" w:firstLine="0"/>
                      <w:jc w:val="left"/>
                      <w:rPr>
                        <w:rFonts w:hint="eastAsia" w:ascii="宋体" w:hAnsi="宋体" w:eastAsia="宋体" w:cs="宋体"/>
                        <w:sz w:val="18"/>
                        <w:szCs w:val="22"/>
                        <w:lang w:val="zh-CN" w:eastAsia="zh-CN" w:bidi="zh-CN"/>
                      </w:rPr>
                    </w:pPr>
                    <w:r>
                      <w:rPr>
                        <w:rFonts w:hint="eastAsia" w:hAnsi="宋体" w:cs="宋体"/>
                        <w:sz w:val="18"/>
                        <w:szCs w:val="22"/>
                        <w:lang w:val="zh-CN" w:eastAsia="zh-CN" w:bidi="zh-CN"/>
                      </w:rPr>
                      <w:t xml:space="preserve">第 </w:t>
                    </w:r>
                    <w:r>
                      <w:rPr>
                        <w:rFonts w:hint="eastAsia" w:hAnsi="宋体" w:cs="宋体"/>
                        <w:sz w:val="18"/>
                        <w:szCs w:val="22"/>
                        <w:lang w:val="zh-CN" w:eastAsia="zh-CN" w:bidi="zh-CN"/>
                      </w:rPr>
                      <w:fldChar w:fldCharType="begin"/>
                    </w:r>
                    <w:r>
                      <w:rPr>
                        <w:rFonts w:hint="eastAsia" w:hAnsi="宋体" w:cs="宋体"/>
                        <w:sz w:val="18"/>
                        <w:szCs w:val="22"/>
                        <w:lang w:val="zh-CN" w:eastAsia="zh-CN" w:bidi="zh-CN"/>
                      </w:rPr>
                      <w:instrText xml:space="preserve"> PAGE  \* MERGEFORMAT </w:instrText>
                    </w:r>
                    <w:r>
                      <w:rPr>
                        <w:rFonts w:hint="eastAsia" w:hAnsi="宋体" w:cs="宋体"/>
                        <w:sz w:val="18"/>
                        <w:szCs w:val="22"/>
                        <w:lang w:val="zh-CN" w:eastAsia="zh-CN" w:bidi="zh-CN"/>
                      </w:rPr>
                      <w:fldChar w:fldCharType="separate"/>
                    </w:r>
                    <w:r>
                      <w:rPr>
                        <w:rFonts w:hint="eastAsia" w:hAnsi="宋体" w:cs="宋体"/>
                        <w:sz w:val="18"/>
                        <w:szCs w:val="22"/>
                        <w:lang w:val="zh-CN" w:eastAsia="zh-CN" w:bidi="zh-CN"/>
                      </w:rPr>
                      <w:t>1</w:t>
                    </w:r>
                    <w:r>
                      <w:rPr>
                        <w:rFonts w:hint="eastAsia" w:hAnsi="宋体" w:cs="宋体"/>
                        <w:sz w:val="18"/>
                        <w:szCs w:val="22"/>
                        <w:lang w:val="zh-CN" w:eastAsia="zh-CN" w:bidi="zh-CN"/>
                      </w:rPr>
                      <w:fldChar w:fldCharType="end"/>
                    </w:r>
                    <w:r>
                      <w:rPr>
                        <w:rFonts w:hint="eastAsia" w:hAnsi="宋体" w:cs="宋体"/>
                        <w:sz w:val="18"/>
                        <w:szCs w:val="22"/>
                        <w:lang w:val="zh-CN" w:eastAsia="zh-CN" w:bidi="zh-CN"/>
                      </w:rPr>
                      <w:t xml:space="preserve"> 页 共 </w:t>
                    </w:r>
                    <w:r>
                      <w:rPr>
                        <w:rFonts w:hint="eastAsia" w:hAnsi="宋体" w:cs="宋体"/>
                        <w:sz w:val="18"/>
                        <w:szCs w:val="22"/>
                        <w:lang w:val="zh-CN" w:eastAsia="zh-CN" w:bidi="zh-CN"/>
                      </w:rPr>
                      <w:fldChar w:fldCharType="begin"/>
                    </w:r>
                    <w:r>
                      <w:rPr>
                        <w:rFonts w:hint="eastAsia" w:hAnsi="宋体" w:cs="宋体"/>
                        <w:sz w:val="18"/>
                        <w:szCs w:val="22"/>
                        <w:lang w:val="zh-CN" w:eastAsia="zh-CN" w:bidi="zh-CN"/>
                      </w:rPr>
                      <w:instrText xml:space="preserve"> NUMPAGES  \* MERGEFORMAT </w:instrText>
                    </w:r>
                    <w:r>
                      <w:rPr>
                        <w:rFonts w:hint="eastAsia" w:hAnsi="宋体" w:cs="宋体"/>
                        <w:sz w:val="18"/>
                        <w:szCs w:val="22"/>
                        <w:lang w:val="zh-CN" w:eastAsia="zh-CN" w:bidi="zh-CN"/>
                      </w:rPr>
                      <w:fldChar w:fldCharType="separate"/>
                    </w:r>
                    <w:r>
                      <w:rPr>
                        <w:rFonts w:hint="eastAsia" w:hAnsi="宋体" w:cs="宋体"/>
                        <w:sz w:val="18"/>
                        <w:szCs w:val="22"/>
                        <w:lang w:val="zh-CN" w:eastAsia="zh-CN" w:bidi="zh-CN"/>
                      </w:rPr>
                      <w:t>83</w:t>
                    </w:r>
                    <w:r>
                      <w:rPr>
                        <w:rFonts w:hint="eastAsia" w:hAnsi="宋体" w:cs="宋体"/>
                        <w:sz w:val="18"/>
                        <w:szCs w:val="22"/>
                        <w:lang w:val="zh-CN" w:eastAsia="zh-CN" w:bidi="zh-CN"/>
                      </w:rPr>
                      <w:fldChar w:fldCharType="end"/>
                    </w:r>
                    <w:r>
                      <w:rPr>
                        <w:rFonts w:hint="eastAsia" w:hAnsi="宋体" w:cs="宋体"/>
                        <w:sz w:val="18"/>
                        <w:szCs w:val="22"/>
                        <w:lang w:val="zh-CN" w:eastAsia="zh-CN" w:bidi="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before="0" w:after="0" w:line="14" w:lineRule="auto"/>
      <w:ind w:left="0" w:right="0"/>
      <w:jc w:val="left"/>
      <w:rPr>
        <w:rFonts w:ascii="宋体" w:hAnsi="宋体" w:eastAsia="宋体" w:cs="宋体"/>
        <w:sz w:val="12"/>
        <w:szCs w:val="21"/>
        <w:lang w:val="zh-CN" w:eastAsia="zh-CN" w:bidi="zh-CN"/>
      </w:rPr>
    </w:pPr>
    <w:r>
      <w:rPr>
        <w:rFonts w:ascii="宋体" w:hAnsi="宋体" w:eastAsia="宋体" w:cs="宋体"/>
        <w:sz w:val="21"/>
        <w:szCs w:val="21"/>
        <w:lang w:val="zh-CN" w:eastAsia="zh-CN" w:bidi="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996315" cy="1524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996315" cy="152400"/>
                      </a:xfrm>
                      <a:prstGeom prst="rect">
                        <a:avLst/>
                      </a:prstGeom>
                      <a:noFill/>
                      <a:ln>
                        <a:noFill/>
                      </a:ln>
                    </wps:spPr>
                    <wps:txbx>
                      <w:txbxContent>
                        <w:p>
                          <w:pPr>
                            <w:adjustRightInd/>
                            <w:spacing w:before="2" w:after="0" w:line="240" w:lineRule="auto"/>
                            <w:ind w:left="20" w:right="0" w:firstLine="0"/>
                            <w:jc w:val="left"/>
                            <w:rPr>
                              <w:rFonts w:hint="eastAsia" w:ascii="宋体" w:hAnsi="宋体" w:eastAsia="宋体" w:cs="宋体"/>
                              <w:sz w:val="18"/>
                              <w:szCs w:val="22"/>
                              <w:lang w:val="zh-CN" w:eastAsia="zh-CN" w:bidi="zh-CN"/>
                            </w:rPr>
                          </w:pPr>
                          <w:r>
                            <w:rPr>
                              <w:rFonts w:hint="eastAsia" w:hAnsi="宋体" w:cs="宋体"/>
                              <w:sz w:val="18"/>
                              <w:szCs w:val="22"/>
                              <w:lang w:val="zh-CN" w:eastAsia="zh-CN" w:bidi="zh-CN"/>
                            </w:rPr>
                            <w:t xml:space="preserve">第 </w:t>
                          </w:r>
                          <w:r>
                            <w:rPr>
                              <w:rFonts w:hint="eastAsia" w:hAnsi="宋体" w:cs="宋体"/>
                              <w:sz w:val="18"/>
                              <w:szCs w:val="22"/>
                              <w:lang w:val="zh-CN" w:eastAsia="zh-CN" w:bidi="zh-CN"/>
                            </w:rPr>
                            <w:fldChar w:fldCharType="begin"/>
                          </w:r>
                          <w:r>
                            <w:rPr>
                              <w:rFonts w:hint="eastAsia" w:hAnsi="宋体" w:cs="宋体"/>
                              <w:sz w:val="18"/>
                              <w:szCs w:val="22"/>
                              <w:lang w:val="zh-CN" w:eastAsia="zh-CN" w:bidi="zh-CN"/>
                            </w:rPr>
                            <w:instrText xml:space="preserve"> PAGE  \* MERGEFORMAT </w:instrText>
                          </w:r>
                          <w:r>
                            <w:rPr>
                              <w:rFonts w:hint="eastAsia" w:hAnsi="宋体" w:cs="宋体"/>
                              <w:sz w:val="18"/>
                              <w:szCs w:val="22"/>
                              <w:lang w:val="zh-CN" w:eastAsia="zh-CN" w:bidi="zh-CN"/>
                            </w:rPr>
                            <w:fldChar w:fldCharType="separate"/>
                          </w:r>
                          <w:r>
                            <w:rPr>
                              <w:rFonts w:hint="eastAsia" w:hAnsi="宋体" w:cs="宋体"/>
                              <w:sz w:val="18"/>
                              <w:szCs w:val="22"/>
                              <w:lang w:val="zh-CN" w:eastAsia="zh-CN" w:bidi="zh-CN"/>
                            </w:rPr>
                            <w:t>41</w:t>
                          </w:r>
                          <w:r>
                            <w:rPr>
                              <w:rFonts w:hint="eastAsia" w:hAnsi="宋体" w:cs="宋体"/>
                              <w:sz w:val="18"/>
                              <w:szCs w:val="22"/>
                              <w:lang w:val="zh-CN" w:eastAsia="zh-CN" w:bidi="zh-CN"/>
                            </w:rPr>
                            <w:fldChar w:fldCharType="end"/>
                          </w:r>
                          <w:r>
                            <w:rPr>
                              <w:rFonts w:hint="eastAsia" w:hAnsi="宋体" w:cs="宋体"/>
                              <w:sz w:val="18"/>
                              <w:szCs w:val="22"/>
                              <w:lang w:val="zh-CN" w:eastAsia="zh-CN" w:bidi="zh-CN"/>
                            </w:rPr>
                            <w:t xml:space="preserve"> 页 共 </w:t>
                          </w:r>
                          <w:r>
                            <w:rPr>
                              <w:rFonts w:hint="eastAsia" w:hAnsi="宋体" w:cs="宋体"/>
                              <w:sz w:val="18"/>
                              <w:szCs w:val="22"/>
                              <w:lang w:val="zh-CN" w:eastAsia="zh-CN" w:bidi="zh-CN"/>
                            </w:rPr>
                            <w:fldChar w:fldCharType="begin"/>
                          </w:r>
                          <w:r>
                            <w:rPr>
                              <w:rFonts w:hint="eastAsia" w:hAnsi="宋体" w:cs="宋体"/>
                              <w:sz w:val="18"/>
                              <w:szCs w:val="22"/>
                              <w:lang w:val="zh-CN" w:eastAsia="zh-CN" w:bidi="zh-CN"/>
                            </w:rPr>
                            <w:instrText xml:space="preserve"> NUMPAGES  \* MERGEFORMAT </w:instrText>
                          </w:r>
                          <w:r>
                            <w:rPr>
                              <w:rFonts w:hint="eastAsia" w:hAnsi="宋体" w:cs="宋体"/>
                              <w:sz w:val="18"/>
                              <w:szCs w:val="22"/>
                              <w:lang w:val="zh-CN" w:eastAsia="zh-CN" w:bidi="zh-CN"/>
                            </w:rPr>
                            <w:fldChar w:fldCharType="separate"/>
                          </w:r>
                          <w:r>
                            <w:rPr>
                              <w:rFonts w:hint="eastAsia" w:hAnsi="宋体" w:cs="宋体"/>
                              <w:sz w:val="18"/>
                              <w:szCs w:val="22"/>
                              <w:lang w:val="zh-CN" w:eastAsia="zh-CN" w:bidi="zh-CN"/>
                            </w:rPr>
                            <w:t>83</w:t>
                          </w:r>
                          <w:r>
                            <w:rPr>
                              <w:rFonts w:hint="eastAsia" w:hAnsi="宋体" w:cs="宋体"/>
                              <w:sz w:val="18"/>
                              <w:szCs w:val="22"/>
                              <w:lang w:val="zh-CN" w:eastAsia="zh-CN" w:bidi="zh-CN"/>
                            </w:rPr>
                            <w:fldChar w:fldCharType="end"/>
                          </w:r>
                          <w:r>
                            <w:rPr>
                              <w:rFonts w:hint="eastAsia" w:hAnsi="宋体" w:cs="宋体"/>
                              <w:sz w:val="18"/>
                              <w:szCs w:val="22"/>
                              <w:lang w:val="zh-CN" w:eastAsia="zh-CN" w:bidi="zh-CN"/>
                            </w:rPr>
                            <w:t xml:space="preserve"> 页</w:t>
                          </w:r>
                        </w:p>
                      </w:txbxContent>
                    </wps:txbx>
                    <wps:bodyPr lIns="0" tIns="0" rIns="0" bIns="0" upright="1"/>
                  </wps:wsp>
                </a:graphicData>
              </a:graphic>
            </wp:anchor>
          </w:drawing>
        </mc:Choice>
        <mc:Fallback>
          <w:pict>
            <v:shape id="文本框 3" o:spid="_x0000_s1026" o:spt="202" type="#_x0000_t202" style="position:absolute;left:0pt;margin-top:0pt;height:12pt;width:78.45pt;mso-position-horizontal:center;mso-position-horizontal-relative:margin;z-index:251665408;mso-width-relative:page;mso-height-relative:page;" filled="f" stroked="f" coordsize="21600,21600" o:gfxdata="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ZqEYdQAAAAEAQAADwAAAAAAAAABACAAAAAiAAAAZHJzL2Rvd25yZXYueG1sUEsBAhQAFAAA&#10;AAgAh07iQPJo5i66AQAAcQMAAA4AAAAAAAAAAQAgAAAAIwEAAGRycy9lMm9Eb2MueG1sUEsFBgAA&#10;AAAGAAYAWQEAAE8FAAAAAA==&#10;">
              <v:fill on="f" focussize="0,0"/>
              <v:stroke on="f"/>
              <v:imagedata o:title=""/>
              <o:lock v:ext="edit" aspectratio="f"/>
              <v:textbox inset="0mm,0mm,0mm,0mm">
                <w:txbxContent>
                  <w:p>
                    <w:pPr>
                      <w:adjustRightInd/>
                      <w:spacing w:before="2" w:after="0" w:line="240" w:lineRule="auto"/>
                      <w:ind w:left="20" w:right="0" w:firstLine="0"/>
                      <w:jc w:val="left"/>
                      <w:rPr>
                        <w:rFonts w:hint="eastAsia" w:ascii="宋体" w:hAnsi="宋体" w:eastAsia="宋体" w:cs="宋体"/>
                        <w:sz w:val="18"/>
                        <w:szCs w:val="22"/>
                        <w:lang w:val="zh-CN" w:eastAsia="zh-CN" w:bidi="zh-CN"/>
                      </w:rPr>
                    </w:pPr>
                    <w:r>
                      <w:rPr>
                        <w:rFonts w:hint="eastAsia" w:hAnsi="宋体" w:cs="宋体"/>
                        <w:sz w:val="18"/>
                        <w:szCs w:val="22"/>
                        <w:lang w:val="zh-CN" w:eastAsia="zh-CN" w:bidi="zh-CN"/>
                      </w:rPr>
                      <w:t xml:space="preserve">第 </w:t>
                    </w:r>
                    <w:r>
                      <w:rPr>
                        <w:rFonts w:hint="eastAsia" w:hAnsi="宋体" w:cs="宋体"/>
                        <w:sz w:val="18"/>
                        <w:szCs w:val="22"/>
                        <w:lang w:val="zh-CN" w:eastAsia="zh-CN" w:bidi="zh-CN"/>
                      </w:rPr>
                      <w:fldChar w:fldCharType="begin"/>
                    </w:r>
                    <w:r>
                      <w:rPr>
                        <w:rFonts w:hint="eastAsia" w:hAnsi="宋体" w:cs="宋体"/>
                        <w:sz w:val="18"/>
                        <w:szCs w:val="22"/>
                        <w:lang w:val="zh-CN" w:eastAsia="zh-CN" w:bidi="zh-CN"/>
                      </w:rPr>
                      <w:instrText xml:space="preserve"> PAGE  \* MERGEFORMAT </w:instrText>
                    </w:r>
                    <w:r>
                      <w:rPr>
                        <w:rFonts w:hint="eastAsia" w:hAnsi="宋体" w:cs="宋体"/>
                        <w:sz w:val="18"/>
                        <w:szCs w:val="22"/>
                        <w:lang w:val="zh-CN" w:eastAsia="zh-CN" w:bidi="zh-CN"/>
                      </w:rPr>
                      <w:fldChar w:fldCharType="separate"/>
                    </w:r>
                    <w:r>
                      <w:rPr>
                        <w:rFonts w:hint="eastAsia" w:hAnsi="宋体" w:cs="宋体"/>
                        <w:sz w:val="18"/>
                        <w:szCs w:val="22"/>
                        <w:lang w:val="zh-CN" w:eastAsia="zh-CN" w:bidi="zh-CN"/>
                      </w:rPr>
                      <w:t>41</w:t>
                    </w:r>
                    <w:r>
                      <w:rPr>
                        <w:rFonts w:hint="eastAsia" w:hAnsi="宋体" w:cs="宋体"/>
                        <w:sz w:val="18"/>
                        <w:szCs w:val="22"/>
                        <w:lang w:val="zh-CN" w:eastAsia="zh-CN" w:bidi="zh-CN"/>
                      </w:rPr>
                      <w:fldChar w:fldCharType="end"/>
                    </w:r>
                    <w:r>
                      <w:rPr>
                        <w:rFonts w:hint="eastAsia" w:hAnsi="宋体" w:cs="宋体"/>
                        <w:sz w:val="18"/>
                        <w:szCs w:val="22"/>
                        <w:lang w:val="zh-CN" w:eastAsia="zh-CN" w:bidi="zh-CN"/>
                      </w:rPr>
                      <w:t xml:space="preserve"> 页 共 </w:t>
                    </w:r>
                    <w:r>
                      <w:rPr>
                        <w:rFonts w:hint="eastAsia" w:hAnsi="宋体" w:cs="宋体"/>
                        <w:sz w:val="18"/>
                        <w:szCs w:val="22"/>
                        <w:lang w:val="zh-CN" w:eastAsia="zh-CN" w:bidi="zh-CN"/>
                      </w:rPr>
                      <w:fldChar w:fldCharType="begin"/>
                    </w:r>
                    <w:r>
                      <w:rPr>
                        <w:rFonts w:hint="eastAsia" w:hAnsi="宋体" w:cs="宋体"/>
                        <w:sz w:val="18"/>
                        <w:szCs w:val="22"/>
                        <w:lang w:val="zh-CN" w:eastAsia="zh-CN" w:bidi="zh-CN"/>
                      </w:rPr>
                      <w:instrText xml:space="preserve"> NUMPAGES  \* MERGEFORMAT </w:instrText>
                    </w:r>
                    <w:r>
                      <w:rPr>
                        <w:rFonts w:hint="eastAsia" w:hAnsi="宋体" w:cs="宋体"/>
                        <w:sz w:val="18"/>
                        <w:szCs w:val="22"/>
                        <w:lang w:val="zh-CN" w:eastAsia="zh-CN" w:bidi="zh-CN"/>
                      </w:rPr>
                      <w:fldChar w:fldCharType="separate"/>
                    </w:r>
                    <w:r>
                      <w:rPr>
                        <w:rFonts w:hint="eastAsia" w:hAnsi="宋体" w:cs="宋体"/>
                        <w:sz w:val="18"/>
                        <w:szCs w:val="22"/>
                        <w:lang w:val="zh-CN" w:eastAsia="zh-CN" w:bidi="zh-CN"/>
                      </w:rPr>
                      <w:t>83</w:t>
                    </w:r>
                    <w:r>
                      <w:rPr>
                        <w:rFonts w:hint="eastAsia" w:hAnsi="宋体" w:cs="宋体"/>
                        <w:sz w:val="18"/>
                        <w:szCs w:val="22"/>
                        <w:lang w:val="zh-CN" w:eastAsia="zh-CN" w:bidi="zh-CN"/>
                      </w:rPr>
                      <w:fldChar w:fldCharType="end"/>
                    </w:r>
                    <w:r>
                      <w:rPr>
                        <w:rFonts w:hint="eastAsia" w:hAnsi="宋体" w:cs="宋体"/>
                        <w:sz w:val="18"/>
                        <w:szCs w:val="22"/>
                        <w:lang w:val="zh-CN" w:eastAsia="zh-CN" w:bidi="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before="0" w:after="0" w:line="14" w:lineRule="auto"/>
      <w:ind w:left="0" w:right="0"/>
      <w:jc w:val="left"/>
      <w:rPr>
        <w:rFonts w:ascii="宋体" w:hAnsi="宋体" w:eastAsia="宋体" w:cs="宋体"/>
        <w:sz w:val="12"/>
        <w:szCs w:val="21"/>
        <w:lang w:val="zh-CN" w:eastAsia="zh-CN" w:bidi="zh-CN"/>
      </w:rPr>
    </w:pPr>
    <w:r>
      <w:rPr>
        <w:rFonts w:ascii="宋体" w:hAnsi="宋体" w:eastAsia="宋体" w:cs="宋体"/>
        <w:sz w:val="21"/>
        <w:szCs w:val="21"/>
        <w:lang w:val="zh-CN" w:eastAsia="zh-CN" w:bidi="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996315" cy="152400"/>
              <wp:effectExtent l="0" t="0" r="0" b="0"/>
              <wp:wrapNone/>
              <wp:docPr id="10" name="文本框 4"/>
              <wp:cNvGraphicFramePr/>
              <a:graphic xmlns:a="http://schemas.openxmlformats.org/drawingml/2006/main">
                <a:graphicData uri="http://schemas.microsoft.com/office/word/2010/wordprocessingShape">
                  <wps:wsp>
                    <wps:cNvSpPr txBox="1"/>
                    <wps:spPr>
                      <a:xfrm>
                        <a:off x="0" y="0"/>
                        <a:ext cx="996315" cy="152400"/>
                      </a:xfrm>
                      <a:prstGeom prst="rect">
                        <a:avLst/>
                      </a:prstGeom>
                      <a:noFill/>
                      <a:ln>
                        <a:noFill/>
                      </a:ln>
                    </wps:spPr>
                    <wps:txbx>
                      <w:txbxContent>
                        <w:p>
                          <w:pPr>
                            <w:adjustRightInd/>
                            <w:spacing w:before="2" w:after="0" w:line="240" w:lineRule="auto"/>
                            <w:ind w:left="20" w:right="0" w:firstLine="0"/>
                            <w:jc w:val="left"/>
                            <w:rPr>
                              <w:rFonts w:hint="eastAsia" w:ascii="宋体" w:hAnsi="宋体" w:eastAsia="宋体" w:cs="宋体"/>
                              <w:sz w:val="18"/>
                              <w:szCs w:val="22"/>
                              <w:lang w:val="zh-CN" w:eastAsia="zh-CN" w:bidi="zh-CN"/>
                            </w:rPr>
                          </w:pPr>
                          <w:r>
                            <w:rPr>
                              <w:rFonts w:hint="eastAsia" w:hAnsi="宋体" w:cs="宋体"/>
                              <w:sz w:val="18"/>
                              <w:szCs w:val="22"/>
                              <w:lang w:val="zh-CN" w:eastAsia="zh-CN" w:bidi="zh-CN"/>
                            </w:rPr>
                            <w:t xml:space="preserve">第 </w:t>
                          </w:r>
                          <w:r>
                            <w:rPr>
                              <w:rFonts w:hint="eastAsia" w:hAnsi="宋体" w:cs="宋体"/>
                              <w:sz w:val="18"/>
                              <w:szCs w:val="22"/>
                              <w:lang w:val="zh-CN" w:eastAsia="zh-CN" w:bidi="zh-CN"/>
                            </w:rPr>
                            <w:fldChar w:fldCharType="begin"/>
                          </w:r>
                          <w:r>
                            <w:rPr>
                              <w:rFonts w:hint="eastAsia" w:hAnsi="宋体" w:cs="宋体"/>
                              <w:sz w:val="18"/>
                              <w:szCs w:val="22"/>
                              <w:lang w:val="zh-CN" w:eastAsia="zh-CN" w:bidi="zh-CN"/>
                            </w:rPr>
                            <w:instrText xml:space="preserve"> PAGE  \* MERGEFORMAT </w:instrText>
                          </w:r>
                          <w:r>
                            <w:rPr>
                              <w:rFonts w:hint="eastAsia" w:hAnsi="宋体" w:cs="宋体"/>
                              <w:sz w:val="18"/>
                              <w:szCs w:val="22"/>
                              <w:lang w:val="zh-CN" w:eastAsia="zh-CN" w:bidi="zh-CN"/>
                            </w:rPr>
                            <w:fldChar w:fldCharType="separate"/>
                          </w:r>
                          <w:r>
                            <w:rPr>
                              <w:rFonts w:hint="eastAsia" w:hAnsi="宋体" w:cs="宋体"/>
                              <w:sz w:val="18"/>
                              <w:szCs w:val="22"/>
                              <w:lang w:val="zh-CN" w:eastAsia="zh-CN" w:bidi="zh-CN"/>
                            </w:rPr>
                            <w:t>63</w:t>
                          </w:r>
                          <w:r>
                            <w:rPr>
                              <w:rFonts w:hint="eastAsia" w:hAnsi="宋体" w:cs="宋体"/>
                              <w:sz w:val="18"/>
                              <w:szCs w:val="22"/>
                              <w:lang w:val="zh-CN" w:eastAsia="zh-CN" w:bidi="zh-CN"/>
                            </w:rPr>
                            <w:fldChar w:fldCharType="end"/>
                          </w:r>
                          <w:r>
                            <w:rPr>
                              <w:rFonts w:hint="eastAsia" w:hAnsi="宋体" w:cs="宋体"/>
                              <w:sz w:val="18"/>
                              <w:szCs w:val="22"/>
                              <w:lang w:val="zh-CN" w:eastAsia="zh-CN" w:bidi="zh-CN"/>
                            </w:rPr>
                            <w:t xml:space="preserve"> 页 共 </w:t>
                          </w:r>
                          <w:r>
                            <w:rPr>
                              <w:rFonts w:hint="eastAsia" w:hAnsi="宋体" w:cs="宋体"/>
                              <w:sz w:val="18"/>
                              <w:szCs w:val="22"/>
                              <w:lang w:val="zh-CN" w:eastAsia="zh-CN" w:bidi="zh-CN"/>
                            </w:rPr>
                            <w:fldChar w:fldCharType="begin"/>
                          </w:r>
                          <w:r>
                            <w:rPr>
                              <w:rFonts w:hint="eastAsia" w:hAnsi="宋体" w:cs="宋体"/>
                              <w:sz w:val="18"/>
                              <w:szCs w:val="22"/>
                              <w:lang w:val="zh-CN" w:eastAsia="zh-CN" w:bidi="zh-CN"/>
                            </w:rPr>
                            <w:instrText xml:space="preserve"> NUMPAGES  \* MERGEFORMAT </w:instrText>
                          </w:r>
                          <w:r>
                            <w:rPr>
                              <w:rFonts w:hint="eastAsia" w:hAnsi="宋体" w:cs="宋体"/>
                              <w:sz w:val="18"/>
                              <w:szCs w:val="22"/>
                              <w:lang w:val="zh-CN" w:eastAsia="zh-CN" w:bidi="zh-CN"/>
                            </w:rPr>
                            <w:fldChar w:fldCharType="separate"/>
                          </w:r>
                          <w:r>
                            <w:rPr>
                              <w:rFonts w:hint="eastAsia" w:hAnsi="宋体" w:cs="宋体"/>
                              <w:sz w:val="18"/>
                              <w:szCs w:val="22"/>
                              <w:lang w:val="zh-CN" w:eastAsia="zh-CN" w:bidi="zh-CN"/>
                            </w:rPr>
                            <w:t>83</w:t>
                          </w:r>
                          <w:r>
                            <w:rPr>
                              <w:rFonts w:hint="eastAsia" w:hAnsi="宋体" w:cs="宋体"/>
                              <w:sz w:val="18"/>
                              <w:szCs w:val="22"/>
                              <w:lang w:val="zh-CN" w:eastAsia="zh-CN" w:bidi="zh-CN"/>
                            </w:rPr>
                            <w:fldChar w:fldCharType="end"/>
                          </w:r>
                          <w:r>
                            <w:rPr>
                              <w:rFonts w:hint="eastAsia" w:hAnsi="宋体" w:cs="宋体"/>
                              <w:sz w:val="18"/>
                              <w:szCs w:val="22"/>
                              <w:lang w:val="zh-CN" w:eastAsia="zh-CN" w:bidi="zh-CN"/>
                            </w:rPr>
                            <w:t xml:space="preserve"> 页</w:t>
                          </w:r>
                        </w:p>
                      </w:txbxContent>
                    </wps:txbx>
                    <wps:bodyPr lIns="0" tIns="0" rIns="0" bIns="0" upright="1"/>
                  </wps:wsp>
                </a:graphicData>
              </a:graphic>
            </wp:anchor>
          </w:drawing>
        </mc:Choice>
        <mc:Fallback>
          <w:pict>
            <v:shape id="文本框 4" o:spid="_x0000_s1026" o:spt="202" type="#_x0000_t202" style="position:absolute;left:0pt;margin-top:0pt;height:12pt;width:78.45pt;mso-position-horizontal:center;mso-position-horizontal-relative:margin;z-index:251666432;mso-width-relative:page;mso-height-relative:page;" filled="f" stroked="f" coordsize="21600,21600" o:gfxdata="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ZqEYdQAAAAEAQAADwAAAAAAAAABACAAAAAiAAAAZHJzL2Rvd25yZXYueG1sUEsBAhQAFAAA&#10;AAgAh07iQJQsHae6AQAAcgMAAA4AAAAAAAAAAQAgAAAAIwEAAGRycy9lMm9Eb2MueG1sUEsFBgAA&#10;AAAGAAYAWQEAAE8FAAAAAA==&#10;">
              <v:fill on="f" focussize="0,0"/>
              <v:stroke on="f"/>
              <v:imagedata o:title=""/>
              <o:lock v:ext="edit" aspectratio="f"/>
              <v:textbox inset="0mm,0mm,0mm,0mm">
                <w:txbxContent>
                  <w:p>
                    <w:pPr>
                      <w:adjustRightInd/>
                      <w:spacing w:before="2" w:after="0" w:line="240" w:lineRule="auto"/>
                      <w:ind w:left="20" w:right="0" w:firstLine="0"/>
                      <w:jc w:val="left"/>
                      <w:rPr>
                        <w:rFonts w:hint="eastAsia" w:ascii="宋体" w:hAnsi="宋体" w:eastAsia="宋体" w:cs="宋体"/>
                        <w:sz w:val="18"/>
                        <w:szCs w:val="22"/>
                        <w:lang w:val="zh-CN" w:eastAsia="zh-CN" w:bidi="zh-CN"/>
                      </w:rPr>
                    </w:pPr>
                    <w:r>
                      <w:rPr>
                        <w:rFonts w:hint="eastAsia" w:hAnsi="宋体" w:cs="宋体"/>
                        <w:sz w:val="18"/>
                        <w:szCs w:val="22"/>
                        <w:lang w:val="zh-CN" w:eastAsia="zh-CN" w:bidi="zh-CN"/>
                      </w:rPr>
                      <w:t xml:space="preserve">第 </w:t>
                    </w:r>
                    <w:r>
                      <w:rPr>
                        <w:rFonts w:hint="eastAsia" w:hAnsi="宋体" w:cs="宋体"/>
                        <w:sz w:val="18"/>
                        <w:szCs w:val="22"/>
                        <w:lang w:val="zh-CN" w:eastAsia="zh-CN" w:bidi="zh-CN"/>
                      </w:rPr>
                      <w:fldChar w:fldCharType="begin"/>
                    </w:r>
                    <w:r>
                      <w:rPr>
                        <w:rFonts w:hint="eastAsia" w:hAnsi="宋体" w:cs="宋体"/>
                        <w:sz w:val="18"/>
                        <w:szCs w:val="22"/>
                        <w:lang w:val="zh-CN" w:eastAsia="zh-CN" w:bidi="zh-CN"/>
                      </w:rPr>
                      <w:instrText xml:space="preserve"> PAGE  \* MERGEFORMAT </w:instrText>
                    </w:r>
                    <w:r>
                      <w:rPr>
                        <w:rFonts w:hint="eastAsia" w:hAnsi="宋体" w:cs="宋体"/>
                        <w:sz w:val="18"/>
                        <w:szCs w:val="22"/>
                        <w:lang w:val="zh-CN" w:eastAsia="zh-CN" w:bidi="zh-CN"/>
                      </w:rPr>
                      <w:fldChar w:fldCharType="separate"/>
                    </w:r>
                    <w:r>
                      <w:rPr>
                        <w:rFonts w:hint="eastAsia" w:hAnsi="宋体" w:cs="宋体"/>
                        <w:sz w:val="18"/>
                        <w:szCs w:val="22"/>
                        <w:lang w:val="zh-CN" w:eastAsia="zh-CN" w:bidi="zh-CN"/>
                      </w:rPr>
                      <w:t>63</w:t>
                    </w:r>
                    <w:r>
                      <w:rPr>
                        <w:rFonts w:hint="eastAsia" w:hAnsi="宋体" w:cs="宋体"/>
                        <w:sz w:val="18"/>
                        <w:szCs w:val="22"/>
                        <w:lang w:val="zh-CN" w:eastAsia="zh-CN" w:bidi="zh-CN"/>
                      </w:rPr>
                      <w:fldChar w:fldCharType="end"/>
                    </w:r>
                    <w:r>
                      <w:rPr>
                        <w:rFonts w:hint="eastAsia" w:hAnsi="宋体" w:cs="宋体"/>
                        <w:sz w:val="18"/>
                        <w:szCs w:val="22"/>
                        <w:lang w:val="zh-CN" w:eastAsia="zh-CN" w:bidi="zh-CN"/>
                      </w:rPr>
                      <w:t xml:space="preserve"> 页 共 </w:t>
                    </w:r>
                    <w:r>
                      <w:rPr>
                        <w:rFonts w:hint="eastAsia" w:hAnsi="宋体" w:cs="宋体"/>
                        <w:sz w:val="18"/>
                        <w:szCs w:val="22"/>
                        <w:lang w:val="zh-CN" w:eastAsia="zh-CN" w:bidi="zh-CN"/>
                      </w:rPr>
                      <w:fldChar w:fldCharType="begin"/>
                    </w:r>
                    <w:r>
                      <w:rPr>
                        <w:rFonts w:hint="eastAsia" w:hAnsi="宋体" w:cs="宋体"/>
                        <w:sz w:val="18"/>
                        <w:szCs w:val="22"/>
                        <w:lang w:val="zh-CN" w:eastAsia="zh-CN" w:bidi="zh-CN"/>
                      </w:rPr>
                      <w:instrText xml:space="preserve"> NUMPAGES  \* MERGEFORMAT </w:instrText>
                    </w:r>
                    <w:r>
                      <w:rPr>
                        <w:rFonts w:hint="eastAsia" w:hAnsi="宋体" w:cs="宋体"/>
                        <w:sz w:val="18"/>
                        <w:szCs w:val="22"/>
                        <w:lang w:val="zh-CN" w:eastAsia="zh-CN" w:bidi="zh-CN"/>
                      </w:rPr>
                      <w:fldChar w:fldCharType="separate"/>
                    </w:r>
                    <w:r>
                      <w:rPr>
                        <w:rFonts w:hint="eastAsia" w:hAnsi="宋体" w:cs="宋体"/>
                        <w:sz w:val="18"/>
                        <w:szCs w:val="22"/>
                        <w:lang w:val="zh-CN" w:eastAsia="zh-CN" w:bidi="zh-CN"/>
                      </w:rPr>
                      <w:t>83</w:t>
                    </w:r>
                    <w:r>
                      <w:rPr>
                        <w:rFonts w:hint="eastAsia" w:hAnsi="宋体" w:cs="宋体"/>
                        <w:sz w:val="18"/>
                        <w:szCs w:val="22"/>
                        <w:lang w:val="zh-CN" w:eastAsia="zh-CN" w:bidi="zh-CN"/>
                      </w:rPr>
                      <w:fldChar w:fldCharType="end"/>
                    </w:r>
                    <w:r>
                      <w:rPr>
                        <w:rFonts w:hint="eastAsia" w:hAnsi="宋体" w:cs="宋体"/>
                        <w:sz w:val="18"/>
                        <w:szCs w:val="22"/>
                        <w:lang w:val="zh-CN" w:eastAsia="zh-CN" w:bidi="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4"/>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TtW31AAAAAIBAAAPAAAAAAAAAAEAIAAAACIA&#10;AABkcnMvZG93bnJldi54bWxQSwECFAAUAAAACACHTuJAElaCJtQBAACiAwAADgAAAAAAAAABACAA&#10;AAAjAQAAZHJzL2Uyb0RvYy54bWxQSwUGAAAAAAYABgBZAQAAaQUAAAAA&#10;">
              <v:fill on="f" focussize="0,0"/>
              <v:stroke on="f" weight="1.25pt"/>
              <v:imagedata o:title=""/>
              <o:lock v:ext="edit" aspectratio="f"/>
              <v:textbox inset="0mm,0mm,0mm,0mm" style="mso-fit-shape-to-text:t;">
                <w:txbxContent>
                  <w:p>
                    <w:pPr>
                      <w:pStyle w:val="34"/>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6"/>
      </w:rPr>
    </w:pPr>
    <w:r>
      <w:fldChar w:fldCharType="begin"/>
    </w:r>
    <w:r>
      <w:rPr>
        <w:rStyle w:val="56"/>
      </w:rPr>
      <w:instrText xml:space="preserve">PAGE  </w:instrText>
    </w:r>
    <w:r>
      <w:fldChar w:fldCharType="end"/>
    </w:r>
  </w:p>
  <w:p>
    <w:pPr>
      <w:pStyle w:val="34"/>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wordWrap w:val="0"/>
      <w:jc w:val="right"/>
      <w:rPr>
        <w:bCs/>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7456" behindDoc="1" locked="0" layoutInCell="1" allowOverlap="1">
          <wp:simplePos x="0" y="0"/>
          <wp:positionH relativeFrom="column">
            <wp:posOffset>3376930</wp:posOffset>
          </wp:positionH>
          <wp:positionV relativeFrom="paragraph">
            <wp:posOffset>-276225</wp:posOffset>
          </wp:positionV>
          <wp:extent cx="434340" cy="434340"/>
          <wp:effectExtent l="0" t="0" r="3810" b="3810"/>
          <wp:wrapNone/>
          <wp:docPr id="9"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公司logo"/>
                  <pic:cNvPicPr>
                    <a:picLocks noChangeAspect="1"/>
                  </pic:cNvPicPr>
                </pic:nvPicPr>
                <pic:blipFill>
                  <a:blip r:embed="rId1"/>
                  <a:stretch>
                    <a:fillRect/>
                  </a:stretch>
                </pic:blipFill>
                <pic:spPr>
                  <a:xfrm>
                    <a:off x="0" y="0"/>
                    <a:ext cx="434340" cy="434340"/>
                  </a:xfrm>
                  <a:prstGeom prst="rect">
                    <a:avLst/>
                  </a:prstGeom>
                  <a:noFill/>
                  <a:ln>
                    <a:noFill/>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0288"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455D2"/>
    <w:multiLevelType w:val="singleLevel"/>
    <w:tmpl w:val="808455D2"/>
    <w:lvl w:ilvl="0" w:tentative="0">
      <w:start w:val="1"/>
      <w:numFmt w:val="decimal"/>
      <w:lvlText w:val="%1."/>
      <w:lvlJc w:val="left"/>
      <w:pPr>
        <w:tabs>
          <w:tab w:val="left" w:pos="312"/>
        </w:tabs>
      </w:pPr>
    </w:lvl>
  </w:abstractNum>
  <w:abstractNum w:abstractNumId="1">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2">
    <w:nsid w:val="94508614"/>
    <w:multiLevelType w:val="multilevel"/>
    <w:tmpl w:val="94508614"/>
    <w:lvl w:ilvl="0" w:tentative="0">
      <w:start w:val="2"/>
      <w:numFmt w:val="decimal"/>
      <w:lvlText w:val="%1"/>
      <w:lvlJc w:val="left"/>
      <w:pPr>
        <w:ind w:left="1580" w:hanging="368"/>
        <w:jc w:val="left"/>
      </w:pPr>
      <w:rPr>
        <w:rFonts w:hint="default"/>
        <w:lang w:val="zh-CN" w:eastAsia="zh-CN" w:bidi="zh-CN"/>
      </w:rPr>
    </w:lvl>
    <w:lvl w:ilvl="1" w:tentative="0">
      <w:start w:val="1"/>
      <w:numFmt w:val="decimal"/>
      <w:suff w:val="nothing"/>
      <w:lvlText w:val="%1.%2"/>
      <w:lvlJc w:val="left"/>
      <w:pPr>
        <w:ind w:left="1580" w:hanging="368"/>
        <w:jc w:val="left"/>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3601" w:hanging="368"/>
      </w:pPr>
      <w:rPr>
        <w:rFonts w:hint="default"/>
        <w:lang w:val="zh-CN" w:eastAsia="zh-CN" w:bidi="zh-CN"/>
      </w:rPr>
    </w:lvl>
    <w:lvl w:ilvl="3" w:tentative="0">
      <w:start w:val="0"/>
      <w:numFmt w:val="bullet"/>
      <w:lvlText w:val="•"/>
      <w:lvlJc w:val="left"/>
      <w:pPr>
        <w:ind w:left="4611" w:hanging="368"/>
      </w:pPr>
      <w:rPr>
        <w:rFonts w:hint="default"/>
        <w:lang w:val="zh-CN" w:eastAsia="zh-CN" w:bidi="zh-CN"/>
      </w:rPr>
    </w:lvl>
    <w:lvl w:ilvl="4" w:tentative="0">
      <w:start w:val="0"/>
      <w:numFmt w:val="bullet"/>
      <w:lvlText w:val="•"/>
      <w:lvlJc w:val="left"/>
      <w:pPr>
        <w:ind w:left="5622" w:hanging="368"/>
      </w:pPr>
      <w:rPr>
        <w:rFonts w:hint="default"/>
        <w:lang w:val="zh-CN" w:eastAsia="zh-CN" w:bidi="zh-CN"/>
      </w:rPr>
    </w:lvl>
    <w:lvl w:ilvl="5" w:tentative="0">
      <w:start w:val="0"/>
      <w:numFmt w:val="bullet"/>
      <w:lvlText w:val="•"/>
      <w:lvlJc w:val="left"/>
      <w:pPr>
        <w:ind w:left="6633" w:hanging="368"/>
      </w:pPr>
      <w:rPr>
        <w:rFonts w:hint="default"/>
        <w:lang w:val="zh-CN" w:eastAsia="zh-CN" w:bidi="zh-CN"/>
      </w:rPr>
    </w:lvl>
    <w:lvl w:ilvl="6" w:tentative="0">
      <w:start w:val="0"/>
      <w:numFmt w:val="bullet"/>
      <w:lvlText w:val="•"/>
      <w:lvlJc w:val="left"/>
      <w:pPr>
        <w:ind w:left="7643" w:hanging="368"/>
      </w:pPr>
      <w:rPr>
        <w:rFonts w:hint="default"/>
        <w:lang w:val="zh-CN" w:eastAsia="zh-CN" w:bidi="zh-CN"/>
      </w:rPr>
    </w:lvl>
    <w:lvl w:ilvl="7" w:tentative="0">
      <w:start w:val="0"/>
      <w:numFmt w:val="bullet"/>
      <w:lvlText w:val="•"/>
      <w:lvlJc w:val="left"/>
      <w:pPr>
        <w:ind w:left="8654" w:hanging="368"/>
      </w:pPr>
      <w:rPr>
        <w:rFonts w:hint="default"/>
        <w:lang w:val="zh-CN" w:eastAsia="zh-CN" w:bidi="zh-CN"/>
      </w:rPr>
    </w:lvl>
    <w:lvl w:ilvl="8" w:tentative="0">
      <w:start w:val="0"/>
      <w:numFmt w:val="bullet"/>
      <w:lvlText w:val="•"/>
      <w:lvlJc w:val="left"/>
      <w:pPr>
        <w:ind w:left="9664" w:hanging="368"/>
      </w:pPr>
      <w:rPr>
        <w:rFonts w:hint="default"/>
        <w:lang w:val="zh-CN" w:eastAsia="zh-CN" w:bidi="zh-CN"/>
      </w:rPr>
    </w:lvl>
  </w:abstractNum>
  <w:abstractNum w:abstractNumId="3">
    <w:nsid w:val="9AFE14CE"/>
    <w:multiLevelType w:val="singleLevel"/>
    <w:tmpl w:val="9AFE14CE"/>
    <w:lvl w:ilvl="0" w:tentative="0">
      <w:start w:val="1"/>
      <w:numFmt w:val="decimal"/>
      <w:lvlText w:val="%1."/>
      <w:lvlJc w:val="left"/>
      <w:pPr>
        <w:tabs>
          <w:tab w:val="left" w:pos="312"/>
        </w:tabs>
      </w:pPr>
    </w:lvl>
  </w:abstractNum>
  <w:abstractNum w:abstractNumId="4">
    <w:nsid w:val="A15A8192"/>
    <w:multiLevelType w:val="singleLevel"/>
    <w:tmpl w:val="A15A8192"/>
    <w:lvl w:ilvl="0" w:tentative="0">
      <w:start w:val="1"/>
      <w:numFmt w:val="decimal"/>
      <w:lvlText w:val="%1."/>
      <w:lvlJc w:val="left"/>
      <w:pPr>
        <w:tabs>
          <w:tab w:val="left" w:pos="312"/>
        </w:tabs>
      </w:pPr>
    </w:lvl>
  </w:abstractNum>
  <w:abstractNum w:abstractNumId="5">
    <w:nsid w:val="AEBD6686"/>
    <w:multiLevelType w:val="multilevel"/>
    <w:tmpl w:val="AEBD6686"/>
    <w:lvl w:ilvl="0" w:tentative="0">
      <w:start w:val="3"/>
      <w:numFmt w:val="decimal"/>
      <w:suff w:val="nothing"/>
      <w:lvlText w:val="%1."/>
      <w:lvlJc w:val="left"/>
      <w:pPr>
        <w:ind w:left="2480" w:hanging="420"/>
        <w:jc w:val="left"/>
      </w:pPr>
      <w:rPr>
        <w:rFonts w:hint="default"/>
        <w:spacing w:val="0"/>
        <w:w w:val="99"/>
        <w:lang w:val="zh-CN" w:eastAsia="zh-CN" w:bidi="zh-CN"/>
      </w:rPr>
    </w:lvl>
    <w:lvl w:ilvl="1" w:tentative="0">
      <w:start w:val="1"/>
      <w:numFmt w:val="decimal"/>
      <w:suff w:val="nothing"/>
      <w:lvlText w:val="%1.%2"/>
      <w:lvlJc w:val="left"/>
      <w:pPr>
        <w:ind w:left="1580" w:hanging="476"/>
        <w:jc w:val="left"/>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3502" w:hanging="476"/>
      </w:pPr>
      <w:rPr>
        <w:rFonts w:hint="default"/>
        <w:lang w:val="zh-CN" w:eastAsia="zh-CN" w:bidi="zh-CN"/>
      </w:rPr>
    </w:lvl>
    <w:lvl w:ilvl="3" w:tentative="0">
      <w:start w:val="0"/>
      <w:numFmt w:val="bullet"/>
      <w:lvlText w:val="•"/>
      <w:lvlJc w:val="left"/>
      <w:pPr>
        <w:ind w:left="4525" w:hanging="476"/>
      </w:pPr>
      <w:rPr>
        <w:rFonts w:hint="default"/>
        <w:lang w:val="zh-CN" w:eastAsia="zh-CN" w:bidi="zh-CN"/>
      </w:rPr>
    </w:lvl>
    <w:lvl w:ilvl="4" w:tentative="0">
      <w:start w:val="0"/>
      <w:numFmt w:val="bullet"/>
      <w:lvlText w:val="•"/>
      <w:lvlJc w:val="left"/>
      <w:pPr>
        <w:ind w:left="5548" w:hanging="476"/>
      </w:pPr>
      <w:rPr>
        <w:rFonts w:hint="default"/>
        <w:lang w:val="zh-CN" w:eastAsia="zh-CN" w:bidi="zh-CN"/>
      </w:rPr>
    </w:lvl>
    <w:lvl w:ilvl="5" w:tentative="0">
      <w:start w:val="0"/>
      <w:numFmt w:val="bullet"/>
      <w:lvlText w:val="•"/>
      <w:lvlJc w:val="left"/>
      <w:pPr>
        <w:ind w:left="6571" w:hanging="476"/>
      </w:pPr>
      <w:rPr>
        <w:rFonts w:hint="default"/>
        <w:lang w:val="zh-CN" w:eastAsia="zh-CN" w:bidi="zh-CN"/>
      </w:rPr>
    </w:lvl>
    <w:lvl w:ilvl="6" w:tentative="0">
      <w:start w:val="0"/>
      <w:numFmt w:val="bullet"/>
      <w:lvlText w:val="•"/>
      <w:lvlJc w:val="left"/>
      <w:pPr>
        <w:ind w:left="7594" w:hanging="476"/>
      </w:pPr>
      <w:rPr>
        <w:rFonts w:hint="default"/>
        <w:lang w:val="zh-CN" w:eastAsia="zh-CN" w:bidi="zh-CN"/>
      </w:rPr>
    </w:lvl>
    <w:lvl w:ilvl="7" w:tentative="0">
      <w:start w:val="0"/>
      <w:numFmt w:val="bullet"/>
      <w:lvlText w:val="•"/>
      <w:lvlJc w:val="left"/>
      <w:pPr>
        <w:ind w:left="8617" w:hanging="476"/>
      </w:pPr>
      <w:rPr>
        <w:rFonts w:hint="default"/>
        <w:lang w:val="zh-CN" w:eastAsia="zh-CN" w:bidi="zh-CN"/>
      </w:rPr>
    </w:lvl>
    <w:lvl w:ilvl="8" w:tentative="0">
      <w:start w:val="0"/>
      <w:numFmt w:val="bullet"/>
      <w:lvlText w:val="•"/>
      <w:lvlJc w:val="left"/>
      <w:pPr>
        <w:ind w:left="9640" w:hanging="476"/>
      </w:pPr>
      <w:rPr>
        <w:rFonts w:hint="default"/>
        <w:lang w:val="zh-CN" w:eastAsia="zh-CN" w:bidi="zh-CN"/>
      </w:rPr>
    </w:lvl>
  </w:abstractNum>
  <w:abstractNum w:abstractNumId="6">
    <w:nsid w:val="BFA5F5F4"/>
    <w:multiLevelType w:val="singleLevel"/>
    <w:tmpl w:val="BFA5F5F4"/>
    <w:lvl w:ilvl="0" w:tentative="0">
      <w:start w:val="1"/>
      <w:numFmt w:val="decimal"/>
      <w:lvlText w:val="%1."/>
      <w:lvlJc w:val="left"/>
      <w:pPr>
        <w:tabs>
          <w:tab w:val="left" w:pos="312"/>
        </w:tabs>
      </w:pPr>
    </w:lvl>
  </w:abstractNum>
  <w:abstractNum w:abstractNumId="7">
    <w:nsid w:val="C61AC907"/>
    <w:multiLevelType w:val="singleLevel"/>
    <w:tmpl w:val="C61AC907"/>
    <w:lvl w:ilvl="0" w:tentative="0">
      <w:start w:val="2"/>
      <w:numFmt w:val="chineseCounting"/>
      <w:suff w:val="space"/>
      <w:lvlText w:val="第%1部分"/>
      <w:lvlJc w:val="left"/>
      <w:rPr>
        <w:rFonts w:hint="eastAsia"/>
      </w:rPr>
    </w:lvl>
  </w:abstractNum>
  <w:abstractNum w:abstractNumId="8">
    <w:nsid w:val="D54EE292"/>
    <w:multiLevelType w:val="singleLevel"/>
    <w:tmpl w:val="D54EE292"/>
    <w:lvl w:ilvl="0" w:tentative="0">
      <w:start w:val="1"/>
      <w:numFmt w:val="decimal"/>
      <w:lvlText w:val="%1."/>
      <w:lvlJc w:val="left"/>
      <w:pPr>
        <w:tabs>
          <w:tab w:val="left" w:pos="312"/>
        </w:tabs>
      </w:pPr>
    </w:lvl>
  </w:abstractNum>
  <w:abstractNum w:abstractNumId="9">
    <w:nsid w:val="E1B46632"/>
    <w:multiLevelType w:val="singleLevel"/>
    <w:tmpl w:val="E1B46632"/>
    <w:lvl w:ilvl="0" w:tentative="0">
      <w:start w:val="1"/>
      <w:numFmt w:val="chineseCounting"/>
      <w:suff w:val="nothing"/>
      <w:lvlText w:val="（%1）"/>
      <w:lvlJc w:val="left"/>
      <w:pPr>
        <w:ind w:left="0" w:firstLine="420"/>
      </w:pPr>
      <w:rPr>
        <w:rFonts w:hint="eastAsia"/>
      </w:rPr>
    </w:lvl>
  </w:abstractNum>
  <w:abstractNum w:abstractNumId="10">
    <w:nsid w:val="E2A754E2"/>
    <w:multiLevelType w:val="singleLevel"/>
    <w:tmpl w:val="E2A754E2"/>
    <w:lvl w:ilvl="0" w:tentative="0">
      <w:start w:val="1"/>
      <w:numFmt w:val="decimal"/>
      <w:suff w:val="nothing"/>
      <w:lvlText w:val="(%1)"/>
      <w:lvlJc w:val="left"/>
      <w:pPr>
        <w:ind w:left="454" w:leftChars="0" w:hanging="454" w:firstLineChars="0"/>
      </w:pPr>
      <w:rPr>
        <w:rFonts w:hint="default"/>
      </w:rPr>
    </w:lvl>
  </w:abstractNum>
  <w:abstractNum w:abstractNumId="11">
    <w:nsid w:val="E6FFD304"/>
    <w:multiLevelType w:val="singleLevel"/>
    <w:tmpl w:val="E6FFD304"/>
    <w:lvl w:ilvl="0" w:tentative="0">
      <w:start w:val="1"/>
      <w:numFmt w:val="decimal"/>
      <w:lvlText w:val="%1."/>
      <w:lvlJc w:val="left"/>
      <w:pPr>
        <w:tabs>
          <w:tab w:val="left" w:pos="312"/>
        </w:tabs>
      </w:pPr>
    </w:lvl>
  </w:abstractNum>
  <w:abstractNum w:abstractNumId="12">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13">
    <w:nsid w:val="EC91136C"/>
    <w:multiLevelType w:val="multilevel"/>
    <w:tmpl w:val="EC91136C"/>
    <w:lvl w:ilvl="0" w:tentative="0">
      <w:start w:val="1"/>
      <w:numFmt w:val="decimal"/>
      <w:suff w:val="nothing"/>
      <w:lvlText w:val="%1."/>
      <w:lvlJc w:val="left"/>
      <w:pPr>
        <w:ind w:left="1580" w:hanging="483"/>
        <w:jc w:val="left"/>
      </w:pPr>
      <w:rPr>
        <w:rFonts w:hint="default" w:ascii="Times New Roman" w:hAnsi="Times New Roman" w:eastAsia="Times New Roman" w:cs="Times New Roman"/>
        <w:spacing w:val="0"/>
        <w:w w:val="99"/>
        <w:sz w:val="21"/>
        <w:szCs w:val="21"/>
        <w:lang w:val="zh-CN" w:eastAsia="zh-CN" w:bidi="zh-CN"/>
      </w:rPr>
    </w:lvl>
    <w:lvl w:ilvl="1" w:tentative="0">
      <w:start w:val="0"/>
      <w:numFmt w:val="bullet"/>
      <w:lvlText w:val="•"/>
      <w:lvlJc w:val="left"/>
      <w:pPr>
        <w:ind w:left="2590" w:hanging="483"/>
      </w:pPr>
      <w:rPr>
        <w:rFonts w:hint="default"/>
        <w:lang w:val="zh-CN" w:eastAsia="zh-CN" w:bidi="zh-CN"/>
      </w:rPr>
    </w:lvl>
    <w:lvl w:ilvl="2" w:tentative="0">
      <w:start w:val="0"/>
      <w:numFmt w:val="bullet"/>
      <w:lvlText w:val="•"/>
      <w:lvlJc w:val="left"/>
      <w:pPr>
        <w:ind w:left="3601" w:hanging="483"/>
      </w:pPr>
      <w:rPr>
        <w:rFonts w:hint="default"/>
        <w:lang w:val="zh-CN" w:eastAsia="zh-CN" w:bidi="zh-CN"/>
      </w:rPr>
    </w:lvl>
    <w:lvl w:ilvl="3" w:tentative="0">
      <w:start w:val="0"/>
      <w:numFmt w:val="bullet"/>
      <w:lvlText w:val="•"/>
      <w:lvlJc w:val="left"/>
      <w:pPr>
        <w:ind w:left="4611" w:hanging="483"/>
      </w:pPr>
      <w:rPr>
        <w:rFonts w:hint="default"/>
        <w:lang w:val="zh-CN" w:eastAsia="zh-CN" w:bidi="zh-CN"/>
      </w:rPr>
    </w:lvl>
    <w:lvl w:ilvl="4" w:tentative="0">
      <w:start w:val="0"/>
      <w:numFmt w:val="bullet"/>
      <w:lvlText w:val="•"/>
      <w:lvlJc w:val="left"/>
      <w:pPr>
        <w:ind w:left="5622" w:hanging="483"/>
      </w:pPr>
      <w:rPr>
        <w:rFonts w:hint="default"/>
        <w:lang w:val="zh-CN" w:eastAsia="zh-CN" w:bidi="zh-CN"/>
      </w:rPr>
    </w:lvl>
    <w:lvl w:ilvl="5" w:tentative="0">
      <w:start w:val="0"/>
      <w:numFmt w:val="bullet"/>
      <w:lvlText w:val="•"/>
      <w:lvlJc w:val="left"/>
      <w:pPr>
        <w:ind w:left="6633" w:hanging="483"/>
      </w:pPr>
      <w:rPr>
        <w:rFonts w:hint="default"/>
        <w:lang w:val="zh-CN" w:eastAsia="zh-CN" w:bidi="zh-CN"/>
      </w:rPr>
    </w:lvl>
    <w:lvl w:ilvl="6" w:tentative="0">
      <w:start w:val="0"/>
      <w:numFmt w:val="bullet"/>
      <w:lvlText w:val="•"/>
      <w:lvlJc w:val="left"/>
      <w:pPr>
        <w:ind w:left="7643" w:hanging="483"/>
      </w:pPr>
      <w:rPr>
        <w:rFonts w:hint="default"/>
        <w:lang w:val="zh-CN" w:eastAsia="zh-CN" w:bidi="zh-CN"/>
      </w:rPr>
    </w:lvl>
    <w:lvl w:ilvl="7" w:tentative="0">
      <w:start w:val="0"/>
      <w:numFmt w:val="bullet"/>
      <w:lvlText w:val="•"/>
      <w:lvlJc w:val="left"/>
      <w:pPr>
        <w:ind w:left="8654" w:hanging="483"/>
      </w:pPr>
      <w:rPr>
        <w:rFonts w:hint="default"/>
        <w:lang w:val="zh-CN" w:eastAsia="zh-CN" w:bidi="zh-CN"/>
      </w:rPr>
    </w:lvl>
    <w:lvl w:ilvl="8" w:tentative="0">
      <w:start w:val="0"/>
      <w:numFmt w:val="bullet"/>
      <w:lvlText w:val="•"/>
      <w:lvlJc w:val="left"/>
      <w:pPr>
        <w:ind w:left="9664" w:hanging="483"/>
      </w:pPr>
      <w:rPr>
        <w:rFonts w:hint="default"/>
        <w:lang w:val="zh-CN" w:eastAsia="zh-CN" w:bidi="zh-CN"/>
      </w:rPr>
    </w:lvl>
  </w:abstractNum>
  <w:abstractNum w:abstractNumId="14">
    <w:nsid w:val="F3051630"/>
    <w:multiLevelType w:val="singleLevel"/>
    <w:tmpl w:val="F3051630"/>
    <w:lvl w:ilvl="0" w:tentative="0">
      <w:start w:val="1"/>
      <w:numFmt w:val="chineseCounting"/>
      <w:suff w:val="nothing"/>
      <w:lvlText w:val="（%1）"/>
      <w:lvlJc w:val="left"/>
      <w:pPr>
        <w:ind w:left="6" w:firstLine="420"/>
      </w:pPr>
      <w:rPr>
        <w:rFonts w:hint="eastAsia"/>
      </w:rPr>
    </w:lvl>
  </w:abstractNum>
  <w:abstractNum w:abstractNumId="15">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3"/>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6">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12"/>
    <w:multiLevelType w:val="multilevel"/>
    <w:tmpl w:val="00000012"/>
    <w:lvl w:ilvl="0" w:tentative="0">
      <w:start w:val="1"/>
      <w:numFmt w:val="bullet"/>
      <w:pStyle w:val="9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00000013"/>
    <w:multiLevelType w:val="multilevel"/>
    <w:tmpl w:val="00000013"/>
    <w:lvl w:ilvl="0" w:tentative="0">
      <w:start w:val="1"/>
      <w:numFmt w:val="decimal"/>
      <w:pStyle w:val="111"/>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00000016"/>
    <w:multiLevelType w:val="multilevel"/>
    <w:tmpl w:val="00000016"/>
    <w:lvl w:ilvl="0" w:tentative="0">
      <w:start w:val="1"/>
      <w:numFmt w:val="decimal"/>
      <w:pStyle w:val="16"/>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20"/>
    <w:multiLevelType w:val="multilevel"/>
    <w:tmpl w:val="00000020"/>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00000029"/>
    <w:multiLevelType w:val="multilevel"/>
    <w:tmpl w:val="00000029"/>
    <w:lvl w:ilvl="0" w:tentative="0">
      <w:start w:val="1"/>
      <w:numFmt w:val="bullet"/>
      <w:pStyle w:val="49"/>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24">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1636BB84"/>
    <w:multiLevelType w:val="singleLevel"/>
    <w:tmpl w:val="1636BB84"/>
    <w:lvl w:ilvl="0" w:tentative="0">
      <w:start w:val="1"/>
      <w:numFmt w:val="decimal"/>
      <w:lvlText w:val="%1."/>
      <w:lvlJc w:val="left"/>
      <w:pPr>
        <w:tabs>
          <w:tab w:val="left" w:pos="312"/>
        </w:tabs>
      </w:pPr>
    </w:lvl>
  </w:abstractNum>
  <w:abstractNum w:abstractNumId="26">
    <w:nsid w:val="184A6F7D"/>
    <w:multiLevelType w:val="multilevel"/>
    <w:tmpl w:val="184A6F7D"/>
    <w:lvl w:ilvl="0" w:tentative="0">
      <w:start w:val="1"/>
      <w:numFmt w:val="decimal"/>
      <w:suff w:val="nothing"/>
      <w:lvlText w:val="%1."/>
      <w:lvlJc w:val="left"/>
      <w:pPr>
        <w:ind w:left="0" w:leftChars="0" w:firstLine="0" w:firstLineChars="0"/>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3256" w:hanging="212"/>
      </w:pPr>
      <w:rPr>
        <w:rFonts w:hint="default"/>
        <w:lang w:val="zh-CN" w:eastAsia="zh-CN" w:bidi="zh-CN"/>
      </w:rPr>
    </w:lvl>
    <w:lvl w:ilvl="2" w:tentative="0">
      <w:start w:val="0"/>
      <w:numFmt w:val="bullet"/>
      <w:lvlText w:val="•"/>
      <w:lvlJc w:val="left"/>
      <w:pPr>
        <w:ind w:left="4193" w:hanging="212"/>
      </w:pPr>
      <w:rPr>
        <w:rFonts w:hint="default"/>
        <w:lang w:val="zh-CN" w:eastAsia="zh-CN" w:bidi="zh-CN"/>
      </w:rPr>
    </w:lvl>
    <w:lvl w:ilvl="3" w:tentative="0">
      <w:start w:val="0"/>
      <w:numFmt w:val="bullet"/>
      <w:lvlText w:val="•"/>
      <w:lvlJc w:val="left"/>
      <w:pPr>
        <w:ind w:left="5129" w:hanging="212"/>
      </w:pPr>
      <w:rPr>
        <w:rFonts w:hint="default"/>
        <w:lang w:val="zh-CN" w:eastAsia="zh-CN" w:bidi="zh-CN"/>
      </w:rPr>
    </w:lvl>
    <w:lvl w:ilvl="4" w:tentative="0">
      <w:start w:val="0"/>
      <w:numFmt w:val="bullet"/>
      <w:lvlText w:val="•"/>
      <w:lvlJc w:val="left"/>
      <w:pPr>
        <w:ind w:left="6066" w:hanging="212"/>
      </w:pPr>
      <w:rPr>
        <w:rFonts w:hint="default"/>
        <w:lang w:val="zh-CN" w:eastAsia="zh-CN" w:bidi="zh-CN"/>
      </w:rPr>
    </w:lvl>
    <w:lvl w:ilvl="5" w:tentative="0">
      <w:start w:val="0"/>
      <w:numFmt w:val="bullet"/>
      <w:lvlText w:val="•"/>
      <w:lvlJc w:val="left"/>
      <w:pPr>
        <w:ind w:left="7003" w:hanging="212"/>
      </w:pPr>
      <w:rPr>
        <w:rFonts w:hint="default"/>
        <w:lang w:val="zh-CN" w:eastAsia="zh-CN" w:bidi="zh-CN"/>
      </w:rPr>
    </w:lvl>
    <w:lvl w:ilvl="6" w:tentative="0">
      <w:start w:val="0"/>
      <w:numFmt w:val="bullet"/>
      <w:lvlText w:val="•"/>
      <w:lvlJc w:val="left"/>
      <w:pPr>
        <w:ind w:left="7939" w:hanging="212"/>
      </w:pPr>
      <w:rPr>
        <w:rFonts w:hint="default"/>
        <w:lang w:val="zh-CN" w:eastAsia="zh-CN" w:bidi="zh-CN"/>
      </w:rPr>
    </w:lvl>
    <w:lvl w:ilvl="7" w:tentative="0">
      <w:start w:val="0"/>
      <w:numFmt w:val="bullet"/>
      <w:lvlText w:val="•"/>
      <w:lvlJc w:val="left"/>
      <w:pPr>
        <w:ind w:left="8876" w:hanging="212"/>
      </w:pPr>
      <w:rPr>
        <w:rFonts w:hint="default"/>
        <w:lang w:val="zh-CN" w:eastAsia="zh-CN" w:bidi="zh-CN"/>
      </w:rPr>
    </w:lvl>
    <w:lvl w:ilvl="8" w:tentative="0">
      <w:start w:val="0"/>
      <w:numFmt w:val="bullet"/>
      <w:lvlText w:val="•"/>
      <w:lvlJc w:val="left"/>
      <w:pPr>
        <w:ind w:left="9812" w:hanging="212"/>
      </w:pPr>
      <w:rPr>
        <w:rFonts w:hint="default"/>
        <w:lang w:val="zh-CN" w:eastAsia="zh-CN" w:bidi="zh-CN"/>
      </w:rPr>
    </w:lvl>
  </w:abstractNum>
  <w:abstractNum w:abstractNumId="27">
    <w:nsid w:val="2727DD9B"/>
    <w:multiLevelType w:val="multilevel"/>
    <w:tmpl w:val="2727DD9B"/>
    <w:lvl w:ilvl="0" w:tentative="0">
      <w:start w:val="1"/>
      <w:numFmt w:val="decimal"/>
      <w:pStyle w:val="17"/>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28">
    <w:nsid w:val="2E89F592"/>
    <w:multiLevelType w:val="singleLevel"/>
    <w:tmpl w:val="2E89F592"/>
    <w:lvl w:ilvl="0" w:tentative="0">
      <w:start w:val="1"/>
      <w:numFmt w:val="decimal"/>
      <w:suff w:val="nothing"/>
      <w:lvlText w:val="(%1)"/>
      <w:lvlJc w:val="left"/>
      <w:pPr>
        <w:ind w:left="454" w:leftChars="0" w:hanging="454" w:firstLineChars="0"/>
      </w:pPr>
      <w:rPr>
        <w:rFonts w:hint="default"/>
      </w:rPr>
    </w:lvl>
  </w:abstractNum>
  <w:abstractNum w:abstractNumId="29">
    <w:nsid w:val="37402185"/>
    <w:multiLevelType w:val="singleLevel"/>
    <w:tmpl w:val="37402185"/>
    <w:lvl w:ilvl="0" w:tentative="0">
      <w:start w:val="1"/>
      <w:numFmt w:val="decimal"/>
      <w:pStyle w:val="24"/>
      <w:lvlText w:val="%1."/>
      <w:lvlJc w:val="left"/>
      <w:pPr>
        <w:tabs>
          <w:tab w:val="left" w:pos="1200"/>
        </w:tabs>
        <w:ind w:left="1200" w:hanging="360"/>
      </w:pPr>
    </w:lvl>
  </w:abstractNum>
  <w:abstractNum w:abstractNumId="30">
    <w:nsid w:val="382E5705"/>
    <w:multiLevelType w:val="multilevel"/>
    <w:tmpl w:val="382E5705"/>
    <w:lvl w:ilvl="0" w:tentative="0">
      <w:start w:val="2"/>
      <w:numFmt w:val="decimal"/>
      <w:lvlText w:val="（%1）"/>
      <w:lvlJc w:val="left"/>
      <w:pPr>
        <w:ind w:left="1580" w:hanging="525"/>
        <w:jc w:val="left"/>
      </w:pPr>
      <w:rPr>
        <w:rFonts w:hint="default" w:ascii="宋体" w:hAnsi="宋体" w:eastAsia="宋体" w:cs="宋体"/>
        <w:spacing w:val="-17"/>
        <w:w w:val="99"/>
        <w:sz w:val="19"/>
        <w:szCs w:val="19"/>
        <w:lang w:val="zh-CN" w:eastAsia="zh-CN" w:bidi="zh-CN"/>
      </w:rPr>
    </w:lvl>
    <w:lvl w:ilvl="1" w:tentative="0">
      <w:start w:val="1"/>
      <w:numFmt w:val="decimal"/>
      <w:suff w:val="nothing"/>
      <w:lvlText w:val="（%2）"/>
      <w:lvlJc w:val="left"/>
      <w:pPr>
        <w:ind w:left="0" w:leftChars="0" w:firstLine="0" w:firstLineChars="0"/>
        <w:jc w:val="left"/>
      </w:pPr>
      <w:rPr>
        <w:rFonts w:hint="default" w:ascii="宋体" w:hAnsi="宋体" w:eastAsia="宋体" w:cs="宋体"/>
        <w:spacing w:val="1"/>
        <w:w w:val="99"/>
        <w:sz w:val="19"/>
        <w:szCs w:val="19"/>
        <w:lang w:val="zh-CN" w:eastAsia="zh-CN" w:bidi="zh-CN"/>
      </w:rPr>
    </w:lvl>
    <w:lvl w:ilvl="2" w:tentative="0">
      <w:start w:val="0"/>
      <w:numFmt w:val="bullet"/>
      <w:lvlText w:val="•"/>
      <w:lvlJc w:val="left"/>
      <w:pPr>
        <w:ind w:left="3601" w:hanging="528"/>
      </w:pPr>
      <w:rPr>
        <w:rFonts w:hint="default"/>
        <w:lang w:val="zh-CN" w:eastAsia="zh-CN" w:bidi="zh-CN"/>
      </w:rPr>
    </w:lvl>
    <w:lvl w:ilvl="3" w:tentative="0">
      <w:start w:val="0"/>
      <w:numFmt w:val="bullet"/>
      <w:lvlText w:val="•"/>
      <w:lvlJc w:val="left"/>
      <w:pPr>
        <w:ind w:left="4611" w:hanging="528"/>
      </w:pPr>
      <w:rPr>
        <w:rFonts w:hint="default"/>
        <w:lang w:val="zh-CN" w:eastAsia="zh-CN" w:bidi="zh-CN"/>
      </w:rPr>
    </w:lvl>
    <w:lvl w:ilvl="4" w:tentative="0">
      <w:start w:val="0"/>
      <w:numFmt w:val="bullet"/>
      <w:lvlText w:val="•"/>
      <w:lvlJc w:val="left"/>
      <w:pPr>
        <w:ind w:left="5622" w:hanging="528"/>
      </w:pPr>
      <w:rPr>
        <w:rFonts w:hint="default"/>
        <w:lang w:val="zh-CN" w:eastAsia="zh-CN" w:bidi="zh-CN"/>
      </w:rPr>
    </w:lvl>
    <w:lvl w:ilvl="5" w:tentative="0">
      <w:start w:val="0"/>
      <w:numFmt w:val="bullet"/>
      <w:lvlText w:val="•"/>
      <w:lvlJc w:val="left"/>
      <w:pPr>
        <w:ind w:left="6633" w:hanging="528"/>
      </w:pPr>
      <w:rPr>
        <w:rFonts w:hint="default"/>
        <w:lang w:val="zh-CN" w:eastAsia="zh-CN" w:bidi="zh-CN"/>
      </w:rPr>
    </w:lvl>
    <w:lvl w:ilvl="6" w:tentative="0">
      <w:start w:val="0"/>
      <w:numFmt w:val="bullet"/>
      <w:lvlText w:val="•"/>
      <w:lvlJc w:val="left"/>
      <w:pPr>
        <w:ind w:left="7643" w:hanging="528"/>
      </w:pPr>
      <w:rPr>
        <w:rFonts w:hint="default"/>
        <w:lang w:val="zh-CN" w:eastAsia="zh-CN" w:bidi="zh-CN"/>
      </w:rPr>
    </w:lvl>
    <w:lvl w:ilvl="7" w:tentative="0">
      <w:start w:val="0"/>
      <w:numFmt w:val="bullet"/>
      <w:lvlText w:val="•"/>
      <w:lvlJc w:val="left"/>
      <w:pPr>
        <w:ind w:left="8654" w:hanging="528"/>
      </w:pPr>
      <w:rPr>
        <w:rFonts w:hint="default"/>
        <w:lang w:val="zh-CN" w:eastAsia="zh-CN" w:bidi="zh-CN"/>
      </w:rPr>
    </w:lvl>
    <w:lvl w:ilvl="8" w:tentative="0">
      <w:start w:val="0"/>
      <w:numFmt w:val="bullet"/>
      <w:lvlText w:val="•"/>
      <w:lvlJc w:val="left"/>
      <w:pPr>
        <w:ind w:left="9664" w:hanging="528"/>
      </w:pPr>
      <w:rPr>
        <w:rFonts w:hint="default"/>
        <w:lang w:val="zh-CN" w:eastAsia="zh-CN" w:bidi="zh-CN"/>
      </w:rPr>
    </w:lvl>
  </w:abstractNum>
  <w:abstractNum w:abstractNumId="31">
    <w:nsid w:val="38351339"/>
    <w:multiLevelType w:val="multilevel"/>
    <w:tmpl w:val="38351339"/>
    <w:lvl w:ilvl="0" w:tentative="0">
      <w:start w:val="1"/>
      <w:numFmt w:val="decimal"/>
      <w:suff w:val="nothing"/>
      <w:lvlText w:val="%1."/>
      <w:lvlJc w:val="left"/>
      <w:pPr>
        <w:ind w:left="0" w:leftChars="0" w:firstLine="0" w:firstLineChars="0"/>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3256" w:hanging="212"/>
      </w:pPr>
      <w:rPr>
        <w:rFonts w:hint="default"/>
        <w:lang w:val="zh-CN" w:eastAsia="zh-CN" w:bidi="zh-CN"/>
      </w:rPr>
    </w:lvl>
    <w:lvl w:ilvl="2" w:tentative="0">
      <w:start w:val="0"/>
      <w:numFmt w:val="bullet"/>
      <w:lvlText w:val="•"/>
      <w:lvlJc w:val="left"/>
      <w:pPr>
        <w:ind w:left="4193" w:hanging="212"/>
      </w:pPr>
      <w:rPr>
        <w:rFonts w:hint="default"/>
        <w:lang w:val="zh-CN" w:eastAsia="zh-CN" w:bidi="zh-CN"/>
      </w:rPr>
    </w:lvl>
    <w:lvl w:ilvl="3" w:tentative="0">
      <w:start w:val="0"/>
      <w:numFmt w:val="bullet"/>
      <w:lvlText w:val="•"/>
      <w:lvlJc w:val="left"/>
      <w:pPr>
        <w:ind w:left="5129" w:hanging="212"/>
      </w:pPr>
      <w:rPr>
        <w:rFonts w:hint="default"/>
        <w:lang w:val="zh-CN" w:eastAsia="zh-CN" w:bidi="zh-CN"/>
      </w:rPr>
    </w:lvl>
    <w:lvl w:ilvl="4" w:tentative="0">
      <w:start w:val="0"/>
      <w:numFmt w:val="bullet"/>
      <w:lvlText w:val="•"/>
      <w:lvlJc w:val="left"/>
      <w:pPr>
        <w:ind w:left="6066" w:hanging="212"/>
      </w:pPr>
      <w:rPr>
        <w:rFonts w:hint="default"/>
        <w:lang w:val="zh-CN" w:eastAsia="zh-CN" w:bidi="zh-CN"/>
      </w:rPr>
    </w:lvl>
    <w:lvl w:ilvl="5" w:tentative="0">
      <w:start w:val="0"/>
      <w:numFmt w:val="bullet"/>
      <w:lvlText w:val="•"/>
      <w:lvlJc w:val="left"/>
      <w:pPr>
        <w:ind w:left="7003" w:hanging="212"/>
      </w:pPr>
      <w:rPr>
        <w:rFonts w:hint="default"/>
        <w:lang w:val="zh-CN" w:eastAsia="zh-CN" w:bidi="zh-CN"/>
      </w:rPr>
    </w:lvl>
    <w:lvl w:ilvl="6" w:tentative="0">
      <w:start w:val="0"/>
      <w:numFmt w:val="bullet"/>
      <w:lvlText w:val="•"/>
      <w:lvlJc w:val="left"/>
      <w:pPr>
        <w:ind w:left="7939" w:hanging="212"/>
      </w:pPr>
      <w:rPr>
        <w:rFonts w:hint="default"/>
        <w:lang w:val="zh-CN" w:eastAsia="zh-CN" w:bidi="zh-CN"/>
      </w:rPr>
    </w:lvl>
    <w:lvl w:ilvl="7" w:tentative="0">
      <w:start w:val="0"/>
      <w:numFmt w:val="bullet"/>
      <w:lvlText w:val="•"/>
      <w:lvlJc w:val="left"/>
      <w:pPr>
        <w:ind w:left="8876" w:hanging="212"/>
      </w:pPr>
      <w:rPr>
        <w:rFonts w:hint="default"/>
        <w:lang w:val="zh-CN" w:eastAsia="zh-CN" w:bidi="zh-CN"/>
      </w:rPr>
    </w:lvl>
    <w:lvl w:ilvl="8" w:tentative="0">
      <w:start w:val="0"/>
      <w:numFmt w:val="bullet"/>
      <w:lvlText w:val="•"/>
      <w:lvlJc w:val="left"/>
      <w:pPr>
        <w:ind w:left="9812" w:hanging="212"/>
      </w:pPr>
      <w:rPr>
        <w:rFonts w:hint="default"/>
        <w:lang w:val="zh-CN" w:eastAsia="zh-CN" w:bidi="zh-CN"/>
      </w:rPr>
    </w:lvl>
  </w:abstractNum>
  <w:abstractNum w:abstractNumId="32">
    <w:nsid w:val="3966D463"/>
    <w:multiLevelType w:val="singleLevel"/>
    <w:tmpl w:val="3966D463"/>
    <w:lvl w:ilvl="0" w:tentative="0">
      <w:start w:val="1"/>
      <w:numFmt w:val="decimal"/>
      <w:lvlText w:val="%1."/>
      <w:lvlJc w:val="left"/>
      <w:pPr>
        <w:tabs>
          <w:tab w:val="left" w:pos="312"/>
        </w:tabs>
      </w:pPr>
    </w:lvl>
  </w:abstractNum>
  <w:abstractNum w:abstractNumId="33">
    <w:nsid w:val="4C747378"/>
    <w:multiLevelType w:val="singleLevel"/>
    <w:tmpl w:val="4C747378"/>
    <w:lvl w:ilvl="0" w:tentative="0">
      <w:start w:val="5"/>
      <w:numFmt w:val="decimal"/>
      <w:suff w:val="space"/>
      <w:lvlText w:val="%1、"/>
      <w:lvlJc w:val="left"/>
    </w:lvl>
  </w:abstractNum>
  <w:abstractNum w:abstractNumId="34">
    <w:nsid w:val="520C1FB9"/>
    <w:multiLevelType w:val="singleLevel"/>
    <w:tmpl w:val="520C1FB9"/>
    <w:lvl w:ilvl="0" w:tentative="0">
      <w:start w:val="1"/>
      <w:numFmt w:val="decimal"/>
      <w:lvlText w:val="%1."/>
      <w:lvlJc w:val="left"/>
      <w:pPr>
        <w:tabs>
          <w:tab w:val="left" w:pos="312"/>
        </w:tabs>
      </w:pPr>
    </w:lvl>
  </w:abstractNum>
  <w:abstractNum w:abstractNumId="35">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36">
    <w:nsid w:val="57289543"/>
    <w:multiLevelType w:val="singleLevel"/>
    <w:tmpl w:val="57289543"/>
    <w:lvl w:ilvl="0" w:tentative="0">
      <w:start w:val="7"/>
      <w:numFmt w:val="decimal"/>
      <w:suff w:val="nothing"/>
      <w:lvlText w:val="%1)"/>
      <w:lvlJc w:val="left"/>
    </w:lvl>
  </w:abstractNum>
  <w:abstractNum w:abstractNumId="37">
    <w:nsid w:val="5E38E85C"/>
    <w:multiLevelType w:val="singleLevel"/>
    <w:tmpl w:val="5E38E85C"/>
    <w:lvl w:ilvl="0" w:tentative="0">
      <w:start w:val="1"/>
      <w:numFmt w:val="decimal"/>
      <w:lvlText w:val="%1."/>
      <w:lvlJc w:val="left"/>
      <w:pPr>
        <w:tabs>
          <w:tab w:val="left" w:pos="312"/>
        </w:tabs>
      </w:pPr>
    </w:lvl>
  </w:abstractNum>
  <w:abstractNum w:abstractNumId="38">
    <w:nsid w:val="693588D1"/>
    <w:multiLevelType w:val="singleLevel"/>
    <w:tmpl w:val="693588D1"/>
    <w:lvl w:ilvl="0" w:tentative="0">
      <w:start w:val="1"/>
      <w:numFmt w:val="decimal"/>
      <w:lvlText w:val="%1."/>
      <w:lvlJc w:val="left"/>
      <w:pPr>
        <w:tabs>
          <w:tab w:val="left" w:pos="312"/>
        </w:tabs>
      </w:pPr>
    </w:lvl>
  </w:abstractNum>
  <w:abstractNum w:abstractNumId="39">
    <w:nsid w:val="79E35E4F"/>
    <w:multiLevelType w:val="multilevel"/>
    <w:tmpl w:val="79E35E4F"/>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9"/>
  </w:num>
  <w:num w:numId="2">
    <w:abstractNumId w:val="27"/>
  </w:num>
  <w:num w:numId="3">
    <w:abstractNumId w:val="29"/>
  </w:num>
  <w:num w:numId="4">
    <w:abstractNumId w:val="23"/>
  </w:num>
  <w:num w:numId="5">
    <w:abstractNumId w:val="20"/>
  </w:num>
  <w:num w:numId="6">
    <w:abstractNumId w:val="17"/>
  </w:num>
  <w:num w:numId="7">
    <w:abstractNumId w:val="15"/>
  </w:num>
  <w:num w:numId="8">
    <w:abstractNumId w:val="18"/>
  </w:num>
  <w:num w:numId="9">
    <w:abstractNumId w:val="24"/>
  </w:num>
  <w:num w:numId="10">
    <w:abstractNumId w:val="22"/>
  </w:num>
  <w:num w:numId="11">
    <w:abstractNumId w:val="21"/>
  </w:num>
  <w:num w:numId="12">
    <w:abstractNumId w:val="14"/>
  </w:num>
  <w:num w:numId="13">
    <w:abstractNumId w:val="9"/>
  </w:num>
  <w:num w:numId="14">
    <w:abstractNumId w:val="7"/>
  </w:num>
  <w:num w:numId="15">
    <w:abstractNumId w:val="39"/>
  </w:num>
  <w:num w:numId="16">
    <w:abstractNumId w:val="16"/>
  </w:num>
  <w:num w:numId="17">
    <w:abstractNumId w:val="36"/>
  </w:num>
  <w:num w:numId="18">
    <w:abstractNumId w:val="30"/>
  </w:num>
  <w:num w:numId="19">
    <w:abstractNumId w:val="28"/>
  </w:num>
  <w:num w:numId="20">
    <w:abstractNumId w:val="10"/>
  </w:num>
  <w:num w:numId="21">
    <w:abstractNumId w:val="33"/>
  </w:num>
  <w:num w:numId="22">
    <w:abstractNumId w:val="31"/>
  </w:num>
  <w:num w:numId="23">
    <w:abstractNumId w:val="26"/>
  </w:num>
  <w:num w:numId="24">
    <w:abstractNumId w:val="2"/>
  </w:num>
  <w:num w:numId="25">
    <w:abstractNumId w:val="5"/>
  </w:num>
  <w:num w:numId="26">
    <w:abstractNumId w:val="25"/>
  </w:num>
  <w:num w:numId="27">
    <w:abstractNumId w:val="11"/>
  </w:num>
  <w:num w:numId="28">
    <w:abstractNumId w:val="34"/>
  </w:num>
  <w:num w:numId="29">
    <w:abstractNumId w:val="38"/>
  </w:num>
  <w:num w:numId="30">
    <w:abstractNumId w:val="8"/>
  </w:num>
  <w:num w:numId="31">
    <w:abstractNumId w:val="37"/>
  </w:num>
  <w:num w:numId="32">
    <w:abstractNumId w:val="3"/>
  </w:num>
  <w:num w:numId="33">
    <w:abstractNumId w:val="6"/>
  </w:num>
  <w:num w:numId="34">
    <w:abstractNumId w:val="4"/>
  </w:num>
  <w:num w:numId="35">
    <w:abstractNumId w:val="0"/>
  </w:num>
  <w:num w:numId="36">
    <w:abstractNumId w:val="32"/>
  </w:num>
  <w:num w:numId="37">
    <w:abstractNumId w:val="13"/>
  </w:num>
  <w:num w:numId="38">
    <w:abstractNumId w:val="1"/>
  </w:num>
  <w:num w:numId="39">
    <w:abstractNumId w:val="12"/>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20"/>
  <w:drawingGridVerticalSpacing w:val="163"/>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MjI4MzJhNDI1YjA4OTM4ODI5NmZjZjgzYzlhZDEifQ=="/>
  </w:docVars>
  <w:rsids>
    <w:rsidRoot w:val="00172A27"/>
    <w:rsid w:val="00003320"/>
    <w:rsid w:val="00010435"/>
    <w:rsid w:val="0002249C"/>
    <w:rsid w:val="00027890"/>
    <w:rsid w:val="000310C4"/>
    <w:rsid w:val="00036141"/>
    <w:rsid w:val="00055CD6"/>
    <w:rsid w:val="00060BFF"/>
    <w:rsid w:val="000656BF"/>
    <w:rsid w:val="00075200"/>
    <w:rsid w:val="000823D9"/>
    <w:rsid w:val="000E3D5A"/>
    <w:rsid w:val="000F69BF"/>
    <w:rsid w:val="00106809"/>
    <w:rsid w:val="00113D74"/>
    <w:rsid w:val="0011439F"/>
    <w:rsid w:val="00114927"/>
    <w:rsid w:val="00124125"/>
    <w:rsid w:val="00135223"/>
    <w:rsid w:val="00145E79"/>
    <w:rsid w:val="00152EFD"/>
    <w:rsid w:val="001617C8"/>
    <w:rsid w:val="00172A27"/>
    <w:rsid w:val="001749FA"/>
    <w:rsid w:val="001B549E"/>
    <w:rsid w:val="001B72E4"/>
    <w:rsid w:val="001C49E6"/>
    <w:rsid w:val="001D4260"/>
    <w:rsid w:val="001E2687"/>
    <w:rsid w:val="002002A4"/>
    <w:rsid w:val="00201FF9"/>
    <w:rsid w:val="00216ABC"/>
    <w:rsid w:val="002172C9"/>
    <w:rsid w:val="00267764"/>
    <w:rsid w:val="00270A95"/>
    <w:rsid w:val="002908F6"/>
    <w:rsid w:val="00291FAB"/>
    <w:rsid w:val="002C0888"/>
    <w:rsid w:val="002D14E4"/>
    <w:rsid w:val="002D687C"/>
    <w:rsid w:val="002E58AE"/>
    <w:rsid w:val="00354336"/>
    <w:rsid w:val="003613BD"/>
    <w:rsid w:val="00376337"/>
    <w:rsid w:val="003824C3"/>
    <w:rsid w:val="00391ED7"/>
    <w:rsid w:val="00393E42"/>
    <w:rsid w:val="003A2560"/>
    <w:rsid w:val="003C2F31"/>
    <w:rsid w:val="004207FB"/>
    <w:rsid w:val="0044257A"/>
    <w:rsid w:val="0045071E"/>
    <w:rsid w:val="0046288B"/>
    <w:rsid w:val="00465BC3"/>
    <w:rsid w:val="00473DA1"/>
    <w:rsid w:val="004D2652"/>
    <w:rsid w:val="004E3B6E"/>
    <w:rsid w:val="005471BA"/>
    <w:rsid w:val="00553F3A"/>
    <w:rsid w:val="00555F92"/>
    <w:rsid w:val="00563F71"/>
    <w:rsid w:val="00585BAB"/>
    <w:rsid w:val="005A06DF"/>
    <w:rsid w:val="005B5C14"/>
    <w:rsid w:val="005E1005"/>
    <w:rsid w:val="005F37C4"/>
    <w:rsid w:val="006023DD"/>
    <w:rsid w:val="006071A1"/>
    <w:rsid w:val="00636A66"/>
    <w:rsid w:val="00637720"/>
    <w:rsid w:val="006421D2"/>
    <w:rsid w:val="00643C95"/>
    <w:rsid w:val="006529BE"/>
    <w:rsid w:val="00661DDF"/>
    <w:rsid w:val="00675141"/>
    <w:rsid w:val="006C4ED2"/>
    <w:rsid w:val="006E2C33"/>
    <w:rsid w:val="006F7565"/>
    <w:rsid w:val="00722579"/>
    <w:rsid w:val="007266BA"/>
    <w:rsid w:val="00737573"/>
    <w:rsid w:val="0075111E"/>
    <w:rsid w:val="00766AFF"/>
    <w:rsid w:val="0079444F"/>
    <w:rsid w:val="007A6701"/>
    <w:rsid w:val="007B21FC"/>
    <w:rsid w:val="007B3581"/>
    <w:rsid w:val="007D280B"/>
    <w:rsid w:val="007D459F"/>
    <w:rsid w:val="007F1FF8"/>
    <w:rsid w:val="007F2B89"/>
    <w:rsid w:val="00803F10"/>
    <w:rsid w:val="00821042"/>
    <w:rsid w:val="00821BD7"/>
    <w:rsid w:val="00831E15"/>
    <w:rsid w:val="00835AD1"/>
    <w:rsid w:val="00847835"/>
    <w:rsid w:val="008A0878"/>
    <w:rsid w:val="008B5078"/>
    <w:rsid w:val="008B52E4"/>
    <w:rsid w:val="008C4084"/>
    <w:rsid w:val="008C4968"/>
    <w:rsid w:val="008D2C58"/>
    <w:rsid w:val="008E129D"/>
    <w:rsid w:val="008E37B0"/>
    <w:rsid w:val="008E464C"/>
    <w:rsid w:val="008E4970"/>
    <w:rsid w:val="009009BC"/>
    <w:rsid w:val="00904619"/>
    <w:rsid w:val="00915F7F"/>
    <w:rsid w:val="00921F1A"/>
    <w:rsid w:val="009229CB"/>
    <w:rsid w:val="009368EA"/>
    <w:rsid w:val="009422CE"/>
    <w:rsid w:val="00944D1A"/>
    <w:rsid w:val="00951A8F"/>
    <w:rsid w:val="009B27B4"/>
    <w:rsid w:val="009C6B18"/>
    <w:rsid w:val="009E2C75"/>
    <w:rsid w:val="009E6598"/>
    <w:rsid w:val="009F7268"/>
    <w:rsid w:val="00A03228"/>
    <w:rsid w:val="00A1101A"/>
    <w:rsid w:val="00A11A47"/>
    <w:rsid w:val="00A36EC6"/>
    <w:rsid w:val="00A37D41"/>
    <w:rsid w:val="00A52F6D"/>
    <w:rsid w:val="00A613B6"/>
    <w:rsid w:val="00A71C09"/>
    <w:rsid w:val="00A72DA8"/>
    <w:rsid w:val="00A752A6"/>
    <w:rsid w:val="00A82229"/>
    <w:rsid w:val="00A943C3"/>
    <w:rsid w:val="00A95831"/>
    <w:rsid w:val="00A975B4"/>
    <w:rsid w:val="00AA7D8C"/>
    <w:rsid w:val="00AB4015"/>
    <w:rsid w:val="00AF6912"/>
    <w:rsid w:val="00B04B0E"/>
    <w:rsid w:val="00B16495"/>
    <w:rsid w:val="00B225FD"/>
    <w:rsid w:val="00B248DA"/>
    <w:rsid w:val="00B50EA0"/>
    <w:rsid w:val="00B71A50"/>
    <w:rsid w:val="00B74DE3"/>
    <w:rsid w:val="00B80D89"/>
    <w:rsid w:val="00B818AE"/>
    <w:rsid w:val="00B96173"/>
    <w:rsid w:val="00BB48AD"/>
    <w:rsid w:val="00BB6F89"/>
    <w:rsid w:val="00BC02E2"/>
    <w:rsid w:val="00BE779E"/>
    <w:rsid w:val="00BF09ED"/>
    <w:rsid w:val="00BF27E1"/>
    <w:rsid w:val="00C00F5A"/>
    <w:rsid w:val="00C16CB7"/>
    <w:rsid w:val="00C25C61"/>
    <w:rsid w:val="00C40AF8"/>
    <w:rsid w:val="00C41180"/>
    <w:rsid w:val="00C5753E"/>
    <w:rsid w:val="00C61390"/>
    <w:rsid w:val="00C62932"/>
    <w:rsid w:val="00C9047D"/>
    <w:rsid w:val="00C9061D"/>
    <w:rsid w:val="00C97323"/>
    <w:rsid w:val="00CB45F9"/>
    <w:rsid w:val="00CC3CDE"/>
    <w:rsid w:val="00CD0AE3"/>
    <w:rsid w:val="00CD3B80"/>
    <w:rsid w:val="00CE7558"/>
    <w:rsid w:val="00D17FB1"/>
    <w:rsid w:val="00D31F0D"/>
    <w:rsid w:val="00D34EDF"/>
    <w:rsid w:val="00D35C22"/>
    <w:rsid w:val="00D954DE"/>
    <w:rsid w:val="00DB7E8A"/>
    <w:rsid w:val="00DC735D"/>
    <w:rsid w:val="00DE49C8"/>
    <w:rsid w:val="00DF0CE0"/>
    <w:rsid w:val="00E023D0"/>
    <w:rsid w:val="00E438D2"/>
    <w:rsid w:val="00E53F8C"/>
    <w:rsid w:val="00E61200"/>
    <w:rsid w:val="00E63FBE"/>
    <w:rsid w:val="00E80F9B"/>
    <w:rsid w:val="00E90F29"/>
    <w:rsid w:val="00EB1ABE"/>
    <w:rsid w:val="00EB4346"/>
    <w:rsid w:val="00ED1779"/>
    <w:rsid w:val="00EE7CA8"/>
    <w:rsid w:val="00EF6736"/>
    <w:rsid w:val="00EF6B76"/>
    <w:rsid w:val="00F014C7"/>
    <w:rsid w:val="00F02C24"/>
    <w:rsid w:val="00F04A9D"/>
    <w:rsid w:val="00F07594"/>
    <w:rsid w:val="00F31719"/>
    <w:rsid w:val="00F32C3A"/>
    <w:rsid w:val="00F53394"/>
    <w:rsid w:val="00F54AFB"/>
    <w:rsid w:val="00F67D80"/>
    <w:rsid w:val="00F718C6"/>
    <w:rsid w:val="00FC4DD8"/>
    <w:rsid w:val="00FD40C9"/>
    <w:rsid w:val="01016788"/>
    <w:rsid w:val="010B18A0"/>
    <w:rsid w:val="01101FD4"/>
    <w:rsid w:val="01630778"/>
    <w:rsid w:val="01857C73"/>
    <w:rsid w:val="01A12C3F"/>
    <w:rsid w:val="01D142D7"/>
    <w:rsid w:val="021F4C81"/>
    <w:rsid w:val="02414B92"/>
    <w:rsid w:val="028366E4"/>
    <w:rsid w:val="02A56B80"/>
    <w:rsid w:val="02B5383F"/>
    <w:rsid w:val="02C560C8"/>
    <w:rsid w:val="02F741FF"/>
    <w:rsid w:val="03077BF2"/>
    <w:rsid w:val="03240B2D"/>
    <w:rsid w:val="03404A6C"/>
    <w:rsid w:val="035324D3"/>
    <w:rsid w:val="036719BE"/>
    <w:rsid w:val="036D4CFA"/>
    <w:rsid w:val="038413BE"/>
    <w:rsid w:val="038C71B9"/>
    <w:rsid w:val="03C53166"/>
    <w:rsid w:val="0437435F"/>
    <w:rsid w:val="043948C2"/>
    <w:rsid w:val="0441683D"/>
    <w:rsid w:val="04897AAE"/>
    <w:rsid w:val="048D3C72"/>
    <w:rsid w:val="04946A57"/>
    <w:rsid w:val="049E01CA"/>
    <w:rsid w:val="04AA7A54"/>
    <w:rsid w:val="04C16F84"/>
    <w:rsid w:val="04DC1E95"/>
    <w:rsid w:val="05056F9C"/>
    <w:rsid w:val="05355932"/>
    <w:rsid w:val="053B507A"/>
    <w:rsid w:val="054D0BA9"/>
    <w:rsid w:val="056B6415"/>
    <w:rsid w:val="056F7E9D"/>
    <w:rsid w:val="05A04252"/>
    <w:rsid w:val="05B531D5"/>
    <w:rsid w:val="05D70893"/>
    <w:rsid w:val="05D879EE"/>
    <w:rsid w:val="05EF3BF5"/>
    <w:rsid w:val="061B4DCC"/>
    <w:rsid w:val="0631131C"/>
    <w:rsid w:val="0684556E"/>
    <w:rsid w:val="06AA1BC6"/>
    <w:rsid w:val="07005EC6"/>
    <w:rsid w:val="07144968"/>
    <w:rsid w:val="071F2807"/>
    <w:rsid w:val="07350087"/>
    <w:rsid w:val="074D0B91"/>
    <w:rsid w:val="07667537"/>
    <w:rsid w:val="076F789A"/>
    <w:rsid w:val="0784472B"/>
    <w:rsid w:val="079B0031"/>
    <w:rsid w:val="079F5559"/>
    <w:rsid w:val="07B55B45"/>
    <w:rsid w:val="07E16810"/>
    <w:rsid w:val="08213B81"/>
    <w:rsid w:val="084C0B9D"/>
    <w:rsid w:val="0873640D"/>
    <w:rsid w:val="08783888"/>
    <w:rsid w:val="08AE00F7"/>
    <w:rsid w:val="08C30F20"/>
    <w:rsid w:val="08DD3BDB"/>
    <w:rsid w:val="09583AE9"/>
    <w:rsid w:val="09717CB2"/>
    <w:rsid w:val="09A37C42"/>
    <w:rsid w:val="09B71979"/>
    <w:rsid w:val="09CA4C87"/>
    <w:rsid w:val="0A1846AD"/>
    <w:rsid w:val="0A334DE9"/>
    <w:rsid w:val="0A3673D1"/>
    <w:rsid w:val="0A391C61"/>
    <w:rsid w:val="0A747C95"/>
    <w:rsid w:val="0A99628C"/>
    <w:rsid w:val="0AA12C61"/>
    <w:rsid w:val="0AD50B07"/>
    <w:rsid w:val="0B0D3780"/>
    <w:rsid w:val="0B135418"/>
    <w:rsid w:val="0B192E69"/>
    <w:rsid w:val="0B1E5674"/>
    <w:rsid w:val="0B481D54"/>
    <w:rsid w:val="0BA32867"/>
    <w:rsid w:val="0C2B4087"/>
    <w:rsid w:val="0C405D06"/>
    <w:rsid w:val="0C5F45C4"/>
    <w:rsid w:val="0C6352C9"/>
    <w:rsid w:val="0C694A19"/>
    <w:rsid w:val="0C6E22F8"/>
    <w:rsid w:val="0C752414"/>
    <w:rsid w:val="0C781DA4"/>
    <w:rsid w:val="0CA4014A"/>
    <w:rsid w:val="0CD86DE7"/>
    <w:rsid w:val="0CF9441B"/>
    <w:rsid w:val="0CFE63A4"/>
    <w:rsid w:val="0D0807FC"/>
    <w:rsid w:val="0D33119A"/>
    <w:rsid w:val="0D4A2577"/>
    <w:rsid w:val="0D4D7EA2"/>
    <w:rsid w:val="0D596969"/>
    <w:rsid w:val="0D6D348A"/>
    <w:rsid w:val="0D8B7595"/>
    <w:rsid w:val="0D8E04F1"/>
    <w:rsid w:val="0D9C0739"/>
    <w:rsid w:val="0D9D63EA"/>
    <w:rsid w:val="0DC77E1F"/>
    <w:rsid w:val="0DE500C7"/>
    <w:rsid w:val="0E30061A"/>
    <w:rsid w:val="0E693E94"/>
    <w:rsid w:val="0EAB15DF"/>
    <w:rsid w:val="0EBD4ECC"/>
    <w:rsid w:val="0EC12B61"/>
    <w:rsid w:val="0ECB16D0"/>
    <w:rsid w:val="0F0F3E67"/>
    <w:rsid w:val="0F36681E"/>
    <w:rsid w:val="0F554B61"/>
    <w:rsid w:val="0FA658B8"/>
    <w:rsid w:val="0FA725F9"/>
    <w:rsid w:val="0FB125A0"/>
    <w:rsid w:val="0FF75B36"/>
    <w:rsid w:val="1007384E"/>
    <w:rsid w:val="101A42BE"/>
    <w:rsid w:val="10603F12"/>
    <w:rsid w:val="107962EB"/>
    <w:rsid w:val="107D7A08"/>
    <w:rsid w:val="10C4053D"/>
    <w:rsid w:val="10CE53A7"/>
    <w:rsid w:val="10D064F7"/>
    <w:rsid w:val="10D24A7B"/>
    <w:rsid w:val="10D763F7"/>
    <w:rsid w:val="10DA580F"/>
    <w:rsid w:val="11065CD9"/>
    <w:rsid w:val="111A2A3D"/>
    <w:rsid w:val="11244D2A"/>
    <w:rsid w:val="114253E0"/>
    <w:rsid w:val="11461A94"/>
    <w:rsid w:val="115D274C"/>
    <w:rsid w:val="115E3727"/>
    <w:rsid w:val="11B472DB"/>
    <w:rsid w:val="1207493D"/>
    <w:rsid w:val="120D27E9"/>
    <w:rsid w:val="124364E9"/>
    <w:rsid w:val="129E014D"/>
    <w:rsid w:val="12AC1D0D"/>
    <w:rsid w:val="12BA6A0A"/>
    <w:rsid w:val="12C2266E"/>
    <w:rsid w:val="12CB160F"/>
    <w:rsid w:val="12D77FEC"/>
    <w:rsid w:val="12DB00BA"/>
    <w:rsid w:val="12F90EE0"/>
    <w:rsid w:val="1306089F"/>
    <w:rsid w:val="13276FF6"/>
    <w:rsid w:val="13693296"/>
    <w:rsid w:val="137C1299"/>
    <w:rsid w:val="139726F4"/>
    <w:rsid w:val="139B4F53"/>
    <w:rsid w:val="13CE5FC4"/>
    <w:rsid w:val="13F53443"/>
    <w:rsid w:val="13FD53BD"/>
    <w:rsid w:val="144C6770"/>
    <w:rsid w:val="144D471F"/>
    <w:rsid w:val="147778EA"/>
    <w:rsid w:val="14943CCC"/>
    <w:rsid w:val="149D6F99"/>
    <w:rsid w:val="14CD7B2A"/>
    <w:rsid w:val="14F16B6F"/>
    <w:rsid w:val="14F865C3"/>
    <w:rsid w:val="150F189B"/>
    <w:rsid w:val="1517294D"/>
    <w:rsid w:val="153642D6"/>
    <w:rsid w:val="15457698"/>
    <w:rsid w:val="154A5906"/>
    <w:rsid w:val="155558C2"/>
    <w:rsid w:val="158A75E1"/>
    <w:rsid w:val="1592511B"/>
    <w:rsid w:val="159C567E"/>
    <w:rsid w:val="15A520DA"/>
    <w:rsid w:val="15C0221F"/>
    <w:rsid w:val="15D77617"/>
    <w:rsid w:val="15D85E33"/>
    <w:rsid w:val="15E6513C"/>
    <w:rsid w:val="15E819C1"/>
    <w:rsid w:val="15F81571"/>
    <w:rsid w:val="16554F68"/>
    <w:rsid w:val="165B5F0F"/>
    <w:rsid w:val="166320D6"/>
    <w:rsid w:val="166C4896"/>
    <w:rsid w:val="167B7AAC"/>
    <w:rsid w:val="169B4AF9"/>
    <w:rsid w:val="16DA4EE4"/>
    <w:rsid w:val="16DB0595"/>
    <w:rsid w:val="16DF2F08"/>
    <w:rsid w:val="16E051E8"/>
    <w:rsid w:val="16ED26EB"/>
    <w:rsid w:val="17066EDE"/>
    <w:rsid w:val="1713214D"/>
    <w:rsid w:val="17945C52"/>
    <w:rsid w:val="17970727"/>
    <w:rsid w:val="18092CD5"/>
    <w:rsid w:val="180D00A7"/>
    <w:rsid w:val="181A6207"/>
    <w:rsid w:val="18214341"/>
    <w:rsid w:val="18336B8F"/>
    <w:rsid w:val="185B4107"/>
    <w:rsid w:val="1874792B"/>
    <w:rsid w:val="18C00D35"/>
    <w:rsid w:val="18D13A9A"/>
    <w:rsid w:val="18DE453C"/>
    <w:rsid w:val="18E514CE"/>
    <w:rsid w:val="190848C5"/>
    <w:rsid w:val="190A3B3E"/>
    <w:rsid w:val="191474B7"/>
    <w:rsid w:val="192C0FEE"/>
    <w:rsid w:val="19331160"/>
    <w:rsid w:val="19496281"/>
    <w:rsid w:val="196F6FC1"/>
    <w:rsid w:val="197017C0"/>
    <w:rsid w:val="19711A8D"/>
    <w:rsid w:val="19992BD1"/>
    <w:rsid w:val="19AB5ACC"/>
    <w:rsid w:val="19C3351E"/>
    <w:rsid w:val="19CA0483"/>
    <w:rsid w:val="1A6E6871"/>
    <w:rsid w:val="1ADA1355"/>
    <w:rsid w:val="1B006539"/>
    <w:rsid w:val="1B194961"/>
    <w:rsid w:val="1B195DEC"/>
    <w:rsid w:val="1B285C20"/>
    <w:rsid w:val="1B4A6BAE"/>
    <w:rsid w:val="1B4B370A"/>
    <w:rsid w:val="1B537FF8"/>
    <w:rsid w:val="1B767B01"/>
    <w:rsid w:val="1B860FD9"/>
    <w:rsid w:val="1BB05E26"/>
    <w:rsid w:val="1BB20FFF"/>
    <w:rsid w:val="1BC40E99"/>
    <w:rsid w:val="1BC8314E"/>
    <w:rsid w:val="1BCA7890"/>
    <w:rsid w:val="1BCB6A47"/>
    <w:rsid w:val="1BEF17A5"/>
    <w:rsid w:val="1BFB1779"/>
    <w:rsid w:val="1BFD00F2"/>
    <w:rsid w:val="1C1327C3"/>
    <w:rsid w:val="1C3670C8"/>
    <w:rsid w:val="1C43363D"/>
    <w:rsid w:val="1C4628F7"/>
    <w:rsid w:val="1C79295A"/>
    <w:rsid w:val="1CA03602"/>
    <w:rsid w:val="1CAE50F5"/>
    <w:rsid w:val="1CC16689"/>
    <w:rsid w:val="1CCC24BC"/>
    <w:rsid w:val="1CE512E6"/>
    <w:rsid w:val="1CEF2480"/>
    <w:rsid w:val="1D061139"/>
    <w:rsid w:val="1D8A0E3C"/>
    <w:rsid w:val="1D9254CD"/>
    <w:rsid w:val="1DA15E50"/>
    <w:rsid w:val="1DB27B15"/>
    <w:rsid w:val="1DB87E85"/>
    <w:rsid w:val="1DC85751"/>
    <w:rsid w:val="1DC934BA"/>
    <w:rsid w:val="1DEB61F5"/>
    <w:rsid w:val="1E0A627C"/>
    <w:rsid w:val="1E16086E"/>
    <w:rsid w:val="1E927FD6"/>
    <w:rsid w:val="1E9860A5"/>
    <w:rsid w:val="1EA838E7"/>
    <w:rsid w:val="1ED20877"/>
    <w:rsid w:val="1ED94E4B"/>
    <w:rsid w:val="1EF77DC5"/>
    <w:rsid w:val="1F383ACC"/>
    <w:rsid w:val="1F596305"/>
    <w:rsid w:val="1F8811C7"/>
    <w:rsid w:val="1F9062F5"/>
    <w:rsid w:val="1FEB5C6A"/>
    <w:rsid w:val="202209B9"/>
    <w:rsid w:val="20254CE5"/>
    <w:rsid w:val="20280066"/>
    <w:rsid w:val="202C0E96"/>
    <w:rsid w:val="202F7900"/>
    <w:rsid w:val="20304AD2"/>
    <w:rsid w:val="203B6599"/>
    <w:rsid w:val="204F6722"/>
    <w:rsid w:val="20902778"/>
    <w:rsid w:val="20AF30C4"/>
    <w:rsid w:val="20B147CB"/>
    <w:rsid w:val="20C20F88"/>
    <w:rsid w:val="20D207CE"/>
    <w:rsid w:val="20FD5C7C"/>
    <w:rsid w:val="21096CBA"/>
    <w:rsid w:val="2115662C"/>
    <w:rsid w:val="21361A04"/>
    <w:rsid w:val="214418DF"/>
    <w:rsid w:val="21B95143"/>
    <w:rsid w:val="21C04FD1"/>
    <w:rsid w:val="21D0339E"/>
    <w:rsid w:val="21D51B3D"/>
    <w:rsid w:val="21FE0CB2"/>
    <w:rsid w:val="220D6242"/>
    <w:rsid w:val="22196712"/>
    <w:rsid w:val="2272212A"/>
    <w:rsid w:val="22EC4950"/>
    <w:rsid w:val="22ED5F44"/>
    <w:rsid w:val="23197F12"/>
    <w:rsid w:val="231A56E2"/>
    <w:rsid w:val="231F7C19"/>
    <w:rsid w:val="232B5FAF"/>
    <w:rsid w:val="233F76E0"/>
    <w:rsid w:val="23481CC9"/>
    <w:rsid w:val="235F1272"/>
    <w:rsid w:val="23AE10BA"/>
    <w:rsid w:val="23E56B32"/>
    <w:rsid w:val="24142B46"/>
    <w:rsid w:val="24183F62"/>
    <w:rsid w:val="2433149D"/>
    <w:rsid w:val="246270E4"/>
    <w:rsid w:val="24772C2B"/>
    <w:rsid w:val="248B2E3F"/>
    <w:rsid w:val="24DF22D5"/>
    <w:rsid w:val="25241FCD"/>
    <w:rsid w:val="2558375B"/>
    <w:rsid w:val="257008BE"/>
    <w:rsid w:val="258A0443"/>
    <w:rsid w:val="25CC56DD"/>
    <w:rsid w:val="25E86FC2"/>
    <w:rsid w:val="260C3AE7"/>
    <w:rsid w:val="261B35E2"/>
    <w:rsid w:val="261D7A35"/>
    <w:rsid w:val="263A612D"/>
    <w:rsid w:val="26483965"/>
    <w:rsid w:val="26684108"/>
    <w:rsid w:val="268B0B22"/>
    <w:rsid w:val="26BB7E4E"/>
    <w:rsid w:val="26C10F08"/>
    <w:rsid w:val="26D075A8"/>
    <w:rsid w:val="26D17DBC"/>
    <w:rsid w:val="26D24757"/>
    <w:rsid w:val="26DB553E"/>
    <w:rsid w:val="274D17E4"/>
    <w:rsid w:val="27506176"/>
    <w:rsid w:val="275D4096"/>
    <w:rsid w:val="276C3DD0"/>
    <w:rsid w:val="27A57C3A"/>
    <w:rsid w:val="27D20BC1"/>
    <w:rsid w:val="27EB7AF0"/>
    <w:rsid w:val="280553D3"/>
    <w:rsid w:val="280F6C60"/>
    <w:rsid w:val="281253C2"/>
    <w:rsid w:val="28163476"/>
    <w:rsid w:val="282455AC"/>
    <w:rsid w:val="2838738D"/>
    <w:rsid w:val="286F250E"/>
    <w:rsid w:val="287D2504"/>
    <w:rsid w:val="2886147E"/>
    <w:rsid w:val="28A87389"/>
    <w:rsid w:val="28AB0694"/>
    <w:rsid w:val="28AE6A69"/>
    <w:rsid w:val="28B81772"/>
    <w:rsid w:val="291176CC"/>
    <w:rsid w:val="291C67BC"/>
    <w:rsid w:val="29503AAE"/>
    <w:rsid w:val="29573123"/>
    <w:rsid w:val="297F7A53"/>
    <w:rsid w:val="2992095F"/>
    <w:rsid w:val="299E0F2E"/>
    <w:rsid w:val="29AC6651"/>
    <w:rsid w:val="29C4608A"/>
    <w:rsid w:val="29E769C8"/>
    <w:rsid w:val="29F21662"/>
    <w:rsid w:val="29F51AC1"/>
    <w:rsid w:val="29F51D07"/>
    <w:rsid w:val="29FC30C2"/>
    <w:rsid w:val="2A6D3E9B"/>
    <w:rsid w:val="2A783D0E"/>
    <w:rsid w:val="2A9C0461"/>
    <w:rsid w:val="2AD0515C"/>
    <w:rsid w:val="2AE8528D"/>
    <w:rsid w:val="2AF16E8B"/>
    <w:rsid w:val="2B0B7CEC"/>
    <w:rsid w:val="2B27452A"/>
    <w:rsid w:val="2B2D4BDC"/>
    <w:rsid w:val="2B4503EF"/>
    <w:rsid w:val="2B767712"/>
    <w:rsid w:val="2BBA7AC6"/>
    <w:rsid w:val="2BFC26B9"/>
    <w:rsid w:val="2C18391D"/>
    <w:rsid w:val="2C3C0A88"/>
    <w:rsid w:val="2C596FFF"/>
    <w:rsid w:val="2C70340D"/>
    <w:rsid w:val="2C7F51A8"/>
    <w:rsid w:val="2C9A17D6"/>
    <w:rsid w:val="2CA6566A"/>
    <w:rsid w:val="2CAE7599"/>
    <w:rsid w:val="2CB749B3"/>
    <w:rsid w:val="2CBB6294"/>
    <w:rsid w:val="2CBF39BD"/>
    <w:rsid w:val="2D016EDC"/>
    <w:rsid w:val="2D197980"/>
    <w:rsid w:val="2D2E04D4"/>
    <w:rsid w:val="2D3878C4"/>
    <w:rsid w:val="2D3A4057"/>
    <w:rsid w:val="2D5343E6"/>
    <w:rsid w:val="2D994DBE"/>
    <w:rsid w:val="2DD53F02"/>
    <w:rsid w:val="2E0A0263"/>
    <w:rsid w:val="2E16147F"/>
    <w:rsid w:val="2E2F66DA"/>
    <w:rsid w:val="2E73484D"/>
    <w:rsid w:val="2E734C4D"/>
    <w:rsid w:val="2E9A7164"/>
    <w:rsid w:val="2ED21188"/>
    <w:rsid w:val="2EE1137A"/>
    <w:rsid w:val="2EEB0819"/>
    <w:rsid w:val="2F010E90"/>
    <w:rsid w:val="2F0C69E6"/>
    <w:rsid w:val="2F0D5CED"/>
    <w:rsid w:val="2F236129"/>
    <w:rsid w:val="2F2C56BA"/>
    <w:rsid w:val="2F2D0218"/>
    <w:rsid w:val="2F356A16"/>
    <w:rsid w:val="2F4614DA"/>
    <w:rsid w:val="2F636A54"/>
    <w:rsid w:val="2FA00DAE"/>
    <w:rsid w:val="30081603"/>
    <w:rsid w:val="30420830"/>
    <w:rsid w:val="309C224F"/>
    <w:rsid w:val="30B40786"/>
    <w:rsid w:val="31190489"/>
    <w:rsid w:val="311C3987"/>
    <w:rsid w:val="31232963"/>
    <w:rsid w:val="315857B1"/>
    <w:rsid w:val="315F7F70"/>
    <w:rsid w:val="31AB6658"/>
    <w:rsid w:val="31BC3F1B"/>
    <w:rsid w:val="31C37B9C"/>
    <w:rsid w:val="32137CF0"/>
    <w:rsid w:val="321E50BD"/>
    <w:rsid w:val="32224344"/>
    <w:rsid w:val="32340C69"/>
    <w:rsid w:val="32363F32"/>
    <w:rsid w:val="32471F5A"/>
    <w:rsid w:val="3253078F"/>
    <w:rsid w:val="325E3A96"/>
    <w:rsid w:val="32883C32"/>
    <w:rsid w:val="32B7356F"/>
    <w:rsid w:val="330C088A"/>
    <w:rsid w:val="330D0F43"/>
    <w:rsid w:val="332A5E08"/>
    <w:rsid w:val="333E728C"/>
    <w:rsid w:val="33447B02"/>
    <w:rsid w:val="334F202E"/>
    <w:rsid w:val="33A04007"/>
    <w:rsid w:val="33A60671"/>
    <w:rsid w:val="33AF4FB4"/>
    <w:rsid w:val="33CF2119"/>
    <w:rsid w:val="33DE4357"/>
    <w:rsid w:val="341A15C4"/>
    <w:rsid w:val="341D5AAB"/>
    <w:rsid w:val="342732F1"/>
    <w:rsid w:val="342B2E3E"/>
    <w:rsid w:val="3454463B"/>
    <w:rsid w:val="346B507B"/>
    <w:rsid w:val="347B293F"/>
    <w:rsid w:val="348C37FE"/>
    <w:rsid w:val="34AA4F73"/>
    <w:rsid w:val="34F52FDD"/>
    <w:rsid w:val="352B6C5A"/>
    <w:rsid w:val="35520294"/>
    <w:rsid w:val="357A04F1"/>
    <w:rsid w:val="357C1D84"/>
    <w:rsid w:val="35887A53"/>
    <w:rsid w:val="35B4397E"/>
    <w:rsid w:val="35E22DCF"/>
    <w:rsid w:val="36034EE1"/>
    <w:rsid w:val="36237D2D"/>
    <w:rsid w:val="363503EB"/>
    <w:rsid w:val="3647637B"/>
    <w:rsid w:val="367F686D"/>
    <w:rsid w:val="36A14C50"/>
    <w:rsid w:val="36B412F5"/>
    <w:rsid w:val="36CC7A6D"/>
    <w:rsid w:val="37076693"/>
    <w:rsid w:val="372B30FF"/>
    <w:rsid w:val="372F768E"/>
    <w:rsid w:val="375E41FD"/>
    <w:rsid w:val="3765223E"/>
    <w:rsid w:val="376A4278"/>
    <w:rsid w:val="377870B5"/>
    <w:rsid w:val="377D54A5"/>
    <w:rsid w:val="377D5E16"/>
    <w:rsid w:val="377E65D4"/>
    <w:rsid w:val="37872B44"/>
    <w:rsid w:val="379F77DA"/>
    <w:rsid w:val="37A7041E"/>
    <w:rsid w:val="37A80A27"/>
    <w:rsid w:val="37C914D9"/>
    <w:rsid w:val="37D63EC9"/>
    <w:rsid w:val="37F02038"/>
    <w:rsid w:val="38280519"/>
    <w:rsid w:val="386D019E"/>
    <w:rsid w:val="38894B13"/>
    <w:rsid w:val="38A42A5B"/>
    <w:rsid w:val="38C10BFB"/>
    <w:rsid w:val="38DD791D"/>
    <w:rsid w:val="390D4999"/>
    <w:rsid w:val="3920221B"/>
    <w:rsid w:val="39334BFF"/>
    <w:rsid w:val="393667C3"/>
    <w:rsid w:val="39457CAF"/>
    <w:rsid w:val="3948048E"/>
    <w:rsid w:val="39B565E1"/>
    <w:rsid w:val="39D4235F"/>
    <w:rsid w:val="39FD6163"/>
    <w:rsid w:val="3A257802"/>
    <w:rsid w:val="3A606A76"/>
    <w:rsid w:val="3A921749"/>
    <w:rsid w:val="3AA81B41"/>
    <w:rsid w:val="3B143086"/>
    <w:rsid w:val="3B1A2D8C"/>
    <w:rsid w:val="3B4042AB"/>
    <w:rsid w:val="3B66210B"/>
    <w:rsid w:val="3B814E71"/>
    <w:rsid w:val="3B972AF7"/>
    <w:rsid w:val="3BB62FA9"/>
    <w:rsid w:val="3BB70D15"/>
    <w:rsid w:val="3BBB09FC"/>
    <w:rsid w:val="3BC91BB9"/>
    <w:rsid w:val="3C120308"/>
    <w:rsid w:val="3C42650A"/>
    <w:rsid w:val="3C762DF2"/>
    <w:rsid w:val="3C7D1D40"/>
    <w:rsid w:val="3C9B51F8"/>
    <w:rsid w:val="3CDD0DBD"/>
    <w:rsid w:val="3CE71604"/>
    <w:rsid w:val="3D101034"/>
    <w:rsid w:val="3D544EBB"/>
    <w:rsid w:val="3D8E489F"/>
    <w:rsid w:val="3D9814F2"/>
    <w:rsid w:val="3DBE5198"/>
    <w:rsid w:val="3DE32AFA"/>
    <w:rsid w:val="3E136ED4"/>
    <w:rsid w:val="3E2726B6"/>
    <w:rsid w:val="3E73166B"/>
    <w:rsid w:val="3E8A1A02"/>
    <w:rsid w:val="3E8E765E"/>
    <w:rsid w:val="3EA9393D"/>
    <w:rsid w:val="3EAD0498"/>
    <w:rsid w:val="3EC56D78"/>
    <w:rsid w:val="3EC7715A"/>
    <w:rsid w:val="3ECE7660"/>
    <w:rsid w:val="3ED16A4F"/>
    <w:rsid w:val="3ED17EBE"/>
    <w:rsid w:val="3EDC543E"/>
    <w:rsid w:val="3EED5016"/>
    <w:rsid w:val="3EF52FF7"/>
    <w:rsid w:val="3EF75B65"/>
    <w:rsid w:val="3EFB570C"/>
    <w:rsid w:val="3F2B7413"/>
    <w:rsid w:val="3F302C27"/>
    <w:rsid w:val="3F5871FB"/>
    <w:rsid w:val="3F76782C"/>
    <w:rsid w:val="3F8E35DC"/>
    <w:rsid w:val="3F8F5DC2"/>
    <w:rsid w:val="3FA46F4F"/>
    <w:rsid w:val="3FB00475"/>
    <w:rsid w:val="3FBF5991"/>
    <w:rsid w:val="3FE10717"/>
    <w:rsid w:val="40023F34"/>
    <w:rsid w:val="40090025"/>
    <w:rsid w:val="40181902"/>
    <w:rsid w:val="402F5A4D"/>
    <w:rsid w:val="40411288"/>
    <w:rsid w:val="404742BD"/>
    <w:rsid w:val="40600DD5"/>
    <w:rsid w:val="40660F91"/>
    <w:rsid w:val="407D57C8"/>
    <w:rsid w:val="40A05374"/>
    <w:rsid w:val="40B26892"/>
    <w:rsid w:val="40E21CB8"/>
    <w:rsid w:val="410F31C3"/>
    <w:rsid w:val="4112553B"/>
    <w:rsid w:val="41344AAB"/>
    <w:rsid w:val="41380815"/>
    <w:rsid w:val="41550C30"/>
    <w:rsid w:val="417018EE"/>
    <w:rsid w:val="41875FCE"/>
    <w:rsid w:val="4190424D"/>
    <w:rsid w:val="41BA6E78"/>
    <w:rsid w:val="41F6399A"/>
    <w:rsid w:val="41F94DC7"/>
    <w:rsid w:val="41FA3A29"/>
    <w:rsid w:val="42137C42"/>
    <w:rsid w:val="422E57D7"/>
    <w:rsid w:val="42555DF7"/>
    <w:rsid w:val="42A27001"/>
    <w:rsid w:val="42C507A4"/>
    <w:rsid w:val="42F07508"/>
    <w:rsid w:val="43270B23"/>
    <w:rsid w:val="43366434"/>
    <w:rsid w:val="434A0913"/>
    <w:rsid w:val="436A64E9"/>
    <w:rsid w:val="43711057"/>
    <w:rsid w:val="439C4F5E"/>
    <w:rsid w:val="43E630D7"/>
    <w:rsid w:val="43EF2D9F"/>
    <w:rsid w:val="43F02783"/>
    <w:rsid w:val="44656E26"/>
    <w:rsid w:val="44786783"/>
    <w:rsid w:val="449457D3"/>
    <w:rsid w:val="44A25A9F"/>
    <w:rsid w:val="44A61055"/>
    <w:rsid w:val="44BE5C95"/>
    <w:rsid w:val="44DD6EB7"/>
    <w:rsid w:val="44E01145"/>
    <w:rsid w:val="450018DF"/>
    <w:rsid w:val="450F2BC2"/>
    <w:rsid w:val="451D2C75"/>
    <w:rsid w:val="45366DBD"/>
    <w:rsid w:val="454746DD"/>
    <w:rsid w:val="455367B2"/>
    <w:rsid w:val="45555732"/>
    <w:rsid w:val="455F10D7"/>
    <w:rsid w:val="456355DA"/>
    <w:rsid w:val="45741675"/>
    <w:rsid w:val="459C4648"/>
    <w:rsid w:val="45A02EDD"/>
    <w:rsid w:val="45E61BCA"/>
    <w:rsid w:val="4638018C"/>
    <w:rsid w:val="46416C3D"/>
    <w:rsid w:val="46433285"/>
    <w:rsid w:val="46526D41"/>
    <w:rsid w:val="46584865"/>
    <w:rsid w:val="46681B67"/>
    <w:rsid w:val="468200E4"/>
    <w:rsid w:val="46903F4D"/>
    <w:rsid w:val="469815BE"/>
    <w:rsid w:val="46A14FC5"/>
    <w:rsid w:val="46B27CB1"/>
    <w:rsid w:val="46D34E98"/>
    <w:rsid w:val="47001117"/>
    <w:rsid w:val="471F283E"/>
    <w:rsid w:val="47246805"/>
    <w:rsid w:val="47492E75"/>
    <w:rsid w:val="474F7F9F"/>
    <w:rsid w:val="475F3AC1"/>
    <w:rsid w:val="47863C68"/>
    <w:rsid w:val="479A2ED2"/>
    <w:rsid w:val="47B328B4"/>
    <w:rsid w:val="47C13542"/>
    <w:rsid w:val="48113D01"/>
    <w:rsid w:val="484C7B11"/>
    <w:rsid w:val="485E0A04"/>
    <w:rsid w:val="48740F1D"/>
    <w:rsid w:val="48761BE3"/>
    <w:rsid w:val="489E0EB1"/>
    <w:rsid w:val="48A4548A"/>
    <w:rsid w:val="48A57E1F"/>
    <w:rsid w:val="48B50D92"/>
    <w:rsid w:val="48DE3BBF"/>
    <w:rsid w:val="48E77164"/>
    <w:rsid w:val="49051B72"/>
    <w:rsid w:val="491D19DF"/>
    <w:rsid w:val="49304CB2"/>
    <w:rsid w:val="496F6EBE"/>
    <w:rsid w:val="497526AF"/>
    <w:rsid w:val="49784950"/>
    <w:rsid w:val="49814F4C"/>
    <w:rsid w:val="49A364F7"/>
    <w:rsid w:val="49B42429"/>
    <w:rsid w:val="49C4569B"/>
    <w:rsid w:val="4A074043"/>
    <w:rsid w:val="4A090DC7"/>
    <w:rsid w:val="4A091441"/>
    <w:rsid w:val="4A14567E"/>
    <w:rsid w:val="4A1E6180"/>
    <w:rsid w:val="4A2308FE"/>
    <w:rsid w:val="4A281B7F"/>
    <w:rsid w:val="4A287AB1"/>
    <w:rsid w:val="4A5133EE"/>
    <w:rsid w:val="4A915C19"/>
    <w:rsid w:val="4A955A49"/>
    <w:rsid w:val="4A9C5501"/>
    <w:rsid w:val="4AD80F53"/>
    <w:rsid w:val="4B2C75A6"/>
    <w:rsid w:val="4B2F25FD"/>
    <w:rsid w:val="4BB15678"/>
    <w:rsid w:val="4BB76960"/>
    <w:rsid w:val="4BD03593"/>
    <w:rsid w:val="4BD63363"/>
    <w:rsid w:val="4BD87666"/>
    <w:rsid w:val="4BE6691C"/>
    <w:rsid w:val="4BF467F9"/>
    <w:rsid w:val="4BF83E44"/>
    <w:rsid w:val="4C276C17"/>
    <w:rsid w:val="4C6726C0"/>
    <w:rsid w:val="4C7C0669"/>
    <w:rsid w:val="4C850277"/>
    <w:rsid w:val="4C9904F2"/>
    <w:rsid w:val="4CC17F25"/>
    <w:rsid w:val="4D2572CD"/>
    <w:rsid w:val="4D354FF0"/>
    <w:rsid w:val="4D46134F"/>
    <w:rsid w:val="4D4C32B8"/>
    <w:rsid w:val="4DBB048A"/>
    <w:rsid w:val="4DE07DE4"/>
    <w:rsid w:val="4DF5709E"/>
    <w:rsid w:val="4E0D5D14"/>
    <w:rsid w:val="4E2F45C0"/>
    <w:rsid w:val="4E363F2F"/>
    <w:rsid w:val="4EA42281"/>
    <w:rsid w:val="4EA546F0"/>
    <w:rsid w:val="4EAF3AED"/>
    <w:rsid w:val="4EB0019E"/>
    <w:rsid w:val="4ECB1385"/>
    <w:rsid w:val="4ED32851"/>
    <w:rsid w:val="4ED35762"/>
    <w:rsid w:val="4EF5014E"/>
    <w:rsid w:val="4EFA3C4E"/>
    <w:rsid w:val="4F235A8E"/>
    <w:rsid w:val="4F26262A"/>
    <w:rsid w:val="4F33554E"/>
    <w:rsid w:val="4F612BE4"/>
    <w:rsid w:val="4F6461D6"/>
    <w:rsid w:val="4F7B292B"/>
    <w:rsid w:val="4F9E59ED"/>
    <w:rsid w:val="4FDC58FD"/>
    <w:rsid w:val="4FDE1C0C"/>
    <w:rsid w:val="4FE54A2D"/>
    <w:rsid w:val="50202BC7"/>
    <w:rsid w:val="50216FE4"/>
    <w:rsid w:val="50614DD7"/>
    <w:rsid w:val="506B628A"/>
    <w:rsid w:val="50787CFE"/>
    <w:rsid w:val="50AE1AE4"/>
    <w:rsid w:val="50FE2631"/>
    <w:rsid w:val="51151D83"/>
    <w:rsid w:val="51167E7F"/>
    <w:rsid w:val="51390032"/>
    <w:rsid w:val="515426DE"/>
    <w:rsid w:val="515C74D2"/>
    <w:rsid w:val="51652C0F"/>
    <w:rsid w:val="518D4538"/>
    <w:rsid w:val="51960DFD"/>
    <w:rsid w:val="519C236E"/>
    <w:rsid w:val="51BB2BF3"/>
    <w:rsid w:val="51C77A8A"/>
    <w:rsid w:val="51FD0367"/>
    <w:rsid w:val="52377D55"/>
    <w:rsid w:val="526239CC"/>
    <w:rsid w:val="52862351"/>
    <w:rsid w:val="52984624"/>
    <w:rsid w:val="52F10B24"/>
    <w:rsid w:val="531D6696"/>
    <w:rsid w:val="534A2585"/>
    <w:rsid w:val="53921453"/>
    <w:rsid w:val="539D3FE2"/>
    <w:rsid w:val="53A03056"/>
    <w:rsid w:val="53A31787"/>
    <w:rsid w:val="53D7503B"/>
    <w:rsid w:val="53E637C7"/>
    <w:rsid w:val="53E8647E"/>
    <w:rsid w:val="53F45929"/>
    <w:rsid w:val="53FC0907"/>
    <w:rsid w:val="5468198B"/>
    <w:rsid w:val="54951AB4"/>
    <w:rsid w:val="549A0B06"/>
    <w:rsid w:val="54A655A6"/>
    <w:rsid w:val="54D53B13"/>
    <w:rsid w:val="54EB74E4"/>
    <w:rsid w:val="55284AD7"/>
    <w:rsid w:val="5530324E"/>
    <w:rsid w:val="55457E29"/>
    <w:rsid w:val="555B0657"/>
    <w:rsid w:val="556032BE"/>
    <w:rsid w:val="55B86023"/>
    <w:rsid w:val="55C151DC"/>
    <w:rsid w:val="55E556DC"/>
    <w:rsid w:val="55FF3036"/>
    <w:rsid w:val="56213505"/>
    <w:rsid w:val="56292705"/>
    <w:rsid w:val="5632227A"/>
    <w:rsid w:val="564E3203"/>
    <w:rsid w:val="568C03E5"/>
    <w:rsid w:val="56DB1D29"/>
    <w:rsid w:val="56E60496"/>
    <w:rsid w:val="57374E0B"/>
    <w:rsid w:val="57444728"/>
    <w:rsid w:val="575B090B"/>
    <w:rsid w:val="577439B5"/>
    <w:rsid w:val="57926FF9"/>
    <w:rsid w:val="57E6509B"/>
    <w:rsid w:val="57E738F8"/>
    <w:rsid w:val="57EB5B27"/>
    <w:rsid w:val="57EC2D60"/>
    <w:rsid w:val="58263426"/>
    <w:rsid w:val="583C0E12"/>
    <w:rsid w:val="58741EB5"/>
    <w:rsid w:val="58A14304"/>
    <w:rsid w:val="58A3772F"/>
    <w:rsid w:val="58B57CAD"/>
    <w:rsid w:val="58CC5EFE"/>
    <w:rsid w:val="58E3487B"/>
    <w:rsid w:val="58FB3B6A"/>
    <w:rsid w:val="59026288"/>
    <w:rsid w:val="590668BB"/>
    <w:rsid w:val="59205FDE"/>
    <w:rsid w:val="59336ED5"/>
    <w:rsid w:val="59393A95"/>
    <w:rsid w:val="59432CA0"/>
    <w:rsid w:val="594A3241"/>
    <w:rsid w:val="594D3E46"/>
    <w:rsid w:val="595C3DA0"/>
    <w:rsid w:val="595E62F2"/>
    <w:rsid w:val="59693F87"/>
    <w:rsid w:val="59B42F07"/>
    <w:rsid w:val="59BB77BA"/>
    <w:rsid w:val="5A2C4220"/>
    <w:rsid w:val="5A316507"/>
    <w:rsid w:val="5A497C34"/>
    <w:rsid w:val="5A4C0E52"/>
    <w:rsid w:val="5A7B33E5"/>
    <w:rsid w:val="5A8C664D"/>
    <w:rsid w:val="5ABD43B1"/>
    <w:rsid w:val="5AC20EBF"/>
    <w:rsid w:val="5ACD5B73"/>
    <w:rsid w:val="5ADF42CD"/>
    <w:rsid w:val="5AE8436A"/>
    <w:rsid w:val="5B050809"/>
    <w:rsid w:val="5B0D6263"/>
    <w:rsid w:val="5B366061"/>
    <w:rsid w:val="5B3846E5"/>
    <w:rsid w:val="5B5C5E93"/>
    <w:rsid w:val="5B5E3394"/>
    <w:rsid w:val="5B74024A"/>
    <w:rsid w:val="5B792560"/>
    <w:rsid w:val="5B9D0E06"/>
    <w:rsid w:val="5BA172F8"/>
    <w:rsid w:val="5BB151A5"/>
    <w:rsid w:val="5BB6027C"/>
    <w:rsid w:val="5BBB47C2"/>
    <w:rsid w:val="5BF62976"/>
    <w:rsid w:val="5C16597D"/>
    <w:rsid w:val="5C707C6C"/>
    <w:rsid w:val="5C8E0CD7"/>
    <w:rsid w:val="5C9E2C36"/>
    <w:rsid w:val="5CBB2347"/>
    <w:rsid w:val="5CC6320E"/>
    <w:rsid w:val="5CC76C7C"/>
    <w:rsid w:val="5CF36024"/>
    <w:rsid w:val="5CFF01AA"/>
    <w:rsid w:val="5D1344DD"/>
    <w:rsid w:val="5D7B6EDD"/>
    <w:rsid w:val="5D806796"/>
    <w:rsid w:val="5D827D40"/>
    <w:rsid w:val="5DC43C07"/>
    <w:rsid w:val="5DCA3A55"/>
    <w:rsid w:val="5DCD3255"/>
    <w:rsid w:val="5DFB3FA8"/>
    <w:rsid w:val="5E33770D"/>
    <w:rsid w:val="5E532ADD"/>
    <w:rsid w:val="5E610B28"/>
    <w:rsid w:val="5E66579C"/>
    <w:rsid w:val="5E91320F"/>
    <w:rsid w:val="5E915A7A"/>
    <w:rsid w:val="5EA33A97"/>
    <w:rsid w:val="5EBC6ED0"/>
    <w:rsid w:val="5EC72C13"/>
    <w:rsid w:val="5ED134B6"/>
    <w:rsid w:val="5EF55DBA"/>
    <w:rsid w:val="5F405E83"/>
    <w:rsid w:val="5F6B1358"/>
    <w:rsid w:val="5FC51458"/>
    <w:rsid w:val="5FC866E5"/>
    <w:rsid w:val="5FCB1E8F"/>
    <w:rsid w:val="5FDC13D8"/>
    <w:rsid w:val="60090629"/>
    <w:rsid w:val="60413F7F"/>
    <w:rsid w:val="60482F15"/>
    <w:rsid w:val="60660F52"/>
    <w:rsid w:val="606A3C6B"/>
    <w:rsid w:val="609B5019"/>
    <w:rsid w:val="60B4769E"/>
    <w:rsid w:val="610242F6"/>
    <w:rsid w:val="6119401A"/>
    <w:rsid w:val="611D2CA6"/>
    <w:rsid w:val="61200642"/>
    <w:rsid w:val="61467F1B"/>
    <w:rsid w:val="61652DB1"/>
    <w:rsid w:val="61970BE7"/>
    <w:rsid w:val="61971E9F"/>
    <w:rsid w:val="61A20E5D"/>
    <w:rsid w:val="61F17268"/>
    <w:rsid w:val="6208174D"/>
    <w:rsid w:val="620A3859"/>
    <w:rsid w:val="62204E0F"/>
    <w:rsid w:val="62207D5C"/>
    <w:rsid w:val="624063A3"/>
    <w:rsid w:val="62533606"/>
    <w:rsid w:val="62845968"/>
    <w:rsid w:val="62A86B6F"/>
    <w:rsid w:val="62B35B81"/>
    <w:rsid w:val="62B75EDD"/>
    <w:rsid w:val="62C01D55"/>
    <w:rsid w:val="62C92F2D"/>
    <w:rsid w:val="62D93169"/>
    <w:rsid w:val="631D5B18"/>
    <w:rsid w:val="631E201F"/>
    <w:rsid w:val="63320961"/>
    <w:rsid w:val="634E6C76"/>
    <w:rsid w:val="63577D60"/>
    <w:rsid w:val="636514C6"/>
    <w:rsid w:val="636F701B"/>
    <w:rsid w:val="6382662F"/>
    <w:rsid w:val="63C95202"/>
    <w:rsid w:val="63CB4107"/>
    <w:rsid w:val="63CB5B79"/>
    <w:rsid w:val="63DB551D"/>
    <w:rsid w:val="64090834"/>
    <w:rsid w:val="64116EAE"/>
    <w:rsid w:val="64272A3B"/>
    <w:rsid w:val="6467063D"/>
    <w:rsid w:val="648F4A0E"/>
    <w:rsid w:val="64937E71"/>
    <w:rsid w:val="6495646A"/>
    <w:rsid w:val="649F7880"/>
    <w:rsid w:val="64FA320D"/>
    <w:rsid w:val="65797FD4"/>
    <w:rsid w:val="658D5E16"/>
    <w:rsid w:val="65953363"/>
    <w:rsid w:val="65B841DE"/>
    <w:rsid w:val="65CA03C9"/>
    <w:rsid w:val="65E1661E"/>
    <w:rsid w:val="65E36C18"/>
    <w:rsid w:val="660918F9"/>
    <w:rsid w:val="663C1302"/>
    <w:rsid w:val="665F0112"/>
    <w:rsid w:val="669A5886"/>
    <w:rsid w:val="66BF54E4"/>
    <w:rsid w:val="67101119"/>
    <w:rsid w:val="67151BB5"/>
    <w:rsid w:val="671C67EA"/>
    <w:rsid w:val="67400D4D"/>
    <w:rsid w:val="677A414A"/>
    <w:rsid w:val="67C952B3"/>
    <w:rsid w:val="67DB4341"/>
    <w:rsid w:val="685624B9"/>
    <w:rsid w:val="68720AE2"/>
    <w:rsid w:val="689554F5"/>
    <w:rsid w:val="68AA7215"/>
    <w:rsid w:val="68ED6911"/>
    <w:rsid w:val="6903642B"/>
    <w:rsid w:val="690F1870"/>
    <w:rsid w:val="692F5E27"/>
    <w:rsid w:val="69466675"/>
    <w:rsid w:val="69612FAA"/>
    <w:rsid w:val="698C2B7F"/>
    <w:rsid w:val="69AB5D7A"/>
    <w:rsid w:val="69F575F2"/>
    <w:rsid w:val="6A4C7335"/>
    <w:rsid w:val="6A531E39"/>
    <w:rsid w:val="6A545ADB"/>
    <w:rsid w:val="6A5D05BD"/>
    <w:rsid w:val="6A6B273C"/>
    <w:rsid w:val="6A703222"/>
    <w:rsid w:val="6AAA18E6"/>
    <w:rsid w:val="6AC938A9"/>
    <w:rsid w:val="6B2F05BC"/>
    <w:rsid w:val="6B435167"/>
    <w:rsid w:val="6BB237C9"/>
    <w:rsid w:val="6BDF1336"/>
    <w:rsid w:val="6C3161F1"/>
    <w:rsid w:val="6C3745DF"/>
    <w:rsid w:val="6C3D4127"/>
    <w:rsid w:val="6C6253EB"/>
    <w:rsid w:val="6C666B72"/>
    <w:rsid w:val="6C8F3EF6"/>
    <w:rsid w:val="6C9C42D6"/>
    <w:rsid w:val="6CAD55CC"/>
    <w:rsid w:val="6CBE1616"/>
    <w:rsid w:val="6CC15F94"/>
    <w:rsid w:val="6CDA118A"/>
    <w:rsid w:val="6D0C01A9"/>
    <w:rsid w:val="6D493A0A"/>
    <w:rsid w:val="6D551BE3"/>
    <w:rsid w:val="6D8E2C9C"/>
    <w:rsid w:val="6DAD51A4"/>
    <w:rsid w:val="6E017D0E"/>
    <w:rsid w:val="6E053E0B"/>
    <w:rsid w:val="6E1E1DB6"/>
    <w:rsid w:val="6E3F4BAC"/>
    <w:rsid w:val="6E735A03"/>
    <w:rsid w:val="6E7D3005"/>
    <w:rsid w:val="6EA04E08"/>
    <w:rsid w:val="6EAA18F7"/>
    <w:rsid w:val="6ECF710B"/>
    <w:rsid w:val="6EEE5D94"/>
    <w:rsid w:val="6F050882"/>
    <w:rsid w:val="6F0B5A13"/>
    <w:rsid w:val="6F1579C7"/>
    <w:rsid w:val="6F62521C"/>
    <w:rsid w:val="6FC26F58"/>
    <w:rsid w:val="6FD761EC"/>
    <w:rsid w:val="6FE52312"/>
    <w:rsid w:val="6FF1085F"/>
    <w:rsid w:val="700F6510"/>
    <w:rsid w:val="7066738D"/>
    <w:rsid w:val="70750A7A"/>
    <w:rsid w:val="70991D59"/>
    <w:rsid w:val="709A5C21"/>
    <w:rsid w:val="70C51917"/>
    <w:rsid w:val="70D02722"/>
    <w:rsid w:val="70F067F3"/>
    <w:rsid w:val="711A09D1"/>
    <w:rsid w:val="712F60DB"/>
    <w:rsid w:val="714B6CD7"/>
    <w:rsid w:val="71B13655"/>
    <w:rsid w:val="71D8215F"/>
    <w:rsid w:val="71DF1D07"/>
    <w:rsid w:val="71FB7CB1"/>
    <w:rsid w:val="720D209A"/>
    <w:rsid w:val="7221044F"/>
    <w:rsid w:val="72252F84"/>
    <w:rsid w:val="723126FD"/>
    <w:rsid w:val="723E2E01"/>
    <w:rsid w:val="72404D8A"/>
    <w:rsid w:val="724C22E8"/>
    <w:rsid w:val="725F0F01"/>
    <w:rsid w:val="729D5E1F"/>
    <w:rsid w:val="72E72EAA"/>
    <w:rsid w:val="7331658B"/>
    <w:rsid w:val="733C6C97"/>
    <w:rsid w:val="734B4A4B"/>
    <w:rsid w:val="734C70B6"/>
    <w:rsid w:val="73560C2B"/>
    <w:rsid w:val="735E4E1D"/>
    <w:rsid w:val="7388314F"/>
    <w:rsid w:val="73CB394C"/>
    <w:rsid w:val="73D51780"/>
    <w:rsid w:val="73E34188"/>
    <w:rsid w:val="73F006A6"/>
    <w:rsid w:val="73F022C4"/>
    <w:rsid w:val="73F63EFE"/>
    <w:rsid w:val="73FF26B3"/>
    <w:rsid w:val="74071758"/>
    <w:rsid w:val="741425AC"/>
    <w:rsid w:val="7463178E"/>
    <w:rsid w:val="746371B3"/>
    <w:rsid w:val="747A43C9"/>
    <w:rsid w:val="7508529D"/>
    <w:rsid w:val="752C3218"/>
    <w:rsid w:val="75397634"/>
    <w:rsid w:val="75537CD8"/>
    <w:rsid w:val="75595BE3"/>
    <w:rsid w:val="757606EF"/>
    <w:rsid w:val="75844FC1"/>
    <w:rsid w:val="75EE069B"/>
    <w:rsid w:val="7615419A"/>
    <w:rsid w:val="76172D6A"/>
    <w:rsid w:val="761A409E"/>
    <w:rsid w:val="762F02D7"/>
    <w:rsid w:val="763D7340"/>
    <w:rsid w:val="767A6C09"/>
    <w:rsid w:val="76880BA0"/>
    <w:rsid w:val="76885BC7"/>
    <w:rsid w:val="768C19C1"/>
    <w:rsid w:val="768C2564"/>
    <w:rsid w:val="76991D18"/>
    <w:rsid w:val="76BA43D5"/>
    <w:rsid w:val="76BE21DC"/>
    <w:rsid w:val="76CD5B13"/>
    <w:rsid w:val="76DF3C76"/>
    <w:rsid w:val="76EB41A9"/>
    <w:rsid w:val="76F71295"/>
    <w:rsid w:val="76FC2CE2"/>
    <w:rsid w:val="7706359E"/>
    <w:rsid w:val="771A5653"/>
    <w:rsid w:val="771B5FB2"/>
    <w:rsid w:val="772A75AD"/>
    <w:rsid w:val="7734542F"/>
    <w:rsid w:val="774073C9"/>
    <w:rsid w:val="77460079"/>
    <w:rsid w:val="77567D26"/>
    <w:rsid w:val="775D2B17"/>
    <w:rsid w:val="7760235E"/>
    <w:rsid w:val="77C64121"/>
    <w:rsid w:val="77CD3C5D"/>
    <w:rsid w:val="77FD4667"/>
    <w:rsid w:val="781200C6"/>
    <w:rsid w:val="78150104"/>
    <w:rsid w:val="786B1829"/>
    <w:rsid w:val="78C7234E"/>
    <w:rsid w:val="791063B8"/>
    <w:rsid w:val="793E7F2E"/>
    <w:rsid w:val="796362D3"/>
    <w:rsid w:val="79827C27"/>
    <w:rsid w:val="798834D2"/>
    <w:rsid w:val="799B7D73"/>
    <w:rsid w:val="79B07BB3"/>
    <w:rsid w:val="79B7369F"/>
    <w:rsid w:val="79D510F0"/>
    <w:rsid w:val="79ED59B1"/>
    <w:rsid w:val="79F56CDC"/>
    <w:rsid w:val="7A032271"/>
    <w:rsid w:val="7A320BDB"/>
    <w:rsid w:val="7A491583"/>
    <w:rsid w:val="7A5B6EDF"/>
    <w:rsid w:val="7A5D2F7E"/>
    <w:rsid w:val="7A676444"/>
    <w:rsid w:val="7A72534A"/>
    <w:rsid w:val="7A832DB1"/>
    <w:rsid w:val="7A8F7D69"/>
    <w:rsid w:val="7A9C5FF5"/>
    <w:rsid w:val="7AA27F96"/>
    <w:rsid w:val="7AC2422A"/>
    <w:rsid w:val="7AD44A1D"/>
    <w:rsid w:val="7B045A0E"/>
    <w:rsid w:val="7B137629"/>
    <w:rsid w:val="7B1B29C2"/>
    <w:rsid w:val="7B1E1B53"/>
    <w:rsid w:val="7B202E8E"/>
    <w:rsid w:val="7B565D97"/>
    <w:rsid w:val="7BA57F90"/>
    <w:rsid w:val="7BBC18FF"/>
    <w:rsid w:val="7C100290"/>
    <w:rsid w:val="7C151FE3"/>
    <w:rsid w:val="7C1D63E0"/>
    <w:rsid w:val="7C203139"/>
    <w:rsid w:val="7C2925EF"/>
    <w:rsid w:val="7C463AF9"/>
    <w:rsid w:val="7C691C0E"/>
    <w:rsid w:val="7C7654E0"/>
    <w:rsid w:val="7C9D56FC"/>
    <w:rsid w:val="7C9E2AE3"/>
    <w:rsid w:val="7CA34E3A"/>
    <w:rsid w:val="7CDE5607"/>
    <w:rsid w:val="7D0D23F8"/>
    <w:rsid w:val="7D1819A4"/>
    <w:rsid w:val="7D57537E"/>
    <w:rsid w:val="7D79413D"/>
    <w:rsid w:val="7D872924"/>
    <w:rsid w:val="7D8F5F9C"/>
    <w:rsid w:val="7E180A37"/>
    <w:rsid w:val="7E252BD1"/>
    <w:rsid w:val="7E2D4483"/>
    <w:rsid w:val="7E327A3B"/>
    <w:rsid w:val="7E665892"/>
    <w:rsid w:val="7E782BA9"/>
    <w:rsid w:val="7E9213CC"/>
    <w:rsid w:val="7EA926FF"/>
    <w:rsid w:val="7EAA18EA"/>
    <w:rsid w:val="7EC93E9C"/>
    <w:rsid w:val="7EF33F65"/>
    <w:rsid w:val="7EFA1C61"/>
    <w:rsid w:val="7F0300DD"/>
    <w:rsid w:val="7F6C7183"/>
    <w:rsid w:val="7F826632"/>
    <w:rsid w:val="7FA31856"/>
    <w:rsid w:val="7FB2207D"/>
    <w:rsid w:val="7FFA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4">
    <w:name w:val="heading 1"/>
    <w:basedOn w:val="1"/>
    <w:next w:val="1"/>
    <w:link w:val="71"/>
    <w:qFormat/>
    <w:uiPriority w:val="0"/>
    <w:pPr>
      <w:outlineLvl w:val="0"/>
    </w:pPr>
  </w:style>
  <w:style w:type="paragraph" w:styleId="5">
    <w:name w:val="heading 2"/>
    <w:basedOn w:val="1"/>
    <w:next w:val="1"/>
    <w:qFormat/>
    <w:uiPriority w:val="0"/>
    <w:pPr>
      <w:outlineLvl w:val="1"/>
    </w:pPr>
    <w:rPr>
      <w:rFonts w:hAnsi="宋体"/>
      <w:b/>
    </w:rPr>
  </w:style>
  <w:style w:type="paragraph" w:styleId="6">
    <w:name w:val="heading 3"/>
    <w:basedOn w:val="1"/>
    <w:next w:val="1"/>
    <w:qFormat/>
    <w:uiPriority w:val="0"/>
    <w:pPr>
      <w:outlineLvl w:val="2"/>
    </w:p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9">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10">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1">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2">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2"/>
    <w:qFormat/>
    <w:uiPriority w:val="0"/>
    <w:pPr>
      <w:ind w:right="-26"/>
      <w:jc w:val="center"/>
    </w:pPr>
    <w:rPr>
      <w:rFonts w:hAnsi="Times New Roman"/>
      <w:b/>
      <w:bCs/>
      <w:kern w:val="2"/>
      <w:sz w:val="84"/>
      <w:szCs w:val="84"/>
      <w:lang w:val="zh-CN"/>
    </w:rPr>
  </w:style>
  <w:style w:type="paragraph" w:styleId="3">
    <w:name w:val="Body Text First Indent"/>
    <w:basedOn w:val="2"/>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13">
    <w:name w:val="toc 7"/>
    <w:basedOn w:val="1"/>
    <w:next w:val="1"/>
    <w:qFormat/>
    <w:uiPriority w:val="0"/>
    <w:pPr>
      <w:ind w:left="1440"/>
    </w:pPr>
    <w:rPr>
      <w:rFonts w:ascii="Calibri" w:cs="Calibri"/>
      <w:sz w:val="18"/>
      <w:szCs w:val="18"/>
    </w:rPr>
  </w:style>
  <w:style w:type="paragraph" w:styleId="14">
    <w:name w:val="Normal Indent"/>
    <w:basedOn w:val="1"/>
    <w:link w:val="77"/>
    <w:qFormat/>
    <w:uiPriority w:val="0"/>
    <w:pPr>
      <w:widowControl/>
      <w:autoSpaceDE/>
      <w:autoSpaceDN/>
      <w:adjustRightInd/>
      <w:ind w:firstLine="420" w:firstLineChars="200"/>
    </w:pPr>
    <w:rPr>
      <w:rFonts w:ascii="Calibri"/>
      <w:sz w:val="20"/>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7"/>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7">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20">
    <w:name w:val="annotation text"/>
    <w:basedOn w:val="1"/>
    <w:link w:val="184"/>
    <w:qFormat/>
    <w:uiPriority w:val="0"/>
    <w:pPr>
      <w:widowControl/>
      <w:autoSpaceDE/>
      <w:autoSpaceDN/>
      <w:adjustRightInd/>
    </w:pPr>
    <w:rPr>
      <w:rFonts w:ascii="Times New Roman"/>
      <w:sz w:val="21"/>
      <w:szCs w:val="20"/>
    </w:rPr>
  </w:style>
  <w:style w:type="paragraph" w:styleId="21">
    <w:name w:val="Body Text 3"/>
    <w:basedOn w:val="1"/>
    <w:qFormat/>
    <w:uiPriority w:val="0"/>
    <w:pPr>
      <w:ind w:right="-26"/>
      <w:jc w:val="center"/>
    </w:pPr>
    <w:rPr>
      <w:b/>
      <w:bCs/>
      <w:color w:val="3366FF"/>
      <w:kern w:val="2"/>
      <w:sz w:val="52"/>
      <w:szCs w:val="52"/>
      <w:lang w:val="zh-CN"/>
    </w:rPr>
  </w:style>
  <w:style w:type="paragraph" w:styleId="22">
    <w:name w:val="Body Text Indent"/>
    <w:basedOn w:val="1"/>
    <w:next w:val="23"/>
    <w:qFormat/>
    <w:uiPriority w:val="0"/>
    <w:pPr>
      <w:autoSpaceDE/>
      <w:autoSpaceDN/>
      <w:adjustRightInd/>
      <w:ind w:left="567" w:leftChars="270"/>
      <w:jc w:val="both"/>
    </w:pPr>
    <w:rPr>
      <w:rFonts w:ascii="Times New Roman"/>
      <w:kern w:val="2"/>
      <w:sz w:val="21"/>
      <w:szCs w:val="20"/>
    </w:rPr>
  </w:style>
  <w:style w:type="paragraph" w:styleId="23">
    <w:name w:val="envelope return"/>
    <w:basedOn w:val="1"/>
    <w:unhideWhenUsed/>
    <w:qFormat/>
    <w:uiPriority w:val="99"/>
    <w:rPr>
      <w:rFonts w:hint="eastAsia" w:ascii="Arial" w:hAnsi="Arial"/>
    </w:rPr>
  </w:style>
  <w:style w:type="paragraph" w:styleId="24">
    <w:name w:val="List Number 3"/>
    <w:basedOn w:val="1"/>
    <w:qFormat/>
    <w:uiPriority w:val="0"/>
    <w:pPr>
      <w:numPr>
        <w:ilvl w:val="0"/>
        <w:numId w:val="3"/>
      </w:numPr>
    </w:pPr>
  </w:style>
  <w:style w:type="paragraph" w:styleId="25">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6">
    <w:name w:val="Block Text"/>
    <w:basedOn w:val="1"/>
    <w:qFormat/>
    <w:uiPriority w:val="0"/>
    <w:pPr>
      <w:spacing w:after="120"/>
      <w:ind w:left="1440" w:leftChars="700" w:right="1440" w:rightChars="700"/>
    </w:pPr>
  </w:style>
  <w:style w:type="paragraph" w:styleId="27">
    <w:name w:val="toc 5"/>
    <w:basedOn w:val="1"/>
    <w:next w:val="1"/>
    <w:qFormat/>
    <w:uiPriority w:val="0"/>
    <w:pPr>
      <w:ind w:left="960"/>
    </w:pPr>
    <w:rPr>
      <w:rFonts w:ascii="Calibri" w:cs="Calibri"/>
      <w:sz w:val="18"/>
      <w:szCs w:val="18"/>
    </w:rPr>
  </w:style>
  <w:style w:type="paragraph" w:styleId="28">
    <w:name w:val="toc 3"/>
    <w:basedOn w:val="1"/>
    <w:next w:val="1"/>
    <w:qFormat/>
    <w:uiPriority w:val="0"/>
    <w:pPr>
      <w:ind w:left="480"/>
    </w:pPr>
    <w:rPr>
      <w:rFonts w:ascii="Calibri" w:cs="Calibri"/>
      <w:i/>
      <w:iCs/>
      <w:sz w:val="20"/>
      <w:szCs w:val="20"/>
    </w:rPr>
  </w:style>
  <w:style w:type="paragraph" w:styleId="29">
    <w:name w:val="Plain Text"/>
    <w:basedOn w:val="1"/>
    <w:next w:val="1"/>
    <w:link w:val="78"/>
    <w:qFormat/>
    <w:uiPriority w:val="0"/>
    <w:pPr>
      <w:autoSpaceDE/>
      <w:autoSpaceDN/>
      <w:adjustRightInd/>
      <w:jc w:val="both"/>
    </w:pPr>
    <w:rPr>
      <w:rFonts w:hAnsi="Courier New"/>
      <w:kern w:val="2"/>
      <w:sz w:val="21"/>
      <w:szCs w:val="20"/>
    </w:rPr>
  </w:style>
  <w:style w:type="paragraph" w:styleId="30">
    <w:name w:val="toc 8"/>
    <w:basedOn w:val="1"/>
    <w:next w:val="1"/>
    <w:qFormat/>
    <w:uiPriority w:val="0"/>
    <w:pPr>
      <w:ind w:left="1680"/>
    </w:pPr>
    <w:rPr>
      <w:rFonts w:ascii="Calibri" w:cs="Calibri"/>
      <w:sz w:val="18"/>
      <w:szCs w:val="18"/>
    </w:rPr>
  </w:style>
  <w:style w:type="paragraph" w:styleId="31">
    <w:name w:val="Date"/>
    <w:basedOn w:val="1"/>
    <w:next w:val="1"/>
    <w:qFormat/>
    <w:uiPriority w:val="0"/>
    <w:pPr>
      <w:ind w:left="100" w:leftChars="2500"/>
    </w:pPr>
    <w:rPr>
      <w:b/>
      <w:bCs/>
      <w:kern w:val="2"/>
      <w:sz w:val="21"/>
      <w:szCs w:val="21"/>
      <w:lang w:val="zh-CN"/>
    </w:rPr>
  </w:style>
  <w:style w:type="paragraph" w:styleId="32">
    <w:name w:val="Body Text Indent 2"/>
    <w:basedOn w:val="1"/>
    <w:qFormat/>
    <w:uiPriority w:val="0"/>
    <w:pPr>
      <w:tabs>
        <w:tab w:val="left" w:pos="8640"/>
      </w:tabs>
      <w:autoSpaceDE/>
      <w:autoSpaceDN/>
      <w:adjustRightInd/>
      <w:ind w:left="1260"/>
      <w:jc w:val="both"/>
    </w:pPr>
    <w:rPr>
      <w:kern w:val="2"/>
      <w:sz w:val="21"/>
      <w:szCs w:val="20"/>
    </w:rPr>
  </w:style>
  <w:style w:type="paragraph" w:styleId="33">
    <w:name w:val="Balloon Text"/>
    <w:basedOn w:val="1"/>
    <w:qFormat/>
    <w:uiPriority w:val="0"/>
    <w:pPr>
      <w:autoSpaceDE/>
      <w:autoSpaceDN/>
      <w:adjustRightInd/>
      <w:jc w:val="both"/>
    </w:pPr>
    <w:rPr>
      <w:rFonts w:ascii="Times New Roman"/>
      <w:kern w:val="2"/>
      <w:sz w:val="18"/>
      <w:szCs w:val="18"/>
    </w:rPr>
  </w:style>
  <w:style w:type="paragraph" w:styleId="34">
    <w:name w:val="footer"/>
    <w:basedOn w:val="1"/>
    <w:link w:val="91"/>
    <w:qFormat/>
    <w:uiPriority w:val="0"/>
    <w:pPr>
      <w:tabs>
        <w:tab w:val="center" w:pos="4153"/>
        <w:tab w:val="right" w:pos="8306"/>
      </w:tabs>
      <w:snapToGrid w:val="0"/>
    </w:pPr>
    <w:rPr>
      <w:rFonts w:hAnsi="Times New Roman"/>
      <w:sz w:val="18"/>
      <w:szCs w:val="18"/>
    </w:rPr>
  </w:style>
  <w:style w:type="paragraph" w:styleId="35">
    <w:name w:val="header"/>
    <w:basedOn w:val="1"/>
    <w:link w:val="87"/>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spacing w:before="120" w:after="120"/>
    </w:pPr>
    <w:rPr>
      <w:rFonts w:ascii="Calibri" w:cs="Calibri"/>
      <w:b/>
      <w:bCs/>
      <w:caps/>
      <w:sz w:val="20"/>
      <w:szCs w:val="20"/>
    </w:rPr>
  </w:style>
  <w:style w:type="paragraph" w:styleId="37">
    <w:name w:val="toc 4"/>
    <w:basedOn w:val="1"/>
    <w:next w:val="1"/>
    <w:qFormat/>
    <w:uiPriority w:val="0"/>
    <w:pPr>
      <w:ind w:left="720"/>
    </w:pPr>
    <w:rPr>
      <w:rFonts w:ascii="Calibri" w:cs="Calibri"/>
      <w:sz w:val="18"/>
      <w:szCs w:val="18"/>
    </w:rPr>
  </w:style>
  <w:style w:type="paragraph" w:styleId="38">
    <w:name w:val="index heading"/>
    <w:basedOn w:val="1"/>
    <w:next w:val="39"/>
    <w:qFormat/>
    <w:uiPriority w:val="0"/>
    <w:pPr>
      <w:autoSpaceDE/>
      <w:autoSpaceDN/>
      <w:adjustRightInd/>
      <w:jc w:val="both"/>
    </w:pPr>
    <w:rPr>
      <w:rFonts w:ascii="Times New Roman"/>
      <w:kern w:val="2"/>
      <w:sz w:val="21"/>
      <w:szCs w:val="20"/>
    </w:rPr>
  </w:style>
  <w:style w:type="paragraph" w:styleId="39">
    <w:name w:val="index 1"/>
    <w:basedOn w:val="1"/>
    <w:next w:val="1"/>
    <w:qFormat/>
    <w:uiPriority w:val="0"/>
    <w:pPr>
      <w:autoSpaceDE/>
      <w:autoSpaceDN/>
      <w:adjustRightInd/>
      <w:ind w:left="540" w:leftChars="257"/>
      <w:jc w:val="both"/>
    </w:pPr>
    <w:rPr>
      <w:rFonts w:ascii="Arial" w:hAnsi="Arial" w:cs="Arial"/>
      <w:kern w:val="2"/>
      <w:sz w:val="21"/>
    </w:rPr>
  </w:style>
  <w:style w:type="paragraph" w:styleId="40">
    <w:name w:val="Subtitle"/>
    <w:basedOn w:val="1"/>
    <w:link w:val="90"/>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1">
    <w:name w:val="toc 6"/>
    <w:basedOn w:val="1"/>
    <w:next w:val="1"/>
    <w:qFormat/>
    <w:uiPriority w:val="0"/>
    <w:pPr>
      <w:ind w:left="1200"/>
    </w:pPr>
    <w:rPr>
      <w:rFonts w:ascii="Calibri" w:cs="Calibri"/>
      <w:sz w:val="18"/>
      <w:szCs w:val="18"/>
    </w:rPr>
  </w:style>
  <w:style w:type="paragraph" w:styleId="42">
    <w:name w:val="Body Text Indent 3"/>
    <w:basedOn w:val="1"/>
    <w:qFormat/>
    <w:uiPriority w:val="0"/>
    <w:pPr>
      <w:spacing w:line="360" w:lineRule="auto"/>
      <w:ind w:firstLine="480" w:firstLineChars="200"/>
    </w:pPr>
  </w:style>
  <w:style w:type="paragraph" w:styleId="43">
    <w:name w:val="toc 2"/>
    <w:basedOn w:val="1"/>
    <w:next w:val="1"/>
    <w:qFormat/>
    <w:uiPriority w:val="0"/>
    <w:pPr>
      <w:ind w:left="240"/>
    </w:pPr>
    <w:rPr>
      <w:rFonts w:ascii="Calibri" w:cs="Calibri"/>
      <w:smallCaps/>
      <w:sz w:val="20"/>
      <w:szCs w:val="20"/>
    </w:rPr>
  </w:style>
  <w:style w:type="paragraph" w:styleId="44">
    <w:name w:val="toc 9"/>
    <w:basedOn w:val="1"/>
    <w:next w:val="1"/>
    <w:qFormat/>
    <w:uiPriority w:val="0"/>
    <w:pPr>
      <w:ind w:left="1920"/>
    </w:pPr>
    <w:rPr>
      <w:rFonts w:ascii="Calibri" w:cs="Calibri"/>
      <w:sz w:val="18"/>
      <w:szCs w:val="18"/>
    </w:rPr>
  </w:style>
  <w:style w:type="paragraph" w:styleId="45">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6">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7">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8">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9">
    <w:name w:val="Title"/>
    <w:basedOn w:val="1"/>
    <w:next w:val="1"/>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50">
    <w:name w:val="annotation subject"/>
    <w:basedOn w:val="20"/>
    <w:next w:val="20"/>
    <w:qFormat/>
    <w:uiPriority w:val="0"/>
    <w:rPr>
      <w:b/>
      <w:bCs/>
    </w:rPr>
  </w:style>
  <w:style w:type="paragraph" w:styleId="51">
    <w:name w:val="Body Text First Indent 2"/>
    <w:basedOn w:val="22"/>
    <w:semiHidden/>
    <w:unhideWhenUsed/>
    <w:qFormat/>
    <w:uiPriority w:val="99"/>
    <w:pPr>
      <w:ind w:firstLine="420" w:firstLineChars="200"/>
    </w:p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basedOn w:val="54"/>
    <w:qFormat/>
    <w:uiPriority w:val="0"/>
    <w:rPr>
      <w:b/>
      <w:bCs/>
    </w:rPr>
  </w:style>
  <w:style w:type="character" w:styleId="56">
    <w:name w:val="page number"/>
    <w:basedOn w:val="54"/>
    <w:qFormat/>
    <w:uiPriority w:val="0"/>
  </w:style>
  <w:style w:type="character" w:styleId="57">
    <w:name w:val="FollowedHyperlink"/>
    <w:qFormat/>
    <w:uiPriority w:val="0"/>
    <w:rPr>
      <w:color w:val="333333"/>
      <w:u w:val="none"/>
    </w:rPr>
  </w:style>
  <w:style w:type="character" w:styleId="58">
    <w:name w:val="Emphasis"/>
    <w:qFormat/>
    <w:uiPriority w:val="0"/>
    <w:rPr>
      <w:i/>
      <w:iCs/>
    </w:rPr>
  </w:style>
  <w:style w:type="character" w:styleId="59">
    <w:name w:val="Hyperlink"/>
    <w:qFormat/>
    <w:uiPriority w:val="0"/>
    <w:rPr>
      <w:color w:val="333333"/>
      <w:u w:val="none"/>
    </w:rPr>
  </w:style>
  <w:style w:type="character" w:styleId="60">
    <w:name w:val="annotation reference"/>
    <w:basedOn w:val="54"/>
    <w:qFormat/>
    <w:uiPriority w:val="0"/>
    <w:rPr>
      <w:sz w:val="21"/>
      <w:szCs w:val="21"/>
    </w:rPr>
  </w:style>
  <w:style w:type="paragraph" w:customStyle="1" w:styleId="61">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2">
    <w:name w:val="首行缩进"/>
    <w:basedOn w:val="1"/>
    <w:qFormat/>
    <w:uiPriority w:val="0"/>
    <w:pPr>
      <w:ind w:firstLine="480" w:firstLineChars="200"/>
    </w:pPr>
    <w:rPr>
      <w:lang w:val="zh-CN"/>
    </w:rPr>
  </w:style>
  <w:style w:type="paragraph" w:customStyle="1" w:styleId="63">
    <w:name w:val="表格文字"/>
    <w:basedOn w:val="1"/>
    <w:qFormat/>
    <w:uiPriority w:val="0"/>
    <w:pPr>
      <w:autoSpaceDE/>
      <w:autoSpaceDN/>
      <w:adjustRightInd/>
      <w:spacing w:before="25" w:after="25"/>
    </w:pPr>
    <w:rPr>
      <w:rFonts w:ascii="Times New Roman"/>
      <w:bCs/>
      <w:spacing w:val="10"/>
      <w:szCs w:val="20"/>
    </w:rPr>
  </w:style>
  <w:style w:type="character" w:customStyle="1" w:styleId="64">
    <w:name w:val="s1"/>
    <w:qFormat/>
    <w:uiPriority w:val="0"/>
    <w:rPr>
      <w:rFonts w:ascii="Helvetica" w:hAnsi="Helvetica" w:eastAsia="Helvetica" w:cs="Helvetica"/>
      <w:sz w:val="24"/>
      <w:szCs w:val="24"/>
    </w:rPr>
  </w:style>
  <w:style w:type="character" w:customStyle="1" w:styleId="65">
    <w:name w:val="keyfeatures1"/>
    <w:qFormat/>
    <w:uiPriority w:val="0"/>
    <w:rPr>
      <w:rFonts w:hint="default" w:ascii="Arial" w:hAnsi="Arial" w:cs="Arial"/>
      <w:color w:val="003366"/>
      <w:sz w:val="17"/>
      <w:szCs w:val="17"/>
      <w:u w:val="none"/>
    </w:rPr>
  </w:style>
  <w:style w:type="character" w:customStyle="1" w:styleId="66">
    <w:name w:val="小 Char"/>
    <w:qFormat/>
    <w:uiPriority w:val="0"/>
    <w:rPr>
      <w:rFonts w:ascii="宋体" w:hAnsi="Courier New" w:eastAsia="宋体" w:cs="Times New Roman"/>
      <w:kern w:val="2"/>
      <w:sz w:val="21"/>
      <w:lang w:val="en-US" w:eastAsia="zh-CN" w:bidi="ar-SA"/>
    </w:rPr>
  </w:style>
  <w:style w:type="character" w:customStyle="1" w:styleId="67">
    <w:name w:val="纯文本 Char Char"/>
    <w:qFormat/>
    <w:uiPriority w:val="0"/>
    <w:rPr>
      <w:rFonts w:ascii="宋体" w:hAnsi="Courier New" w:eastAsia="宋体"/>
      <w:kern w:val="2"/>
      <w:sz w:val="21"/>
      <w:lang w:val="en-US" w:eastAsia="zh-CN" w:bidi="ar-SA"/>
    </w:rPr>
  </w:style>
  <w:style w:type="character" w:customStyle="1" w:styleId="68">
    <w:name w:val="meuncn1"/>
    <w:qFormat/>
    <w:uiPriority w:val="0"/>
    <w:rPr>
      <w:rFonts w:hint="eastAsia" w:ascii="宋体" w:hAnsi="宋体" w:eastAsia="宋体"/>
      <w:color w:val="666666"/>
      <w:sz w:val="18"/>
      <w:u w:val="none"/>
    </w:rPr>
  </w:style>
  <w:style w:type="character" w:customStyle="1" w:styleId="69">
    <w:name w:val="标题 3.1 Char Char"/>
    <w:link w:val="70"/>
    <w:qFormat/>
    <w:uiPriority w:val="0"/>
    <w:rPr>
      <w:rFonts w:ascii="宋体" w:hAnsi="宋体"/>
      <w:b/>
      <w:bCs/>
      <w:kern w:val="2"/>
      <w:sz w:val="32"/>
      <w:szCs w:val="32"/>
    </w:rPr>
  </w:style>
  <w:style w:type="paragraph" w:customStyle="1" w:styleId="70">
    <w:name w:val="标题 3.1"/>
    <w:basedOn w:val="6"/>
    <w:link w:val="69"/>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1">
    <w:name w:val="标题 1 Char"/>
    <w:link w:val="4"/>
    <w:qFormat/>
    <w:uiPriority w:val="0"/>
  </w:style>
  <w:style w:type="character" w:customStyle="1" w:styleId="72">
    <w:name w:val="HTML Markup"/>
    <w:qFormat/>
    <w:uiPriority w:val="0"/>
    <w:rPr>
      <w:rFonts w:ascii="Times New Roman" w:hAnsi="Times New Roman" w:eastAsia="宋体" w:cs="Times New Roman"/>
      <w:vanish/>
      <w:color w:val="FF0000"/>
    </w:rPr>
  </w:style>
  <w:style w:type="character" w:customStyle="1" w:styleId="73">
    <w:name w:val="页脚 Char Char"/>
    <w:qFormat/>
    <w:uiPriority w:val="0"/>
    <w:rPr>
      <w:rFonts w:ascii="宋体"/>
      <w:sz w:val="18"/>
      <w:szCs w:val="18"/>
    </w:rPr>
  </w:style>
  <w:style w:type="character" w:customStyle="1" w:styleId="74">
    <w:name w:val="p105"/>
    <w:basedOn w:val="54"/>
    <w:qFormat/>
    <w:uiPriority w:val="0"/>
  </w:style>
  <w:style w:type="character" w:customStyle="1" w:styleId="75">
    <w:name w:val="正文缩进2格 Char Char"/>
    <w:link w:val="76"/>
    <w:qFormat/>
    <w:uiPriority w:val="0"/>
    <w:rPr>
      <w:rFonts w:ascii="仿宋_GB2312" w:hAnsi="宋体" w:eastAsia="仿宋_GB2312"/>
      <w:kern w:val="2"/>
      <w:sz w:val="31"/>
      <w:szCs w:val="28"/>
      <w:lang w:val="en-US" w:eastAsia="zh-CN" w:bidi="ar-SA"/>
    </w:rPr>
  </w:style>
  <w:style w:type="paragraph" w:customStyle="1" w:styleId="76">
    <w:name w:val="正文缩进2格"/>
    <w:basedOn w:val="1"/>
    <w:next w:val="1"/>
    <w:link w:val="75"/>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7">
    <w:name w:val="正文缩进 Char"/>
    <w:link w:val="14"/>
    <w:qFormat/>
    <w:uiPriority w:val="0"/>
    <w:rPr>
      <w:rFonts w:eastAsia="宋体"/>
      <w:lang w:val="en-US" w:eastAsia="zh-CN" w:bidi="ar-SA"/>
    </w:rPr>
  </w:style>
  <w:style w:type="character" w:customStyle="1" w:styleId="78">
    <w:name w:val="纯文本 Char"/>
    <w:link w:val="29"/>
    <w:qFormat/>
    <w:uiPriority w:val="0"/>
    <w:rPr>
      <w:rFonts w:ascii="宋体" w:hAnsi="Courier New" w:eastAsia="宋体" w:cs="Times New Roman"/>
      <w:kern w:val="2"/>
      <w:sz w:val="21"/>
      <w:lang w:val="en-US" w:eastAsia="zh-CN" w:bidi="ar-SA"/>
    </w:rPr>
  </w:style>
  <w:style w:type="character" w:customStyle="1" w:styleId="79">
    <w:name w:val="font01"/>
    <w:qFormat/>
    <w:uiPriority w:val="0"/>
    <w:rPr>
      <w:rFonts w:hint="eastAsia" w:ascii="宋体" w:hAnsi="宋体" w:eastAsia="宋体" w:cs="宋体"/>
      <w:color w:val="000000"/>
      <w:sz w:val="24"/>
      <w:szCs w:val="24"/>
      <w:u w:val="none"/>
    </w:rPr>
  </w:style>
  <w:style w:type="character" w:customStyle="1" w:styleId="80">
    <w:name w:val="wctjfont1"/>
    <w:qFormat/>
    <w:uiPriority w:val="0"/>
    <w:rPr>
      <w:sz w:val="18"/>
    </w:rPr>
  </w:style>
  <w:style w:type="character" w:customStyle="1" w:styleId="81">
    <w:name w:val="bold1"/>
    <w:qFormat/>
    <w:uiPriority w:val="0"/>
    <w:rPr>
      <w:sz w:val="32"/>
    </w:rPr>
  </w:style>
  <w:style w:type="character" w:customStyle="1" w:styleId="82">
    <w:name w:val="正文文本 Char"/>
    <w:link w:val="2"/>
    <w:qFormat/>
    <w:uiPriority w:val="0"/>
    <w:rPr>
      <w:rFonts w:ascii="宋体" w:hAnsi="Times New Roman" w:eastAsia="宋体" w:cs="Times New Roman"/>
      <w:b/>
      <w:bCs/>
      <w:kern w:val="2"/>
      <w:sz w:val="84"/>
      <w:szCs w:val="84"/>
      <w:lang w:val="zh-CN" w:eastAsia="zh-CN" w:bidi="ar-SA"/>
    </w:rPr>
  </w:style>
  <w:style w:type="character" w:customStyle="1" w:styleId="83">
    <w:name w:val="DAS正文 Char Char"/>
    <w:qFormat/>
    <w:uiPriority w:val="0"/>
    <w:rPr>
      <w:rFonts w:ascii="Verdana" w:hAnsi="Verdana" w:eastAsia="宋体"/>
      <w:kern w:val="2"/>
      <w:sz w:val="21"/>
      <w:szCs w:val="21"/>
      <w:lang w:val="en-US" w:eastAsia="zh-CN" w:bidi="ar-SA"/>
    </w:rPr>
  </w:style>
  <w:style w:type="character" w:customStyle="1" w:styleId="84">
    <w:name w:val="Highlighted Variable"/>
    <w:qFormat/>
    <w:uiPriority w:val="0"/>
    <w:rPr>
      <w:color w:val="000000"/>
    </w:rPr>
  </w:style>
  <w:style w:type="character" w:customStyle="1" w:styleId="85">
    <w:name w:val="neir1"/>
    <w:qFormat/>
    <w:uiPriority w:val="0"/>
    <w:rPr>
      <w:rFonts w:hint="default" w:ascii="ˎ̥" w:hAnsi="ˎ̥" w:eastAsia="宋体" w:cs="Times New Roman"/>
      <w:color w:val="333333"/>
      <w:sz w:val="21"/>
      <w:szCs w:val="21"/>
      <w:u w:val="none"/>
    </w:rPr>
  </w:style>
  <w:style w:type="character" w:customStyle="1" w:styleId="86">
    <w:name w:val="style61"/>
    <w:qFormat/>
    <w:uiPriority w:val="0"/>
    <w:rPr>
      <w:b/>
      <w:bCs/>
    </w:rPr>
  </w:style>
  <w:style w:type="character" w:customStyle="1" w:styleId="87">
    <w:name w:val="页眉 Char"/>
    <w:link w:val="35"/>
    <w:qFormat/>
    <w:uiPriority w:val="0"/>
    <w:rPr>
      <w:rFonts w:ascii="宋体"/>
      <w:sz w:val="18"/>
      <w:szCs w:val="18"/>
    </w:rPr>
  </w:style>
  <w:style w:type="character" w:customStyle="1" w:styleId="88">
    <w:name w:val="HTML 预设格式 Char"/>
    <w:link w:val="47"/>
    <w:qFormat/>
    <w:uiPriority w:val="0"/>
    <w:rPr>
      <w:rFonts w:ascii="Arial" w:hAnsi="Arial" w:eastAsia="宋体" w:cs="Arial"/>
      <w:sz w:val="21"/>
      <w:szCs w:val="21"/>
      <w:lang w:val="en-US" w:eastAsia="zh-CN" w:bidi="ar-SA"/>
    </w:rPr>
  </w:style>
  <w:style w:type="character" w:customStyle="1" w:styleId="89">
    <w:name w:val="f141"/>
    <w:qFormat/>
    <w:uiPriority w:val="0"/>
    <w:rPr>
      <w:sz w:val="21"/>
      <w:szCs w:val="21"/>
    </w:rPr>
  </w:style>
  <w:style w:type="character" w:customStyle="1" w:styleId="90">
    <w:name w:val="副标题 Char"/>
    <w:link w:val="40"/>
    <w:qFormat/>
    <w:uiPriority w:val="0"/>
    <w:rPr>
      <w:rFonts w:ascii="Arial" w:hAnsi="Arial"/>
      <w:b/>
      <w:kern w:val="28"/>
      <w:sz w:val="32"/>
    </w:rPr>
  </w:style>
  <w:style w:type="character" w:customStyle="1" w:styleId="91">
    <w:name w:val="页脚 Char"/>
    <w:link w:val="34"/>
    <w:qFormat/>
    <w:uiPriority w:val="0"/>
    <w:rPr>
      <w:rFonts w:ascii="宋体" w:hAnsi="Times New Roman" w:eastAsia="宋体" w:cs="Times New Roman"/>
      <w:sz w:val="18"/>
      <w:szCs w:val="18"/>
      <w:lang w:val="en-US" w:eastAsia="zh-CN" w:bidi="ar-SA"/>
    </w:rPr>
  </w:style>
  <w:style w:type="paragraph" w:customStyle="1" w:styleId="92">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3">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4">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5">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6">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7">
    <w:name w:val="样式 我的标题 + 两端对齐"/>
    <w:basedOn w:val="4"/>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8">
    <w:name w:val="默认段落字体 Para Char"/>
    <w:basedOn w:val="1"/>
    <w:qFormat/>
    <w:uiPriority w:val="0"/>
    <w:pPr>
      <w:autoSpaceDE/>
      <w:autoSpaceDN/>
      <w:spacing w:line="360" w:lineRule="auto"/>
      <w:jc w:val="both"/>
    </w:pPr>
    <w:rPr>
      <w:rFonts w:ascii="Times New Roman"/>
      <w:szCs w:val="20"/>
    </w:rPr>
  </w:style>
  <w:style w:type="paragraph" w:customStyle="1" w:styleId="99">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00">
    <w:name w:val="TOC 标题1"/>
    <w:basedOn w:val="4"/>
    <w:next w:val="1"/>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1">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2">
    <w:name w:val="需求书2"/>
    <w:basedOn w:val="1"/>
    <w:qFormat/>
    <w:uiPriority w:val="0"/>
    <w:pPr>
      <w:autoSpaceDE/>
      <w:autoSpaceDN/>
      <w:adjustRightInd/>
      <w:jc w:val="both"/>
    </w:pPr>
    <w:rPr>
      <w:rFonts w:hAnsi="宋体"/>
      <w:spacing w:val="10"/>
      <w:kern w:val="2"/>
      <w:sz w:val="18"/>
      <w:szCs w:val="20"/>
    </w:rPr>
  </w:style>
  <w:style w:type="paragraph" w:customStyle="1" w:styleId="103">
    <w:name w:val="Char Char Char Char1"/>
    <w:basedOn w:val="5"/>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4">
    <w:name w:val="Char1"/>
    <w:basedOn w:val="18"/>
    <w:qFormat/>
    <w:uiPriority w:val="0"/>
    <w:pPr>
      <w:autoSpaceDE/>
      <w:autoSpaceDN/>
      <w:adjustRightInd/>
      <w:jc w:val="both"/>
    </w:pPr>
    <w:rPr>
      <w:rFonts w:ascii="Tahoma" w:hAnsi="Tahoma"/>
      <w:kern w:val="2"/>
    </w:rPr>
  </w:style>
  <w:style w:type="paragraph" w:customStyle="1" w:styleId="105">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6">
    <w:name w:val="Blockquote"/>
    <w:basedOn w:val="1"/>
    <w:qFormat/>
    <w:uiPriority w:val="0"/>
    <w:pPr>
      <w:spacing w:before="100" w:after="100"/>
      <w:ind w:left="360" w:right="360"/>
    </w:pPr>
    <w:rPr>
      <w:rFonts w:ascii="Times New Roman" w:hAnsi="Times New Roman" w:cs="Times New Roman"/>
      <w:szCs w:val="20"/>
    </w:rPr>
  </w:style>
  <w:style w:type="paragraph" w:customStyle="1" w:styleId="107">
    <w:name w:val="样式 标题 2 + Times New Roman 四号 非加粗 段前: 5 磅 段后: 0 磅 行距: 固定值 20..."/>
    <w:basedOn w:val="5"/>
    <w:qFormat/>
    <w:uiPriority w:val="0"/>
    <w:pPr>
      <w:spacing w:before="100" w:line="400" w:lineRule="exact"/>
    </w:pPr>
    <w:rPr>
      <w:rFonts w:ascii="Times New Roman" w:hAnsi="Times New Roman"/>
      <w:b w:val="0"/>
      <w:sz w:val="28"/>
      <w:szCs w:val="20"/>
    </w:rPr>
  </w:style>
  <w:style w:type="paragraph" w:customStyle="1" w:styleId="108">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09">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10">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1">
    <w:name w:val="D标3"/>
    <w:basedOn w:val="6"/>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2">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3">
    <w:name w:val="_Style 202"/>
    <w:basedOn w:val="1"/>
    <w:qFormat/>
    <w:uiPriority w:val="0"/>
    <w:pPr>
      <w:tabs>
        <w:tab w:val="left" w:pos="360"/>
      </w:tabs>
      <w:autoSpaceDE/>
      <w:autoSpaceDN/>
      <w:adjustRightInd/>
      <w:jc w:val="both"/>
    </w:pPr>
    <w:rPr>
      <w:rFonts w:ascii="Times New Roman"/>
      <w:kern w:val="2"/>
      <w:sz w:val="21"/>
    </w:rPr>
  </w:style>
  <w:style w:type="paragraph" w:customStyle="1" w:styleId="114">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5">
    <w:name w:val="shall-正文"/>
    <w:basedOn w:val="1"/>
    <w:qFormat/>
    <w:uiPriority w:val="0"/>
    <w:pPr>
      <w:snapToGrid w:val="0"/>
      <w:spacing w:beforeLines="30" w:line="288" w:lineRule="auto"/>
      <w:ind w:firstLine="200" w:firstLineChars="200"/>
    </w:pPr>
    <w:rPr>
      <w:rFonts w:eastAsia="华文细黑"/>
    </w:rPr>
  </w:style>
  <w:style w:type="paragraph" w:customStyle="1" w:styleId="116">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7">
    <w:name w:val="p2"/>
    <w:basedOn w:val="1"/>
    <w:qFormat/>
    <w:uiPriority w:val="0"/>
    <w:rPr>
      <w:rFonts w:cs="Times New Roman"/>
    </w:rPr>
  </w:style>
  <w:style w:type="paragraph" w:customStyle="1" w:styleId="118">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19">
    <w:name w:val="标题4"/>
    <w:basedOn w:val="76"/>
    <w:qFormat/>
    <w:uiPriority w:val="0"/>
    <w:pPr>
      <w:spacing w:line="540" w:lineRule="exact"/>
      <w:ind w:firstLine="0" w:firstLineChars="0"/>
    </w:pPr>
    <w:rPr>
      <w:rFonts w:hAnsi="Times New Roman"/>
      <w:szCs w:val="24"/>
    </w:rPr>
  </w:style>
  <w:style w:type="paragraph" w:styleId="120">
    <w:name w:val="No Spacing"/>
    <w:qFormat/>
    <w:uiPriority w:val="0"/>
    <w:pPr>
      <w:widowControl w:val="0"/>
      <w:jc w:val="both"/>
    </w:pPr>
    <w:rPr>
      <w:rFonts w:ascii="Calibri" w:hAnsi="Calibri" w:eastAsia="宋体" w:cs="宋体"/>
      <w:kern w:val="2"/>
      <w:sz w:val="21"/>
      <w:szCs w:val="24"/>
      <w:lang w:val="en-US" w:eastAsia="zh-CN" w:bidi="ar-SA"/>
    </w:rPr>
  </w:style>
  <w:style w:type="paragraph" w:customStyle="1" w:styleId="121">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2">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3">
    <w:name w:val="Char Char2 Char"/>
    <w:basedOn w:val="1"/>
    <w:qFormat/>
    <w:uiPriority w:val="0"/>
    <w:pPr>
      <w:autoSpaceDE/>
      <w:autoSpaceDN/>
      <w:adjustRightInd/>
      <w:jc w:val="both"/>
    </w:pPr>
    <w:rPr>
      <w:rFonts w:hAnsi="宋体"/>
      <w:b/>
      <w:kern w:val="2"/>
      <w:sz w:val="28"/>
      <w:szCs w:val="28"/>
    </w:rPr>
  </w:style>
  <w:style w:type="paragraph" w:customStyle="1" w:styleId="124">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5">
    <w:name w:val="LEGALB Cont 2"/>
    <w:basedOn w:val="1"/>
    <w:qFormat/>
    <w:uiPriority w:val="0"/>
    <w:pPr>
      <w:widowControl/>
      <w:tabs>
        <w:tab w:val="left" w:pos="720"/>
      </w:tabs>
      <w:spacing w:after="240"/>
      <w:ind w:left="720" w:leftChars="300"/>
    </w:pPr>
    <w:rPr>
      <w:rFonts w:ascii="Calibri" w:eastAsia="DFKai-SB" w:cs="Times New Roman"/>
      <w:lang w:eastAsia="en-US"/>
    </w:rPr>
  </w:style>
  <w:style w:type="paragraph" w:customStyle="1" w:styleId="126">
    <w:name w:val="表格栏头"/>
    <w:basedOn w:val="127"/>
    <w:next w:val="127"/>
    <w:qFormat/>
    <w:uiPriority w:val="0"/>
    <w:rPr>
      <w:b/>
    </w:rPr>
  </w:style>
  <w:style w:type="paragraph" w:customStyle="1" w:styleId="127">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28">
    <w:name w:val="正文列表"/>
    <w:basedOn w:val="1"/>
    <w:qFormat/>
    <w:uiPriority w:val="0"/>
    <w:pPr>
      <w:jc w:val="center"/>
      <w:textAlignment w:val="baseline"/>
    </w:pPr>
    <w:rPr>
      <w:rFonts w:hAnsi="宋体"/>
      <w:szCs w:val="20"/>
    </w:rPr>
  </w:style>
  <w:style w:type="paragraph" w:customStyle="1" w:styleId="129">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30">
    <w:name w:val="题注4"/>
    <w:basedOn w:val="1"/>
    <w:next w:val="15"/>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1">
    <w:name w:val="题目副题"/>
    <w:basedOn w:val="40"/>
    <w:qFormat/>
    <w:uiPriority w:val="0"/>
    <w:pPr>
      <w:spacing w:before="0" w:after="312"/>
      <w:ind w:left="240" w:firstLine="600"/>
      <w:jc w:val="left"/>
      <w:outlineLvl w:val="9"/>
    </w:pPr>
    <w:rPr>
      <w:rFonts w:ascii="宋体" w:hAnsi="宋体"/>
      <w:sz w:val="30"/>
    </w:rPr>
  </w:style>
  <w:style w:type="paragraph" w:customStyle="1" w:styleId="132">
    <w:name w:val="列出段落1"/>
    <w:basedOn w:val="1"/>
    <w:qFormat/>
    <w:uiPriority w:val="34"/>
    <w:pPr>
      <w:ind w:firstLine="420" w:firstLineChars="200"/>
    </w:pPr>
    <w:rPr>
      <w:rFonts w:ascii="Calibri" w:cs="黑体"/>
    </w:rPr>
  </w:style>
  <w:style w:type="paragraph" w:customStyle="1" w:styleId="133">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4">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5">
    <w:name w:val="Char Char1 Char Char Char Char Char Char Char Char Char Char Char Char Char"/>
    <w:basedOn w:val="1"/>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6">
    <w:name w:val="进度表"/>
    <w:basedOn w:val="14"/>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7">
    <w:name w:val="大标题"/>
    <w:basedOn w:val="4"/>
    <w:qFormat/>
    <w:uiPriority w:val="0"/>
    <w:rPr>
      <w:snapToGrid w:val="0"/>
      <w:sz w:val="52"/>
      <w:szCs w:val="72"/>
    </w:rPr>
  </w:style>
  <w:style w:type="paragraph" w:customStyle="1" w:styleId="138">
    <w:name w:val="正文无缩进"/>
    <w:basedOn w:val="76"/>
    <w:qFormat/>
    <w:uiPriority w:val="0"/>
    <w:pPr>
      <w:ind w:firstLine="0" w:firstLineChars="0"/>
    </w:pPr>
  </w:style>
  <w:style w:type="paragraph" w:customStyle="1" w:styleId="139">
    <w:name w:val="标题 3.5"/>
    <w:basedOn w:val="6"/>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40">
    <w:name w:val="题注5"/>
    <w:basedOn w:val="1"/>
    <w:next w:val="15"/>
    <w:qFormat/>
    <w:uiPriority w:val="0"/>
    <w:pPr>
      <w:autoSpaceDE/>
      <w:autoSpaceDN/>
      <w:adjustRightInd/>
      <w:jc w:val="center"/>
    </w:pPr>
    <w:rPr>
      <w:rFonts w:ascii="Times New Roman"/>
      <w:b/>
      <w:color w:val="000000"/>
      <w:kern w:val="2"/>
      <w:szCs w:val="21"/>
    </w:rPr>
  </w:style>
  <w:style w:type="paragraph" w:customStyle="1" w:styleId="141">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2">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3">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4">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styleId="145">
    <w:name w:val="List Paragraph"/>
    <w:basedOn w:val="1"/>
    <w:qFormat/>
    <w:uiPriority w:val="0"/>
    <w:pPr>
      <w:autoSpaceDE/>
      <w:autoSpaceDN/>
      <w:adjustRightInd/>
      <w:ind w:firstLine="420" w:firstLineChars="200"/>
      <w:jc w:val="both"/>
    </w:pPr>
    <w:rPr>
      <w:rFonts w:ascii="Calibri"/>
      <w:kern w:val="2"/>
      <w:sz w:val="21"/>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7">
    <w:name w:val="目录"/>
    <w:basedOn w:val="1"/>
    <w:qFormat/>
    <w:uiPriority w:val="0"/>
    <w:pPr>
      <w:widowControl/>
      <w:autoSpaceDE/>
      <w:autoSpaceDN/>
      <w:adjustRightInd/>
      <w:spacing w:line="480" w:lineRule="auto"/>
      <w:jc w:val="center"/>
    </w:pPr>
    <w:rPr>
      <w:b/>
      <w:szCs w:val="20"/>
    </w:rPr>
  </w:style>
  <w:style w:type="paragraph" w:customStyle="1" w:styleId="148">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9">
    <w:name w:val="Char11"/>
    <w:basedOn w:val="18"/>
    <w:qFormat/>
    <w:uiPriority w:val="0"/>
    <w:pPr>
      <w:autoSpaceDE/>
      <w:autoSpaceDN/>
      <w:adjustRightInd/>
      <w:jc w:val="both"/>
    </w:pPr>
    <w:rPr>
      <w:rFonts w:ascii="Tahoma" w:hAnsi="Tahoma" w:cs="Times New Roman"/>
      <w:kern w:val="2"/>
    </w:rPr>
  </w:style>
  <w:style w:type="paragraph" w:customStyle="1" w:styleId="150">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1">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2">
    <w:name w:val="信息标题2"/>
    <w:basedOn w:val="15"/>
    <w:next w:val="15"/>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3">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54">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5">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6">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7">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8">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59">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60">
    <w:name w:val="样式 标题 3Level 3 HeadH3Heading 3 - oldh3sect1.2.3Head33l3..."/>
    <w:basedOn w:val="6"/>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1">
    <w:name w:val="p0"/>
    <w:basedOn w:val="1"/>
    <w:qFormat/>
    <w:uiPriority w:val="99"/>
    <w:pPr>
      <w:widowControl/>
    </w:pPr>
    <w:rPr>
      <w:szCs w:val="21"/>
    </w:rPr>
  </w:style>
  <w:style w:type="paragraph" w:customStyle="1" w:styleId="162">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3">
    <w:name w:val="Char1 Char Char Char Char Char Char"/>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4">
    <w:name w:val="投标文件格式"/>
    <w:basedOn w:val="29"/>
    <w:qFormat/>
    <w:uiPriority w:val="0"/>
    <w:pPr>
      <w:jc w:val="center"/>
    </w:pPr>
    <w:rPr>
      <w:rFonts w:hAnsi="Times New Roman"/>
      <w:b/>
    </w:rPr>
  </w:style>
  <w:style w:type="paragraph" w:customStyle="1" w:styleId="165">
    <w:name w:val="日期右"/>
    <w:basedOn w:val="31"/>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6">
    <w:name w:val="Char1 Char Char Char"/>
    <w:basedOn w:val="1"/>
    <w:qFormat/>
    <w:uiPriority w:val="0"/>
    <w:pPr>
      <w:autoSpaceDE/>
      <w:autoSpaceDN/>
      <w:adjustRightInd/>
      <w:jc w:val="both"/>
    </w:pPr>
    <w:rPr>
      <w:rFonts w:ascii="Tahoma" w:hAnsi="Tahoma"/>
      <w:kern w:val="2"/>
      <w:szCs w:val="20"/>
    </w:rPr>
  </w:style>
  <w:style w:type="paragraph" w:customStyle="1" w:styleId="167">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8">
    <w:name w:val="Char Char Char"/>
    <w:basedOn w:val="1"/>
    <w:qFormat/>
    <w:uiPriority w:val="0"/>
    <w:pPr>
      <w:autoSpaceDE/>
      <w:autoSpaceDN/>
      <w:adjustRightInd/>
      <w:jc w:val="both"/>
    </w:pPr>
    <w:rPr>
      <w:rFonts w:ascii="Tahoma" w:hAnsi="Tahoma"/>
      <w:b/>
      <w:sz w:val="28"/>
      <w:szCs w:val="20"/>
    </w:rPr>
  </w:style>
  <w:style w:type="paragraph" w:customStyle="1" w:styleId="169">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70">
    <w:name w:val="正文缩进6格"/>
    <w:basedOn w:val="171"/>
    <w:qFormat/>
    <w:uiPriority w:val="0"/>
    <w:pPr>
      <w:ind w:left="1758" w:leftChars="854"/>
    </w:pPr>
  </w:style>
  <w:style w:type="paragraph" w:customStyle="1" w:styleId="171">
    <w:name w:val="正文缩进4格"/>
    <w:basedOn w:val="76"/>
    <w:qFormat/>
    <w:uiPriority w:val="0"/>
    <w:pPr>
      <w:ind w:left="651" w:leftChars="310" w:firstLine="608" w:firstLineChars="196"/>
    </w:pPr>
    <w:rPr>
      <w:color w:val="000000"/>
    </w:rPr>
  </w:style>
  <w:style w:type="paragraph" w:customStyle="1" w:styleId="172">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3">
    <w:name w:val="表头"/>
    <w:basedOn w:val="15"/>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4">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5">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6">
    <w:name w:val="表正文"/>
    <w:basedOn w:val="1"/>
    <w:next w:val="26"/>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7">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8">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79">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80">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81">
    <w:name w:val="样式37"/>
    <w:basedOn w:val="1"/>
    <w:qFormat/>
    <w:uiPriority w:val="0"/>
    <w:pPr>
      <w:widowControl/>
      <w:spacing w:line="360" w:lineRule="auto"/>
    </w:pPr>
    <w:rPr>
      <w:rFonts w:hAnsi="宋体"/>
      <w:spacing w:val="-2"/>
      <w:szCs w:val="21"/>
    </w:rPr>
  </w:style>
  <w:style w:type="paragraph" w:customStyle="1" w:styleId="182">
    <w:name w:val="文档正文"/>
    <w:basedOn w:val="1"/>
    <w:qFormat/>
    <w:uiPriority w:val="0"/>
    <w:pPr>
      <w:spacing w:line="460" w:lineRule="exact"/>
      <w:ind w:firstLine="567"/>
      <w:textAlignment w:val="baseline"/>
    </w:pPr>
    <w:rPr>
      <w:rFonts w:ascii="Arial" w:hAnsi="Arial"/>
    </w:rPr>
  </w:style>
  <w:style w:type="paragraph" w:customStyle="1" w:styleId="183">
    <w:name w:val="正文列序2"/>
    <w:basedOn w:val="1"/>
    <w:qFormat/>
    <w:uiPriority w:val="0"/>
    <w:pPr>
      <w:spacing w:line="360" w:lineRule="auto"/>
      <w:ind w:firstLine="425"/>
    </w:pPr>
    <w:rPr>
      <w:rFonts w:hAnsi="宋体"/>
    </w:rPr>
  </w:style>
  <w:style w:type="character" w:customStyle="1" w:styleId="184">
    <w:name w:val="批注文字 Char"/>
    <w:basedOn w:val="54"/>
    <w:link w:val="20"/>
    <w:qFormat/>
    <w:uiPriority w:val="0"/>
    <w:rPr>
      <w:rFonts w:ascii="Times New Roman" w:hAnsi="Calibri" w:eastAsia="宋体" w:cs="宋体"/>
      <w:sz w:val="21"/>
    </w:rPr>
  </w:style>
  <w:style w:type="paragraph" w:customStyle="1" w:styleId="185">
    <w:name w:val="正文文本缩进 21"/>
    <w:basedOn w:val="1"/>
    <w:qFormat/>
    <w:uiPriority w:val="99"/>
    <w:pPr>
      <w:adjustRightInd w:val="0"/>
      <w:spacing w:line="480" w:lineRule="auto"/>
      <w:ind w:firstLine="540"/>
    </w:pPr>
    <w:rPr>
      <w:kern w:val="0"/>
      <w:sz w:val="20"/>
      <w:szCs w:val="20"/>
    </w:rPr>
  </w:style>
  <w:style w:type="paragraph" w:customStyle="1" w:styleId="186">
    <w:name w:val="样式3"/>
    <w:basedOn w:val="1"/>
    <w:qFormat/>
    <w:uiPriority w:val="0"/>
    <w:pPr>
      <w:keepNext/>
      <w:keepLines/>
      <w:autoSpaceDE w:val="0"/>
      <w:autoSpaceDN w:val="0"/>
      <w:adjustRightInd w:val="0"/>
      <w:spacing w:line="360" w:lineRule="auto"/>
      <w:ind w:left="200"/>
      <w:jc w:val="center"/>
      <w:outlineLvl w:val="0"/>
    </w:pPr>
    <w:rPr>
      <w:rFonts w:ascii="宋体" w:hAnsi="宋体"/>
      <w:b/>
      <w:bCs/>
      <w:kern w:val="44"/>
      <w:sz w:val="28"/>
      <w:szCs w:val="28"/>
    </w:rPr>
  </w:style>
  <w:style w:type="character" w:customStyle="1" w:styleId="187">
    <w:name w:val="font31"/>
    <w:basedOn w:val="54"/>
    <w:qFormat/>
    <w:uiPriority w:val="0"/>
    <w:rPr>
      <w:rFonts w:hint="eastAsia" w:ascii="宋体" w:hAnsi="宋体" w:eastAsia="宋体" w:cs="宋体"/>
      <w:color w:val="000000"/>
      <w:sz w:val="22"/>
      <w:szCs w:val="22"/>
      <w:u w:val="none"/>
    </w:rPr>
  </w:style>
  <w:style w:type="character" w:customStyle="1" w:styleId="188">
    <w:name w:val="font91"/>
    <w:basedOn w:val="54"/>
    <w:qFormat/>
    <w:uiPriority w:val="0"/>
    <w:rPr>
      <w:rFonts w:hint="default" w:ascii="Times New Roman" w:hAnsi="Times New Roman" w:cs="Times New Roman"/>
      <w:color w:val="000000"/>
      <w:sz w:val="24"/>
      <w:szCs w:val="24"/>
      <w:u w:val="none"/>
    </w:rPr>
  </w:style>
  <w:style w:type="character" w:customStyle="1" w:styleId="189">
    <w:name w:val="font51"/>
    <w:basedOn w:val="54"/>
    <w:qFormat/>
    <w:uiPriority w:val="0"/>
    <w:rPr>
      <w:rFonts w:hint="eastAsia" w:ascii="宋体" w:hAnsi="宋体" w:eastAsia="宋体" w:cs="宋体"/>
      <w:color w:val="000000"/>
      <w:sz w:val="22"/>
      <w:szCs w:val="22"/>
      <w:u w:val="none"/>
    </w:rPr>
  </w:style>
  <w:style w:type="character" w:customStyle="1" w:styleId="190">
    <w:name w:val="font41"/>
    <w:basedOn w:val="54"/>
    <w:qFormat/>
    <w:uiPriority w:val="0"/>
    <w:rPr>
      <w:rFonts w:hint="default" w:ascii="Times New Roman" w:hAnsi="Times New Roman" w:cs="Times New Roman"/>
      <w:color w:val="000000"/>
      <w:sz w:val="22"/>
      <w:szCs w:val="22"/>
      <w:u w:val="none"/>
    </w:rPr>
  </w:style>
  <w:style w:type="character" w:customStyle="1" w:styleId="191">
    <w:name w:val="font101"/>
    <w:basedOn w:val="54"/>
    <w:qFormat/>
    <w:uiPriority w:val="0"/>
    <w:rPr>
      <w:rFonts w:hint="eastAsia" w:ascii="宋体" w:hAnsi="宋体" w:eastAsia="宋体" w:cs="宋体"/>
      <w:color w:val="FF0000"/>
      <w:sz w:val="22"/>
      <w:szCs w:val="22"/>
      <w:u w:val="none"/>
    </w:rPr>
  </w:style>
  <w:style w:type="character" w:customStyle="1" w:styleId="192">
    <w:name w:val="font112"/>
    <w:basedOn w:val="54"/>
    <w:qFormat/>
    <w:uiPriority w:val="0"/>
    <w:rPr>
      <w:rFonts w:hint="default" w:ascii="Times New Roman" w:hAnsi="Times New Roman" w:cs="Times New Roman"/>
      <w:color w:val="FF0000"/>
      <w:sz w:val="22"/>
      <w:szCs w:val="22"/>
      <w:u w:val="none"/>
    </w:rPr>
  </w:style>
  <w:style w:type="character" w:customStyle="1" w:styleId="193">
    <w:name w:val="font111"/>
    <w:basedOn w:val="54"/>
    <w:qFormat/>
    <w:uiPriority w:val="0"/>
    <w:rPr>
      <w:rFonts w:hint="eastAsia" w:ascii="宋体" w:hAnsi="宋体" w:eastAsia="宋体" w:cs="宋体"/>
      <w:color w:val="FF0000"/>
      <w:sz w:val="22"/>
      <w:szCs w:val="22"/>
      <w:u w:val="none"/>
    </w:rPr>
  </w:style>
  <w:style w:type="character" w:customStyle="1" w:styleId="194">
    <w:name w:val="font122"/>
    <w:basedOn w:val="54"/>
    <w:qFormat/>
    <w:uiPriority w:val="0"/>
    <w:rPr>
      <w:rFonts w:hint="default" w:ascii="Times New Roman" w:hAnsi="Times New Roman" w:cs="Times New Roman"/>
      <w:color w:val="FF0000"/>
      <w:sz w:val="22"/>
      <w:szCs w:val="22"/>
      <w:u w:val="none"/>
    </w:rPr>
  </w:style>
  <w:style w:type="character" w:customStyle="1" w:styleId="195">
    <w:name w:val="font11"/>
    <w:basedOn w:val="54"/>
    <w:qFormat/>
    <w:uiPriority w:val="0"/>
    <w:rPr>
      <w:rFonts w:hint="eastAsia" w:ascii="宋体" w:hAnsi="宋体" w:eastAsia="宋体" w:cs="宋体"/>
      <w:color w:val="000000"/>
      <w:sz w:val="22"/>
      <w:szCs w:val="22"/>
      <w:u w:val="none"/>
    </w:rPr>
  </w:style>
  <w:style w:type="character" w:customStyle="1" w:styleId="196">
    <w:name w:val="font131"/>
    <w:basedOn w:val="54"/>
    <w:qFormat/>
    <w:uiPriority w:val="0"/>
    <w:rPr>
      <w:rFonts w:hint="default" w:ascii="Times New Roman" w:hAnsi="Times New Roman" w:cs="Times New Roman"/>
      <w:color w:val="000000"/>
      <w:sz w:val="24"/>
      <w:szCs w:val="24"/>
      <w:u w:val="none"/>
    </w:rPr>
  </w:style>
  <w:style w:type="character" w:customStyle="1" w:styleId="197">
    <w:name w:val="font61"/>
    <w:basedOn w:val="54"/>
    <w:qFormat/>
    <w:uiPriority w:val="0"/>
    <w:rPr>
      <w:rFonts w:hint="eastAsia" w:ascii="宋体" w:hAnsi="宋体" w:eastAsia="宋体" w:cs="宋体"/>
      <w:color w:val="000000"/>
      <w:sz w:val="22"/>
      <w:szCs w:val="22"/>
      <w:u w:val="none"/>
    </w:rPr>
  </w:style>
  <w:style w:type="character" w:customStyle="1" w:styleId="198">
    <w:name w:val="font81"/>
    <w:basedOn w:val="54"/>
    <w:qFormat/>
    <w:uiPriority w:val="0"/>
    <w:rPr>
      <w:rFonts w:hint="default" w:ascii="Times New Roman" w:hAnsi="Times New Roman" w:cs="Times New Roman"/>
      <w:color w:val="000000"/>
      <w:sz w:val="22"/>
      <w:szCs w:val="22"/>
      <w:u w:val="none"/>
    </w:rPr>
  </w:style>
  <w:style w:type="character" w:customStyle="1" w:styleId="199">
    <w:name w:val="font151"/>
    <w:basedOn w:val="54"/>
    <w:qFormat/>
    <w:uiPriority w:val="0"/>
    <w:rPr>
      <w:rFonts w:hint="default" w:ascii="Times New Roman" w:hAnsi="Times New Roman" w:cs="Times New Roman"/>
      <w:color w:val="FF0000"/>
      <w:sz w:val="22"/>
      <w:szCs w:val="22"/>
      <w:u w:val="none"/>
    </w:rPr>
  </w:style>
  <w:style w:type="character" w:customStyle="1" w:styleId="200">
    <w:name w:val="font121"/>
    <w:basedOn w:val="54"/>
    <w:qFormat/>
    <w:uiPriority w:val="0"/>
    <w:rPr>
      <w:rFonts w:hint="eastAsia" w:ascii="宋体" w:hAnsi="宋体" w:eastAsia="宋体" w:cs="宋体"/>
      <w:color w:val="000000"/>
      <w:sz w:val="20"/>
      <w:szCs w:val="20"/>
      <w:u w:val="none"/>
    </w:rPr>
  </w:style>
  <w:style w:type="character" w:customStyle="1" w:styleId="201">
    <w:name w:val="font141"/>
    <w:basedOn w:val="54"/>
    <w:qFormat/>
    <w:uiPriority w:val="0"/>
    <w:rPr>
      <w:rFonts w:hint="default" w:ascii="Times New Roman" w:hAnsi="Times New Roman" w:cs="Times New Roman"/>
      <w:color w:val="FF0000"/>
      <w:sz w:val="22"/>
      <w:szCs w:val="22"/>
      <w:u w:val="none"/>
    </w:rPr>
  </w:style>
  <w:style w:type="paragraph" w:customStyle="1" w:styleId="202">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ED33D1-28E5-49B2-810A-DFCA16599E46}">
  <ds:schemaRefs/>
</ds:datastoreItem>
</file>

<file path=docProps/app.xml><?xml version="1.0" encoding="utf-8"?>
<Properties xmlns="http://schemas.openxmlformats.org/officeDocument/2006/extended-properties" xmlns:vt="http://schemas.openxmlformats.org/officeDocument/2006/docPropsVTypes">
  <Template>Normal.dotm</Template>
  <Company>zgydgb</Company>
  <Pages>83</Pages>
  <Words>54632</Words>
  <Characters>57451</Characters>
  <Lines>28</Lines>
  <Paragraphs>46</Paragraphs>
  <TotalTime>12</TotalTime>
  <ScaleCrop>false</ScaleCrop>
  <LinksUpToDate>false</LinksUpToDate>
  <CharactersWithSpaces>58623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2020-08-24T02:29:00Z</dcterms:created>
  <dc:creator>lyy</dc:creator>
  <cp:lastModifiedBy>Yakult</cp:lastModifiedBy>
  <cp:lastPrinted>2022-10-18T08:39:00Z</cp:lastPrinted>
  <dcterms:modified xsi:type="dcterms:W3CDTF">2022-10-20T06:49:40Z</dcterms:modified>
  <dc:title>货物公开</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FB81F987062C44748B1AE518C2DAE88F</vt:lpwstr>
  </property>
</Properties>
</file>